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48D" w:rsidRPr="00F6448D" w:rsidRDefault="00F6448D" w:rsidP="00F6448D">
      <w:pPr>
        <w:spacing w:after="0" w:line="240" w:lineRule="auto"/>
        <w:rPr>
          <w:rFonts w:ascii="Arial" w:eastAsia="Times New Roman" w:hAnsi="Arial" w:cs="Times New Roman"/>
          <w:sz w:val="32"/>
          <w:szCs w:val="32"/>
          <w:lang w:val="en-US" w:eastAsia="de-AT"/>
        </w:rPr>
      </w:pPr>
    </w:p>
    <w:p w:rsidR="00F6448D" w:rsidRPr="00F6448D" w:rsidRDefault="00F6448D" w:rsidP="00F6448D">
      <w:pPr>
        <w:spacing w:after="0" w:line="360" w:lineRule="auto"/>
        <w:rPr>
          <w:rFonts w:ascii="Arial" w:eastAsia="Times New Roman" w:hAnsi="Arial" w:cs="Times New Roman"/>
          <w:sz w:val="32"/>
          <w:szCs w:val="32"/>
          <w:lang w:val="en-US" w:eastAsia="de-AT"/>
        </w:rPr>
      </w:pPr>
      <w:r w:rsidRPr="00F6448D">
        <w:rPr>
          <w:rFonts w:ascii="Arial" w:eastAsia="Times New Roman" w:hAnsi="Arial" w:cs="Times New Roman"/>
          <w:sz w:val="32"/>
          <w:szCs w:val="32"/>
          <w:lang w:val="en-US" w:eastAsia="de-AT"/>
        </w:rPr>
        <w:t>Members of the endocannabinoid system are distinctly regulated in inflammatory bowel disease and colorectal cancer</w:t>
      </w:r>
    </w:p>
    <w:p w:rsidR="00F6448D" w:rsidRPr="00F6448D" w:rsidRDefault="00F6448D" w:rsidP="00F6448D">
      <w:pPr>
        <w:spacing w:after="0" w:line="360" w:lineRule="auto"/>
        <w:rPr>
          <w:rFonts w:ascii="Arial" w:eastAsia="Times New Roman" w:hAnsi="Arial" w:cs="Times New Roman"/>
          <w:lang w:val="en-GB" w:eastAsia="de-AT"/>
        </w:rPr>
      </w:pPr>
    </w:p>
    <w:p w:rsidR="00F6448D" w:rsidRPr="00F6448D" w:rsidRDefault="00F6448D" w:rsidP="00F6448D">
      <w:pPr>
        <w:spacing w:after="0" w:line="360" w:lineRule="auto"/>
        <w:rPr>
          <w:rFonts w:ascii="Arial" w:eastAsia="Times New Roman" w:hAnsi="Arial" w:cs="Times New Roman"/>
          <w:lang w:val="en-US" w:eastAsia="de-AT"/>
        </w:rPr>
      </w:pPr>
    </w:p>
    <w:p w:rsidR="00F6448D" w:rsidRPr="00F6448D" w:rsidRDefault="00F6448D" w:rsidP="00F6448D">
      <w:pPr>
        <w:spacing w:after="0" w:line="360" w:lineRule="auto"/>
        <w:rPr>
          <w:rFonts w:ascii="Arial" w:eastAsia="Times New Roman" w:hAnsi="Arial" w:cs="Times New Roman"/>
          <w:lang w:val="en-US" w:eastAsia="de-AT"/>
        </w:rPr>
      </w:pPr>
      <w:r w:rsidRPr="00F6448D">
        <w:rPr>
          <w:rFonts w:ascii="Arial" w:eastAsia="Times New Roman" w:hAnsi="Arial" w:cs="Times New Roman"/>
          <w:lang w:val="en-US" w:eastAsia="de-AT"/>
        </w:rPr>
        <w:t>Magdalena Grill</w:t>
      </w:r>
      <w:r w:rsidRPr="00F6448D">
        <w:rPr>
          <w:rFonts w:ascii="Arial" w:eastAsia="Times New Roman" w:hAnsi="Arial" w:cs="Times New Roman"/>
          <w:vertAlign w:val="superscript"/>
          <w:lang w:val="en-US" w:eastAsia="de-AT"/>
        </w:rPr>
        <w:t>1</w:t>
      </w:r>
      <w:r w:rsidRPr="00F6448D">
        <w:rPr>
          <w:rFonts w:ascii="Arial" w:eastAsia="Times New Roman" w:hAnsi="Arial" w:cs="Times New Roman"/>
          <w:lang w:val="en-US" w:eastAsia="de-AT"/>
        </w:rPr>
        <w:t>, Christoph Högenauer</w:t>
      </w:r>
      <w:r w:rsidRPr="00F6448D">
        <w:rPr>
          <w:rFonts w:ascii="Arial" w:eastAsia="Times New Roman" w:hAnsi="Arial" w:cs="Times New Roman"/>
          <w:vertAlign w:val="superscript"/>
          <w:lang w:val="en-US" w:eastAsia="de-AT"/>
        </w:rPr>
        <w:t>2,3</w:t>
      </w:r>
      <w:r w:rsidRPr="00F6448D">
        <w:rPr>
          <w:rFonts w:ascii="Arial" w:eastAsia="Times New Roman" w:hAnsi="Arial" w:cs="Times New Roman"/>
          <w:lang w:val="en-US" w:eastAsia="de-AT"/>
        </w:rPr>
        <w:t xml:space="preserve">, </w:t>
      </w:r>
      <w:r w:rsidRPr="00F6448D">
        <w:rPr>
          <w:rFonts w:ascii="Arial" w:eastAsia="Times New Roman" w:hAnsi="Arial" w:cs="Times New Roman"/>
          <w:szCs w:val="24"/>
          <w:lang w:val="en-US" w:eastAsia="de-AT"/>
        </w:rPr>
        <w:t>Andreas Blesl</w:t>
      </w:r>
      <w:r w:rsidRPr="00F6448D">
        <w:rPr>
          <w:rFonts w:ascii="Arial" w:eastAsia="Times New Roman" w:hAnsi="Arial" w:cs="Times New Roman"/>
          <w:szCs w:val="24"/>
          <w:vertAlign w:val="superscript"/>
          <w:lang w:val="en-US" w:eastAsia="de-AT"/>
        </w:rPr>
        <w:t>2</w:t>
      </w:r>
      <w:r w:rsidRPr="00F6448D">
        <w:rPr>
          <w:rFonts w:ascii="Arial" w:eastAsia="Times New Roman" w:hAnsi="Arial" w:cs="Times New Roman"/>
          <w:lang w:val="en-US" w:eastAsia="de-AT"/>
        </w:rPr>
        <w:t>, Johannes Haybaeck</w:t>
      </w:r>
      <w:r w:rsidRPr="00F6448D">
        <w:rPr>
          <w:rFonts w:ascii="Arial" w:eastAsia="Times New Roman" w:hAnsi="Arial" w:cs="Times New Roman"/>
          <w:vertAlign w:val="superscript"/>
          <w:lang w:val="en-US" w:eastAsia="de-AT"/>
        </w:rPr>
        <w:t>4,5,6</w:t>
      </w:r>
      <w:r w:rsidRPr="00F6448D">
        <w:rPr>
          <w:rFonts w:ascii="Arial" w:eastAsia="Times New Roman" w:hAnsi="Arial" w:cs="Times New Roman"/>
          <w:lang w:val="en-US" w:eastAsia="de-AT"/>
        </w:rPr>
        <w:t>, Nicole Golob-Schwarzl</w:t>
      </w:r>
      <w:r w:rsidRPr="00F6448D">
        <w:rPr>
          <w:rFonts w:ascii="Arial" w:eastAsia="Times New Roman" w:hAnsi="Arial" w:cs="Times New Roman"/>
          <w:vertAlign w:val="superscript"/>
          <w:lang w:val="en-US" w:eastAsia="de-AT"/>
        </w:rPr>
        <w:t>5</w:t>
      </w:r>
      <w:r w:rsidRPr="00F6448D">
        <w:rPr>
          <w:rFonts w:ascii="Arial" w:eastAsia="Times New Roman" w:hAnsi="Arial" w:cs="Times New Roman"/>
          <w:lang w:val="en-US" w:eastAsia="de-AT"/>
        </w:rPr>
        <w:t>, Nerea Ferreir</w:t>
      </w:r>
      <w:r w:rsidRPr="00F6448D">
        <w:rPr>
          <w:rFonts w:ascii="Arial" w:eastAsia="Times New Roman" w:hAnsi="Arial" w:cs="Arial"/>
          <w:lang w:val="en-US" w:eastAsia="de-AT"/>
        </w:rPr>
        <w:t>ó</w:t>
      </w:r>
      <w:r w:rsidRPr="00F6448D">
        <w:rPr>
          <w:rFonts w:ascii="Arial" w:eastAsia="Times New Roman" w:hAnsi="Arial" w:cs="Times New Roman"/>
          <w:lang w:val="en-US" w:eastAsia="de-AT"/>
        </w:rPr>
        <w:t>s</w:t>
      </w:r>
      <w:r w:rsidRPr="00F6448D">
        <w:rPr>
          <w:rFonts w:ascii="Arial" w:eastAsia="Times New Roman" w:hAnsi="Arial" w:cs="Times New Roman"/>
          <w:vertAlign w:val="superscript"/>
          <w:lang w:val="en-US" w:eastAsia="de-AT"/>
        </w:rPr>
        <w:t>7</w:t>
      </w:r>
      <w:r w:rsidRPr="00F6448D">
        <w:rPr>
          <w:rFonts w:ascii="Arial" w:eastAsia="Times New Roman" w:hAnsi="Arial" w:cs="Times New Roman"/>
          <w:lang w:val="en-US" w:eastAsia="de-AT"/>
        </w:rPr>
        <w:t>, Dominique Thomas</w:t>
      </w:r>
      <w:r w:rsidRPr="00F6448D">
        <w:rPr>
          <w:rFonts w:ascii="Arial" w:eastAsia="Times New Roman" w:hAnsi="Arial" w:cs="Times New Roman"/>
          <w:vertAlign w:val="superscript"/>
          <w:lang w:val="en-US" w:eastAsia="de-AT"/>
        </w:rPr>
        <w:t>7</w:t>
      </w:r>
      <w:r w:rsidRPr="00F6448D">
        <w:rPr>
          <w:rFonts w:ascii="Arial" w:eastAsia="Times New Roman" w:hAnsi="Arial" w:cs="Times New Roman"/>
          <w:lang w:val="en-US" w:eastAsia="de-AT"/>
        </w:rPr>
        <w:t>, Robert Gurke</w:t>
      </w:r>
      <w:r w:rsidRPr="00F6448D">
        <w:rPr>
          <w:rFonts w:ascii="Arial" w:eastAsia="Times New Roman" w:hAnsi="Arial" w:cs="Times New Roman"/>
          <w:vertAlign w:val="superscript"/>
          <w:lang w:val="en-US" w:eastAsia="de-AT"/>
        </w:rPr>
        <w:t>7</w:t>
      </w:r>
      <w:r w:rsidRPr="00F6448D">
        <w:rPr>
          <w:rFonts w:ascii="Arial" w:eastAsia="Times New Roman" w:hAnsi="Arial" w:cs="Times New Roman"/>
          <w:lang w:val="en-US" w:eastAsia="de-AT"/>
        </w:rPr>
        <w:t>, Martin Trötzmüller</w:t>
      </w:r>
      <w:r w:rsidRPr="00F6448D">
        <w:rPr>
          <w:rFonts w:ascii="Arial" w:eastAsia="Times New Roman" w:hAnsi="Arial" w:cs="Times New Roman"/>
          <w:vertAlign w:val="superscript"/>
          <w:lang w:val="en-US" w:eastAsia="de-AT"/>
        </w:rPr>
        <w:t>8</w:t>
      </w:r>
      <w:r w:rsidRPr="00F6448D">
        <w:rPr>
          <w:rFonts w:ascii="Arial" w:eastAsia="Times New Roman" w:hAnsi="Arial" w:cs="Times New Roman"/>
          <w:lang w:val="en-US" w:eastAsia="de-AT"/>
        </w:rPr>
        <w:t>, Harald C. Köfeler</w:t>
      </w:r>
      <w:r w:rsidRPr="00F6448D">
        <w:rPr>
          <w:rFonts w:ascii="Arial" w:eastAsia="Times New Roman" w:hAnsi="Arial" w:cs="Times New Roman"/>
          <w:vertAlign w:val="superscript"/>
          <w:lang w:val="en-US" w:eastAsia="de-AT"/>
        </w:rPr>
        <w:t>8,9</w:t>
      </w:r>
      <w:r w:rsidRPr="00F6448D">
        <w:rPr>
          <w:rFonts w:ascii="Arial" w:eastAsia="Times New Roman" w:hAnsi="Arial" w:cs="Times New Roman"/>
          <w:lang w:val="en-US" w:eastAsia="de-AT"/>
        </w:rPr>
        <w:t>, Birgit Gall</w:t>
      </w:r>
      <w:r w:rsidRPr="00F6448D">
        <w:rPr>
          <w:rFonts w:ascii="Arial" w:eastAsia="Times New Roman" w:hAnsi="Arial" w:cs="Arial"/>
          <w:lang w:val="en-US" w:eastAsia="de-AT"/>
        </w:rPr>
        <w:t>é</w:t>
      </w:r>
      <w:r w:rsidRPr="00F6448D">
        <w:rPr>
          <w:rFonts w:ascii="Arial" w:eastAsia="Times New Roman" w:hAnsi="Arial" w:cs="Arial"/>
          <w:vertAlign w:val="superscript"/>
          <w:lang w:val="en-US" w:eastAsia="de-AT"/>
        </w:rPr>
        <w:t>10</w:t>
      </w:r>
      <w:r w:rsidRPr="00F6448D">
        <w:rPr>
          <w:rFonts w:ascii="Arial" w:eastAsia="Times New Roman" w:hAnsi="Arial" w:cs="Times New Roman"/>
          <w:lang w:val="en-US" w:eastAsia="de-AT"/>
        </w:rPr>
        <w:t>, Rudolf Schicho</w:t>
      </w:r>
      <w:r w:rsidRPr="00F6448D">
        <w:rPr>
          <w:rFonts w:ascii="Arial" w:eastAsia="Times New Roman" w:hAnsi="Arial" w:cs="Times New Roman"/>
          <w:vertAlign w:val="superscript"/>
          <w:lang w:val="en-US" w:eastAsia="de-AT"/>
        </w:rPr>
        <w:t>1,3,*</w:t>
      </w:r>
    </w:p>
    <w:p w:rsidR="00F6448D" w:rsidRPr="00F6448D" w:rsidRDefault="00F6448D" w:rsidP="00F6448D">
      <w:pPr>
        <w:spacing w:after="0" w:line="360" w:lineRule="auto"/>
        <w:rPr>
          <w:rFonts w:ascii="Arial" w:eastAsia="Times New Roman" w:hAnsi="Arial" w:cs="Times New Roman"/>
          <w:lang w:val="en-US" w:eastAsia="de-AT"/>
        </w:rPr>
      </w:pPr>
    </w:p>
    <w:p w:rsidR="00F6448D" w:rsidRPr="00F6448D" w:rsidRDefault="00F6448D" w:rsidP="00F6448D">
      <w:pPr>
        <w:spacing w:after="0" w:line="360" w:lineRule="auto"/>
        <w:ind w:left="142"/>
        <w:rPr>
          <w:rFonts w:ascii="Arial" w:eastAsia="Times New Roman" w:hAnsi="Arial" w:cs="Times New Roman"/>
          <w:sz w:val="20"/>
          <w:szCs w:val="20"/>
          <w:lang w:val="en-GB" w:eastAsia="de-AT"/>
        </w:rPr>
      </w:pPr>
      <w:r w:rsidRPr="00F6448D">
        <w:rPr>
          <w:rFonts w:ascii="Arial" w:eastAsia="Times New Roman" w:hAnsi="Arial" w:cs="Times New Roman"/>
          <w:sz w:val="20"/>
          <w:szCs w:val="20"/>
          <w:vertAlign w:val="superscript"/>
          <w:lang w:val="en-GB" w:eastAsia="de-AT"/>
        </w:rPr>
        <w:t>1</w:t>
      </w:r>
      <w:r w:rsidRPr="00F6448D">
        <w:rPr>
          <w:rFonts w:ascii="Arial" w:eastAsia="Times New Roman" w:hAnsi="Arial" w:cs="Times New Roman"/>
          <w:sz w:val="20"/>
          <w:szCs w:val="20"/>
          <w:lang w:val="en-GB" w:eastAsia="de-AT"/>
        </w:rPr>
        <w:t xml:space="preserve">  Otto Loewi Research Center, Division of Pharmacology, Medical University of Graz, Graz, Austria.</w:t>
      </w:r>
    </w:p>
    <w:p w:rsidR="00F6448D" w:rsidRPr="00F6448D" w:rsidRDefault="00F6448D" w:rsidP="00F6448D">
      <w:pPr>
        <w:spacing w:after="0" w:line="360" w:lineRule="auto"/>
        <w:ind w:left="142"/>
        <w:rPr>
          <w:rFonts w:ascii="Arial" w:eastAsia="Times New Roman" w:hAnsi="Arial" w:cs="Times New Roman"/>
          <w:sz w:val="20"/>
          <w:szCs w:val="20"/>
          <w:lang w:val="en-GB" w:eastAsia="de-AT"/>
        </w:rPr>
      </w:pPr>
      <w:r w:rsidRPr="00F6448D">
        <w:rPr>
          <w:rFonts w:ascii="Arial" w:eastAsia="Times New Roman" w:hAnsi="Arial" w:cs="Times New Roman"/>
          <w:sz w:val="20"/>
          <w:szCs w:val="20"/>
          <w:vertAlign w:val="superscript"/>
          <w:lang w:val="en-GB" w:eastAsia="de-AT"/>
        </w:rPr>
        <w:t>2</w:t>
      </w:r>
      <w:r w:rsidRPr="00F6448D">
        <w:rPr>
          <w:rFonts w:ascii="Arial" w:eastAsia="Times New Roman" w:hAnsi="Arial" w:cs="Times New Roman"/>
          <w:sz w:val="20"/>
          <w:szCs w:val="20"/>
          <w:lang w:val="en-GB" w:eastAsia="de-AT"/>
        </w:rPr>
        <w:t xml:space="preserve">  Division of Gastroenterology and Hepatology, Department of Internal Medicine, Medical University  </w:t>
      </w:r>
    </w:p>
    <w:p w:rsidR="00F6448D" w:rsidRPr="00F6448D" w:rsidRDefault="00F6448D" w:rsidP="00F6448D">
      <w:pPr>
        <w:spacing w:after="0" w:line="360" w:lineRule="auto"/>
        <w:ind w:left="142"/>
        <w:rPr>
          <w:rFonts w:ascii="Arial" w:eastAsia="Times New Roman" w:hAnsi="Arial" w:cs="Times New Roman"/>
          <w:sz w:val="20"/>
          <w:szCs w:val="20"/>
          <w:lang w:val="en-GB" w:eastAsia="de-AT"/>
        </w:rPr>
      </w:pPr>
      <w:r w:rsidRPr="00F6448D">
        <w:rPr>
          <w:rFonts w:ascii="Arial" w:eastAsia="Times New Roman" w:hAnsi="Arial" w:cs="Times New Roman"/>
          <w:sz w:val="20"/>
          <w:szCs w:val="20"/>
          <w:lang w:val="en-GB" w:eastAsia="de-AT"/>
        </w:rPr>
        <w:t xml:space="preserve">    of Graz, Graz, Austria</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GB" w:eastAsia="de-AT"/>
        </w:rPr>
        <w:t>3</w:t>
      </w:r>
      <w:r w:rsidRPr="00F6448D">
        <w:rPr>
          <w:rFonts w:ascii="Arial" w:eastAsia="Times New Roman" w:hAnsi="Arial" w:cs="Times New Roman"/>
          <w:sz w:val="20"/>
          <w:szCs w:val="20"/>
          <w:lang w:val="en-GB" w:eastAsia="de-AT"/>
        </w:rPr>
        <w:t xml:space="preserve">  BioTechMed, Graz, Austria</w:t>
      </w:r>
    </w:p>
    <w:p w:rsidR="00F6448D" w:rsidRPr="00F6448D" w:rsidRDefault="00F6448D" w:rsidP="00F6448D">
      <w:pPr>
        <w:spacing w:after="0" w:line="360" w:lineRule="auto"/>
        <w:ind w:left="142"/>
        <w:rPr>
          <w:rFonts w:ascii="Arial" w:eastAsia="Times New Roman" w:hAnsi="Arial" w:cs="Times New Roman"/>
          <w:sz w:val="20"/>
          <w:szCs w:val="20"/>
          <w:lang w:val="en-GB" w:eastAsia="de-AT"/>
        </w:rPr>
      </w:pPr>
      <w:r w:rsidRPr="00F6448D">
        <w:rPr>
          <w:rFonts w:ascii="Arial" w:eastAsia="Times New Roman" w:hAnsi="Arial" w:cs="Times New Roman"/>
          <w:sz w:val="20"/>
          <w:szCs w:val="20"/>
          <w:vertAlign w:val="superscript"/>
          <w:lang w:val="en-GB" w:eastAsia="de-AT"/>
        </w:rPr>
        <w:t xml:space="preserve">4   </w:t>
      </w:r>
      <w:r w:rsidRPr="00F6448D">
        <w:rPr>
          <w:rFonts w:ascii="Arial" w:eastAsia="Times New Roman" w:hAnsi="Arial" w:cs="Times New Roman"/>
          <w:sz w:val="20"/>
          <w:szCs w:val="20"/>
          <w:lang w:val="en-GB" w:eastAsia="de-AT"/>
        </w:rPr>
        <w:t xml:space="preserve">Department of Pathology, Otto von Guericke University, Magdeburg, Germany </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US" w:eastAsia="de-AT"/>
        </w:rPr>
        <w:t xml:space="preserve">5   </w:t>
      </w:r>
      <w:r w:rsidRPr="00F6448D">
        <w:rPr>
          <w:rFonts w:ascii="Arial" w:eastAsia="Times New Roman" w:hAnsi="Arial" w:cs="Arial"/>
          <w:sz w:val="20"/>
          <w:szCs w:val="20"/>
          <w:lang w:val="en-US" w:eastAsia="de-AT"/>
        </w:rPr>
        <w:t>Diagnostic and Research Institute of Pathology, Medical University of Graz, Graz, Austria</w:t>
      </w:r>
      <w:r w:rsidRPr="00F6448D" w:rsidDel="00AC4595">
        <w:rPr>
          <w:rFonts w:ascii="Arial" w:eastAsia="Times New Roman" w:hAnsi="Arial" w:cs="Times New Roman"/>
          <w:sz w:val="20"/>
          <w:szCs w:val="20"/>
          <w:lang w:val="en-US" w:eastAsia="de-AT"/>
        </w:rPr>
        <w:t xml:space="preserve"> </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US" w:eastAsia="de-AT"/>
        </w:rPr>
        <w:t xml:space="preserve">6   </w:t>
      </w:r>
      <w:r w:rsidRPr="00F6448D">
        <w:rPr>
          <w:rFonts w:ascii="Arial" w:eastAsia="Times New Roman" w:hAnsi="Arial" w:cs="Times New Roman"/>
          <w:sz w:val="20"/>
          <w:szCs w:val="20"/>
          <w:lang w:val="en-US" w:eastAsia="de-AT"/>
        </w:rPr>
        <w:t>Department of Pathology, Medical University of Innsbruck, Innsbruck, Austria</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GB" w:eastAsia="de-AT"/>
        </w:rPr>
        <w:t>7</w:t>
      </w:r>
      <w:r w:rsidRPr="00F6448D">
        <w:rPr>
          <w:rFonts w:ascii="Arial" w:eastAsia="Times New Roman" w:hAnsi="Arial" w:cs="Times New Roman"/>
          <w:sz w:val="20"/>
          <w:szCs w:val="20"/>
          <w:lang w:val="en-GB" w:eastAsia="de-AT"/>
        </w:rPr>
        <w:t xml:space="preserve">  </w:t>
      </w:r>
      <w:r w:rsidRPr="00F6448D">
        <w:rPr>
          <w:rFonts w:ascii="Arial" w:eastAsia="Times New Roman" w:hAnsi="Arial" w:cs="Times New Roman"/>
          <w:sz w:val="20"/>
          <w:szCs w:val="20"/>
          <w:lang w:val="en-US" w:eastAsia="de-AT"/>
        </w:rPr>
        <w:t>Institute of Clinical Pharmacology, Goethe University, Frankfurt/Main, Germany</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GB" w:eastAsia="de-AT"/>
        </w:rPr>
        <w:t xml:space="preserve">8   </w:t>
      </w:r>
      <w:r w:rsidRPr="00F6448D">
        <w:rPr>
          <w:rFonts w:ascii="Arial" w:eastAsia="Times New Roman" w:hAnsi="Arial" w:cs="Times New Roman"/>
          <w:sz w:val="20"/>
          <w:szCs w:val="20"/>
          <w:lang w:val="en-US" w:eastAsia="de-AT"/>
        </w:rPr>
        <w:t xml:space="preserve">Core Facility for Mass Spectrometry, Center for Medical Research, Medical University of </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lang w:val="en-US" w:eastAsia="de-AT"/>
        </w:rPr>
        <w:t xml:space="preserve">    Graz, Graz, Austria</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US" w:eastAsia="de-AT"/>
        </w:rPr>
        <w:t>9</w:t>
      </w:r>
      <w:r w:rsidRPr="00F6448D">
        <w:rPr>
          <w:rFonts w:ascii="Arial" w:eastAsia="Times New Roman" w:hAnsi="Arial" w:cs="Times New Roman"/>
          <w:sz w:val="20"/>
          <w:szCs w:val="20"/>
          <w:lang w:val="en-US" w:eastAsia="de-AT"/>
        </w:rPr>
        <w:t xml:space="preserve">  Omics Center Graz, BioTechMed-Graz, 8010 Graz, Austria</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vertAlign w:val="superscript"/>
          <w:lang w:val="en-US" w:eastAsia="de-AT"/>
        </w:rPr>
        <w:t>10</w:t>
      </w:r>
      <w:r w:rsidRPr="00F6448D">
        <w:rPr>
          <w:rFonts w:ascii="Arial" w:eastAsia="Times New Roman" w:hAnsi="Arial" w:cs="Times New Roman"/>
          <w:sz w:val="20"/>
          <w:szCs w:val="20"/>
          <w:lang w:val="en-US" w:eastAsia="de-AT"/>
        </w:rPr>
        <w:t xml:space="preserve"> Core Facility Molekularbiologie, Center for Medical Research, Medical University of Graz, Graz, </w:t>
      </w:r>
    </w:p>
    <w:p w:rsidR="00F6448D" w:rsidRPr="00F6448D" w:rsidRDefault="00F6448D" w:rsidP="00F6448D">
      <w:pPr>
        <w:spacing w:after="0" w:line="360" w:lineRule="auto"/>
        <w:ind w:left="142"/>
        <w:rPr>
          <w:rFonts w:ascii="Arial" w:eastAsia="Times New Roman" w:hAnsi="Arial" w:cs="Times New Roman"/>
          <w:sz w:val="20"/>
          <w:szCs w:val="20"/>
          <w:lang w:val="en-US" w:eastAsia="de-AT"/>
        </w:rPr>
      </w:pPr>
      <w:r w:rsidRPr="00F6448D">
        <w:rPr>
          <w:rFonts w:ascii="Arial" w:eastAsia="Times New Roman" w:hAnsi="Arial" w:cs="Times New Roman"/>
          <w:sz w:val="20"/>
          <w:szCs w:val="20"/>
          <w:lang w:val="en-US" w:eastAsia="de-AT"/>
        </w:rPr>
        <w:t xml:space="preserve">    Austria</w:t>
      </w:r>
    </w:p>
    <w:p w:rsidR="00F6448D" w:rsidRPr="00F6448D" w:rsidRDefault="00F6448D" w:rsidP="00F6448D">
      <w:pPr>
        <w:spacing w:after="0" w:line="360" w:lineRule="auto"/>
        <w:rPr>
          <w:rFonts w:ascii="Arial" w:eastAsia="Times New Roman" w:hAnsi="Arial" w:cs="Times New Roman"/>
          <w:szCs w:val="24"/>
          <w:lang w:val="en-US" w:eastAsia="de-AT"/>
        </w:rPr>
      </w:pPr>
    </w:p>
    <w:p w:rsidR="00F6448D" w:rsidRPr="00F6448D" w:rsidRDefault="00F6448D" w:rsidP="00F6448D">
      <w:pPr>
        <w:spacing w:after="0" w:line="360" w:lineRule="auto"/>
        <w:rPr>
          <w:rFonts w:ascii="Arial" w:eastAsia="Times New Roman" w:hAnsi="Arial" w:cs="Times New Roman"/>
          <w:szCs w:val="24"/>
          <w:lang w:val="en-US" w:eastAsia="de-AT"/>
        </w:rPr>
      </w:pPr>
      <w:r w:rsidRPr="00F6448D">
        <w:rPr>
          <w:rFonts w:ascii="Arial" w:eastAsia="Times New Roman" w:hAnsi="Arial" w:cs="Times New Roman"/>
          <w:szCs w:val="24"/>
          <w:lang w:val="en-US" w:eastAsia="de-AT"/>
        </w:rPr>
        <w:t xml:space="preserve">* </w:t>
      </w:r>
      <w:r w:rsidRPr="00F6448D">
        <w:rPr>
          <w:rFonts w:ascii="Arial" w:eastAsia="Times New Roman" w:hAnsi="Arial" w:cs="Times New Roman"/>
          <w:szCs w:val="24"/>
          <w:u w:val="single"/>
          <w:lang w:val="en-US" w:eastAsia="de-AT"/>
        </w:rPr>
        <w:t>Corresponding author</w:t>
      </w:r>
      <w:r w:rsidRPr="00F6448D">
        <w:rPr>
          <w:rFonts w:ascii="Arial" w:eastAsia="Times New Roman" w:hAnsi="Arial" w:cs="Times New Roman"/>
          <w:szCs w:val="24"/>
          <w:lang w:val="en-US" w:eastAsia="de-AT"/>
        </w:rPr>
        <w:t xml:space="preserve">: </w:t>
      </w:r>
    </w:p>
    <w:p w:rsidR="00F6448D" w:rsidRPr="00F6448D" w:rsidRDefault="00F6448D" w:rsidP="00F6448D">
      <w:pPr>
        <w:spacing w:after="0" w:line="360" w:lineRule="auto"/>
        <w:rPr>
          <w:rFonts w:ascii="Arial" w:eastAsia="Times New Roman" w:hAnsi="Arial" w:cs="Times New Roman"/>
          <w:szCs w:val="24"/>
          <w:lang w:val="en-US" w:eastAsia="de-AT"/>
        </w:rPr>
      </w:pPr>
    </w:p>
    <w:p w:rsidR="00F6448D" w:rsidRPr="00F6448D" w:rsidRDefault="00F6448D" w:rsidP="00F6448D">
      <w:pPr>
        <w:spacing w:after="0" w:line="360" w:lineRule="auto"/>
        <w:rPr>
          <w:rFonts w:ascii="Arial" w:eastAsia="Times New Roman" w:hAnsi="Arial" w:cs="Times New Roman"/>
          <w:b/>
          <w:szCs w:val="24"/>
          <w:lang w:val="en-US" w:eastAsia="de-AT"/>
        </w:rPr>
      </w:pPr>
      <w:r w:rsidRPr="00F6448D">
        <w:rPr>
          <w:rFonts w:ascii="Arial" w:eastAsia="Times New Roman" w:hAnsi="Arial" w:cs="Times New Roman"/>
          <w:b/>
          <w:szCs w:val="24"/>
          <w:lang w:val="en-US" w:eastAsia="de-AT"/>
        </w:rPr>
        <w:t>Rudolf Schicho, PhD</w:t>
      </w:r>
    </w:p>
    <w:p w:rsidR="00F6448D" w:rsidRPr="00F6448D" w:rsidRDefault="00F6448D" w:rsidP="00F6448D">
      <w:pPr>
        <w:spacing w:after="0" w:line="360" w:lineRule="auto"/>
        <w:rPr>
          <w:rFonts w:ascii="Arial" w:eastAsia="Times New Roman" w:hAnsi="Arial" w:cs="Times New Roman"/>
          <w:szCs w:val="24"/>
          <w:lang w:val="en-US" w:eastAsia="de-AT"/>
        </w:rPr>
      </w:pPr>
      <w:r w:rsidRPr="00F6448D">
        <w:rPr>
          <w:rFonts w:ascii="Arial" w:eastAsia="Times New Roman" w:hAnsi="Arial" w:cs="Arial"/>
          <w:noProof/>
          <w:szCs w:val="24"/>
          <w:lang w:val="en-US" w:eastAsia="de-AT"/>
        </w:rPr>
        <w:t>Otto Loewi Research Center, Division of Pharmacology</w:t>
      </w:r>
      <w:r w:rsidRPr="00F6448D">
        <w:rPr>
          <w:rFonts w:ascii="Arial" w:eastAsia="Times New Roman" w:hAnsi="Arial" w:cs="Times New Roman"/>
          <w:szCs w:val="24"/>
          <w:lang w:val="en-US" w:eastAsia="de-AT"/>
        </w:rPr>
        <w:t>, Medical University of Graz, Universitätsplatz 4/I, 8010 Graz, Austria</w:t>
      </w:r>
    </w:p>
    <w:p w:rsidR="00F6448D" w:rsidRPr="00F6448D" w:rsidRDefault="00F6448D" w:rsidP="00F6448D">
      <w:pPr>
        <w:spacing w:after="0" w:line="360" w:lineRule="auto"/>
        <w:rPr>
          <w:rFonts w:ascii="Arial" w:eastAsia="Times New Roman" w:hAnsi="Arial" w:cs="Times New Roman"/>
          <w:szCs w:val="24"/>
          <w:lang w:val="en-US" w:eastAsia="de-AT"/>
        </w:rPr>
      </w:pPr>
      <w:r w:rsidRPr="00F6448D">
        <w:rPr>
          <w:rFonts w:ascii="Arial" w:eastAsia="Times New Roman" w:hAnsi="Arial" w:cs="Times New Roman"/>
          <w:szCs w:val="24"/>
          <w:lang w:val="en-US" w:eastAsia="de-AT"/>
        </w:rPr>
        <w:t xml:space="preserve">phone: +43316-385-74114 </w:t>
      </w:r>
    </w:p>
    <w:p w:rsidR="00F6448D" w:rsidRPr="00F6448D" w:rsidRDefault="00F6448D" w:rsidP="00F6448D">
      <w:pPr>
        <w:spacing w:after="0" w:line="360" w:lineRule="auto"/>
        <w:rPr>
          <w:rFonts w:ascii="Arial" w:eastAsia="Times New Roman" w:hAnsi="Arial" w:cs="Times New Roman"/>
          <w:szCs w:val="24"/>
          <w:lang w:val="en-US" w:eastAsia="de-AT"/>
        </w:rPr>
      </w:pPr>
      <w:r w:rsidRPr="00F6448D">
        <w:rPr>
          <w:rFonts w:ascii="Arial" w:eastAsia="Times New Roman" w:hAnsi="Arial" w:cs="Times New Roman"/>
          <w:szCs w:val="24"/>
          <w:lang w:val="en-US" w:eastAsia="de-AT"/>
        </w:rPr>
        <w:t>fax: +43316-385-79613</w:t>
      </w:r>
    </w:p>
    <w:p w:rsidR="00F6448D" w:rsidRPr="00F6448D" w:rsidRDefault="00F6448D" w:rsidP="00F6448D">
      <w:pPr>
        <w:spacing w:after="0" w:line="360" w:lineRule="auto"/>
        <w:rPr>
          <w:rFonts w:ascii="Arial" w:eastAsia="Times New Roman" w:hAnsi="Arial" w:cs="Times New Roman"/>
          <w:szCs w:val="24"/>
          <w:lang w:val="en-US" w:eastAsia="de-AT"/>
        </w:rPr>
      </w:pPr>
      <w:r w:rsidRPr="00F6448D">
        <w:rPr>
          <w:rFonts w:ascii="Arial" w:eastAsia="Times New Roman" w:hAnsi="Arial" w:cs="Times New Roman"/>
          <w:szCs w:val="24"/>
          <w:lang w:val="en-US" w:eastAsia="de-AT"/>
        </w:rPr>
        <w:t>email: rudolf.schicho@medunigraz.at</w:t>
      </w:r>
    </w:p>
    <w:p w:rsidR="00F6448D" w:rsidRDefault="00F6448D" w:rsidP="007227B0">
      <w:pPr>
        <w:spacing w:line="360" w:lineRule="auto"/>
        <w:jc w:val="both"/>
        <w:rPr>
          <w:rFonts w:ascii="Arial" w:hAnsi="Arial" w:cs="Arial"/>
          <w:sz w:val="32"/>
          <w:szCs w:val="32"/>
          <w:lang w:val="en-US"/>
        </w:rPr>
      </w:pPr>
    </w:p>
    <w:p w:rsidR="00F6448D" w:rsidRDefault="00F6448D" w:rsidP="007227B0">
      <w:pPr>
        <w:spacing w:line="360" w:lineRule="auto"/>
        <w:jc w:val="both"/>
        <w:rPr>
          <w:rFonts w:ascii="Arial" w:hAnsi="Arial" w:cs="Arial"/>
          <w:sz w:val="32"/>
          <w:szCs w:val="32"/>
          <w:lang w:val="en-US"/>
        </w:rPr>
      </w:pPr>
    </w:p>
    <w:p w:rsidR="00F6448D" w:rsidRDefault="00F6448D" w:rsidP="007227B0">
      <w:pPr>
        <w:spacing w:line="360" w:lineRule="auto"/>
        <w:jc w:val="both"/>
        <w:rPr>
          <w:rFonts w:ascii="Arial" w:hAnsi="Arial" w:cs="Arial"/>
          <w:sz w:val="32"/>
          <w:szCs w:val="32"/>
          <w:lang w:val="en-US"/>
        </w:rPr>
      </w:pPr>
    </w:p>
    <w:p w:rsidR="00F6448D" w:rsidRDefault="00F6448D" w:rsidP="007227B0">
      <w:pPr>
        <w:spacing w:line="360" w:lineRule="auto"/>
        <w:jc w:val="both"/>
        <w:rPr>
          <w:rFonts w:ascii="Arial" w:hAnsi="Arial" w:cs="Arial"/>
          <w:sz w:val="32"/>
          <w:szCs w:val="32"/>
          <w:lang w:val="en-US"/>
        </w:rPr>
      </w:pPr>
      <w:bookmarkStart w:id="0" w:name="_GoBack"/>
      <w:bookmarkEnd w:id="0"/>
    </w:p>
    <w:p w:rsidR="000F2C4F" w:rsidRDefault="000F2C4F" w:rsidP="007227B0">
      <w:pPr>
        <w:spacing w:line="360" w:lineRule="auto"/>
        <w:jc w:val="both"/>
        <w:rPr>
          <w:rFonts w:ascii="Arial" w:hAnsi="Arial" w:cs="Arial"/>
          <w:sz w:val="32"/>
          <w:szCs w:val="32"/>
          <w:lang w:val="en-US"/>
        </w:rPr>
      </w:pPr>
      <w:r w:rsidRPr="000F2C4F">
        <w:rPr>
          <w:rFonts w:ascii="Arial" w:hAnsi="Arial" w:cs="Arial"/>
          <w:sz w:val="32"/>
          <w:szCs w:val="32"/>
          <w:lang w:val="en-US"/>
        </w:rPr>
        <w:lastRenderedPageBreak/>
        <w:t xml:space="preserve">Supplementary </w:t>
      </w:r>
      <w:r>
        <w:rPr>
          <w:rFonts w:ascii="Arial" w:hAnsi="Arial" w:cs="Arial"/>
          <w:sz w:val="32"/>
          <w:szCs w:val="32"/>
          <w:lang w:val="en-US"/>
        </w:rPr>
        <w:t>Table S1</w:t>
      </w:r>
    </w:p>
    <w:p w:rsidR="000F2C4F" w:rsidRPr="000F2C4F" w:rsidRDefault="000F2C4F" w:rsidP="000F2C4F">
      <w:pPr>
        <w:spacing w:line="360" w:lineRule="auto"/>
        <w:rPr>
          <w:rFonts w:ascii="Arial" w:hAnsi="Arial" w:cs="Arial"/>
          <w:b/>
          <w:sz w:val="24"/>
          <w:szCs w:val="24"/>
          <w:lang w:val="en-US"/>
        </w:rPr>
      </w:pPr>
      <w:r w:rsidRPr="000F2C4F">
        <w:rPr>
          <w:rFonts w:ascii="Arial" w:hAnsi="Arial" w:cs="Arial"/>
          <w:b/>
          <w:sz w:val="24"/>
          <w:szCs w:val="24"/>
          <w:lang w:val="en-US"/>
        </w:rPr>
        <w:t xml:space="preserve">mRNA analysis of intestinal mucosal biopsies </w:t>
      </w:r>
      <w:r w:rsidR="0025622C" w:rsidRPr="000F2C4F">
        <w:rPr>
          <w:rFonts w:ascii="Arial" w:hAnsi="Arial" w:cs="Arial"/>
          <w:b/>
          <w:sz w:val="24"/>
          <w:szCs w:val="24"/>
          <w:lang w:val="en-US"/>
        </w:rPr>
        <w:t>assessed</w:t>
      </w:r>
      <w:r w:rsidRPr="000F2C4F">
        <w:rPr>
          <w:rFonts w:ascii="Arial" w:hAnsi="Arial" w:cs="Arial"/>
          <w:b/>
          <w:sz w:val="24"/>
          <w:szCs w:val="24"/>
          <w:lang w:val="en-US"/>
        </w:rPr>
        <w:t xml:space="preserve"> by NanoString technology</w:t>
      </w:r>
    </w:p>
    <w:tbl>
      <w:tblPr>
        <w:tblW w:w="9363" w:type="dxa"/>
        <w:tblCellMar>
          <w:left w:w="0" w:type="dxa"/>
          <w:right w:w="0" w:type="dxa"/>
        </w:tblCellMar>
        <w:tblLook w:val="0600" w:firstRow="0" w:lastRow="0" w:firstColumn="0" w:lastColumn="0" w:noHBand="1" w:noVBand="1"/>
      </w:tblPr>
      <w:tblGrid>
        <w:gridCol w:w="9183"/>
        <w:gridCol w:w="30"/>
        <w:gridCol w:w="30"/>
        <w:gridCol w:w="30"/>
        <w:gridCol w:w="30"/>
        <w:gridCol w:w="30"/>
        <w:gridCol w:w="30"/>
      </w:tblGrid>
      <w:tr w:rsidR="00B861A2" w:rsidRPr="00E7714E" w:rsidTr="00B861A2">
        <w:trPr>
          <w:trHeight w:val="428"/>
        </w:trPr>
        <w:tc>
          <w:tcPr>
            <w:tcW w:w="918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E7714E" w:rsidP="00B861A2">
            <w:pPr>
              <w:spacing w:after="0" w:line="240" w:lineRule="auto"/>
              <w:textAlignment w:val="bottom"/>
              <w:rPr>
                <w:rFonts w:ascii="Arial" w:eastAsia="Times New Roman" w:hAnsi="Arial" w:cs="Arial"/>
                <w:sz w:val="36"/>
                <w:szCs w:val="36"/>
                <w:lang w:val="en-US" w:eastAsia="de-DE"/>
              </w:rPr>
            </w:pPr>
            <w:r>
              <w:rPr>
                <w:rFonts w:ascii="Arial" w:eastAsia="Times New Roman" w:hAnsi="Arial" w:cs="Arial"/>
                <w:noProof/>
                <w:sz w:val="36"/>
                <w:szCs w:val="36"/>
                <w:lang w:eastAsia="de-DE"/>
              </w:rPr>
              <w:drawing>
                <wp:inline distT="0" distB="0" distL="0" distR="0" wp14:anchorId="1F3D00FA">
                  <wp:extent cx="5334635" cy="4700270"/>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635" cy="4700270"/>
                          </a:xfrm>
                          <a:prstGeom prst="rect">
                            <a:avLst/>
                          </a:prstGeom>
                          <a:noFill/>
                        </pic:spPr>
                      </pic:pic>
                    </a:graphicData>
                  </a:graphic>
                </wp:inline>
              </w:drawing>
            </w:r>
          </w:p>
        </w:tc>
        <w:tc>
          <w:tcPr>
            <w:tcW w:w="3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B861A2" w:rsidP="00B861A2">
            <w:pPr>
              <w:spacing w:after="0" w:line="240" w:lineRule="auto"/>
              <w:rPr>
                <w:rFonts w:ascii="Arial" w:eastAsia="Times New Roman" w:hAnsi="Arial" w:cs="Arial"/>
                <w:sz w:val="36"/>
                <w:szCs w:val="36"/>
                <w:lang w:val="en-US" w:eastAsia="de-DE"/>
              </w:rPr>
            </w:pPr>
          </w:p>
        </w:tc>
        <w:tc>
          <w:tcPr>
            <w:tcW w:w="3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B861A2" w:rsidP="00B861A2">
            <w:pPr>
              <w:spacing w:after="0" w:line="240" w:lineRule="auto"/>
              <w:rPr>
                <w:rFonts w:ascii="Arial" w:eastAsia="Times New Roman" w:hAnsi="Arial" w:cs="Arial"/>
                <w:sz w:val="36"/>
                <w:szCs w:val="36"/>
                <w:lang w:val="en-US" w:eastAsia="de-DE"/>
              </w:rPr>
            </w:pPr>
          </w:p>
        </w:tc>
        <w:tc>
          <w:tcPr>
            <w:tcW w:w="3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B861A2" w:rsidP="00B861A2">
            <w:pPr>
              <w:spacing w:after="0" w:line="240" w:lineRule="auto"/>
              <w:rPr>
                <w:rFonts w:ascii="Arial" w:eastAsia="Times New Roman" w:hAnsi="Arial" w:cs="Arial"/>
                <w:sz w:val="36"/>
                <w:szCs w:val="36"/>
                <w:lang w:val="en-US" w:eastAsia="de-DE"/>
              </w:rPr>
            </w:pPr>
          </w:p>
        </w:tc>
        <w:tc>
          <w:tcPr>
            <w:tcW w:w="3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B861A2" w:rsidP="00B861A2">
            <w:pPr>
              <w:spacing w:after="0" w:line="240" w:lineRule="auto"/>
              <w:textAlignment w:val="bottom"/>
              <w:rPr>
                <w:rFonts w:ascii="Arial" w:eastAsia="Times New Roman" w:hAnsi="Arial" w:cs="Arial"/>
                <w:sz w:val="36"/>
                <w:szCs w:val="36"/>
                <w:lang w:val="en-US" w:eastAsia="de-DE"/>
              </w:rPr>
            </w:pPr>
          </w:p>
        </w:tc>
        <w:tc>
          <w:tcPr>
            <w:tcW w:w="3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B861A2" w:rsidP="00B861A2">
            <w:pPr>
              <w:spacing w:after="0" w:line="240" w:lineRule="auto"/>
              <w:rPr>
                <w:rFonts w:ascii="Arial" w:eastAsia="Times New Roman" w:hAnsi="Arial" w:cs="Arial"/>
                <w:sz w:val="36"/>
                <w:szCs w:val="36"/>
                <w:lang w:val="en-US" w:eastAsia="de-DE"/>
              </w:rPr>
            </w:pPr>
          </w:p>
        </w:tc>
        <w:tc>
          <w:tcPr>
            <w:tcW w:w="3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bottom"/>
          </w:tcPr>
          <w:p w:rsidR="00B861A2" w:rsidRPr="00E7714E" w:rsidRDefault="00B861A2" w:rsidP="00B861A2">
            <w:pPr>
              <w:spacing w:after="0" w:line="240" w:lineRule="auto"/>
              <w:rPr>
                <w:rFonts w:ascii="Arial" w:eastAsia="Times New Roman" w:hAnsi="Arial" w:cs="Arial"/>
                <w:sz w:val="36"/>
                <w:szCs w:val="36"/>
                <w:lang w:val="en-US" w:eastAsia="de-DE"/>
              </w:rPr>
            </w:pPr>
          </w:p>
        </w:tc>
      </w:tr>
    </w:tbl>
    <w:p w:rsidR="000F2C4F" w:rsidRDefault="000F2C4F" w:rsidP="007227B0">
      <w:pPr>
        <w:spacing w:line="360" w:lineRule="auto"/>
        <w:jc w:val="both"/>
        <w:rPr>
          <w:rFonts w:ascii="Arial" w:hAnsi="Arial" w:cs="Arial"/>
          <w:b/>
          <w:lang w:val="en-US"/>
        </w:rPr>
      </w:pPr>
    </w:p>
    <w:p w:rsidR="00B861A2" w:rsidRDefault="00B861A2" w:rsidP="007227B0">
      <w:pPr>
        <w:spacing w:line="360" w:lineRule="auto"/>
        <w:jc w:val="both"/>
        <w:rPr>
          <w:rFonts w:ascii="Arial" w:hAnsi="Arial" w:cs="Arial"/>
          <w:b/>
          <w:lang w:val="en-US"/>
        </w:rPr>
      </w:pPr>
    </w:p>
    <w:p w:rsidR="00B861A2" w:rsidRDefault="00B861A2" w:rsidP="007227B0">
      <w:pPr>
        <w:spacing w:line="360" w:lineRule="auto"/>
        <w:jc w:val="both"/>
        <w:rPr>
          <w:rFonts w:ascii="Arial" w:hAnsi="Arial" w:cs="Arial"/>
          <w:b/>
          <w:lang w:val="en-US"/>
        </w:rPr>
      </w:pPr>
    </w:p>
    <w:p w:rsidR="00B861A2" w:rsidRDefault="00B861A2" w:rsidP="007227B0">
      <w:pPr>
        <w:spacing w:line="360" w:lineRule="auto"/>
        <w:jc w:val="both"/>
        <w:rPr>
          <w:rFonts w:ascii="Arial" w:hAnsi="Arial" w:cs="Arial"/>
          <w:b/>
          <w:lang w:val="en-US"/>
        </w:rPr>
      </w:pPr>
    </w:p>
    <w:p w:rsidR="00B861A2" w:rsidRDefault="00B861A2" w:rsidP="007227B0">
      <w:pPr>
        <w:spacing w:line="360" w:lineRule="auto"/>
        <w:jc w:val="both"/>
        <w:rPr>
          <w:rFonts w:ascii="Arial" w:hAnsi="Arial" w:cs="Arial"/>
          <w:b/>
          <w:lang w:val="en-US"/>
        </w:rPr>
      </w:pPr>
    </w:p>
    <w:p w:rsidR="00E7714E" w:rsidRDefault="00E7714E" w:rsidP="007227B0">
      <w:pPr>
        <w:spacing w:line="360" w:lineRule="auto"/>
        <w:jc w:val="both"/>
        <w:rPr>
          <w:rFonts w:ascii="Arial" w:hAnsi="Arial" w:cs="Arial"/>
          <w:b/>
          <w:lang w:val="en-US"/>
        </w:rPr>
      </w:pPr>
    </w:p>
    <w:p w:rsidR="00E7714E" w:rsidRDefault="00E7714E" w:rsidP="007227B0">
      <w:pPr>
        <w:spacing w:line="360" w:lineRule="auto"/>
        <w:jc w:val="both"/>
        <w:rPr>
          <w:rFonts w:ascii="Arial" w:hAnsi="Arial" w:cs="Arial"/>
          <w:b/>
          <w:lang w:val="en-US"/>
        </w:rPr>
      </w:pPr>
    </w:p>
    <w:p w:rsidR="00DD3EC0" w:rsidRDefault="00DD3EC0" w:rsidP="007227B0">
      <w:pPr>
        <w:spacing w:line="360" w:lineRule="auto"/>
        <w:jc w:val="both"/>
        <w:rPr>
          <w:rFonts w:ascii="Arial" w:hAnsi="Arial" w:cs="Arial"/>
          <w:b/>
          <w:lang w:val="en-US"/>
        </w:rPr>
      </w:pPr>
    </w:p>
    <w:p w:rsidR="00DD3EC0" w:rsidRDefault="00DD3EC0" w:rsidP="007227B0">
      <w:pPr>
        <w:spacing w:line="360" w:lineRule="auto"/>
        <w:jc w:val="both"/>
        <w:rPr>
          <w:rFonts w:ascii="Arial" w:hAnsi="Arial" w:cs="Arial"/>
          <w:b/>
          <w:lang w:val="en-US"/>
        </w:rPr>
      </w:pPr>
    </w:p>
    <w:p w:rsidR="000967C2" w:rsidRPr="000967C2" w:rsidRDefault="000967C2" w:rsidP="000967C2">
      <w:pPr>
        <w:spacing w:line="360" w:lineRule="auto"/>
        <w:jc w:val="both"/>
        <w:rPr>
          <w:rFonts w:ascii="Arial" w:hAnsi="Arial" w:cs="Arial"/>
          <w:sz w:val="32"/>
          <w:szCs w:val="32"/>
          <w:lang w:val="en-US"/>
        </w:rPr>
      </w:pPr>
      <w:r w:rsidRPr="000967C2">
        <w:rPr>
          <w:rFonts w:ascii="Arial" w:hAnsi="Arial" w:cs="Arial"/>
          <w:sz w:val="32"/>
          <w:szCs w:val="32"/>
          <w:lang w:val="en-US"/>
        </w:rPr>
        <w:lastRenderedPageBreak/>
        <w:t>Supplementary Table S2</w:t>
      </w:r>
    </w:p>
    <w:p w:rsidR="000967C2" w:rsidRPr="000967C2" w:rsidRDefault="000967C2" w:rsidP="000967C2">
      <w:pPr>
        <w:spacing w:line="360" w:lineRule="auto"/>
        <w:jc w:val="both"/>
        <w:rPr>
          <w:rFonts w:ascii="Arial" w:hAnsi="Arial" w:cs="Arial"/>
          <w:sz w:val="32"/>
          <w:szCs w:val="32"/>
          <w:lang w:val="en-US"/>
        </w:rPr>
      </w:pPr>
      <w:r w:rsidRPr="000967C2">
        <w:rPr>
          <w:rFonts w:ascii="Arial" w:hAnsi="Arial" w:cs="Arial"/>
          <w:b/>
          <w:sz w:val="32"/>
          <w:szCs w:val="32"/>
          <w:lang w:val="en-GB"/>
        </w:rPr>
        <w:t xml:space="preserve">Mass spectrometry </w:t>
      </w:r>
    </w:p>
    <w:p w:rsidR="000967C2" w:rsidRPr="000967C2" w:rsidRDefault="000967C2" w:rsidP="000967C2">
      <w:pPr>
        <w:keepNext/>
        <w:spacing w:after="0" w:line="240" w:lineRule="auto"/>
        <w:rPr>
          <w:rFonts w:ascii="Arial" w:eastAsia="Times New Roman" w:hAnsi="Arial" w:cs="Arial"/>
          <w:b/>
          <w:bCs/>
          <w:sz w:val="24"/>
          <w:szCs w:val="24"/>
          <w:lang w:val="en-US" w:eastAsia="de-DE"/>
        </w:rPr>
      </w:pPr>
      <w:r w:rsidRPr="000967C2">
        <w:rPr>
          <w:rFonts w:ascii="Arial" w:eastAsia="Times New Roman" w:hAnsi="Arial" w:cs="Arial"/>
          <w:b/>
          <w:bCs/>
          <w:sz w:val="24"/>
          <w:szCs w:val="24"/>
          <w:lang w:val="en-US" w:eastAsia="de-DE"/>
        </w:rPr>
        <w:t>Information on gradient and flow rate.</w:t>
      </w:r>
    </w:p>
    <w:tbl>
      <w:tblPr>
        <w:tblStyle w:val="Tabellenraster"/>
        <w:tblW w:w="0" w:type="auto"/>
        <w:tblLook w:val="04A0" w:firstRow="1" w:lastRow="0" w:firstColumn="1" w:lastColumn="0" w:noHBand="0" w:noVBand="1"/>
      </w:tblPr>
      <w:tblGrid>
        <w:gridCol w:w="1940"/>
        <w:gridCol w:w="1941"/>
        <w:gridCol w:w="1941"/>
        <w:gridCol w:w="1941"/>
      </w:tblGrid>
      <w:tr w:rsidR="000967C2" w:rsidRPr="000967C2" w:rsidTr="002F3230">
        <w:tc>
          <w:tcPr>
            <w:tcW w:w="1940"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Time</w:t>
            </w:r>
          </w:p>
        </w:tc>
        <w:tc>
          <w:tcPr>
            <w:tcW w:w="1941"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Flow rate (µL/min)</w:t>
            </w:r>
          </w:p>
        </w:tc>
        <w:tc>
          <w:tcPr>
            <w:tcW w:w="1941"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Solvent A (%)</w:t>
            </w:r>
          </w:p>
        </w:tc>
        <w:tc>
          <w:tcPr>
            <w:tcW w:w="1941"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Solvent B (%)</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0.00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80.0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20.0</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0.50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80.0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20.0</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0.60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40.0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60.0</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8.00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36.5</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63.5</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8.01</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95.0</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10.00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95.0</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10.01</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80.0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20.0</w:t>
            </w:r>
          </w:p>
        </w:tc>
      </w:tr>
      <w:tr w:rsidR="000967C2" w:rsidRPr="000967C2" w:rsidTr="002F3230">
        <w:tc>
          <w:tcPr>
            <w:tcW w:w="1940"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12.00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80.0</w:t>
            </w:r>
          </w:p>
        </w:tc>
        <w:tc>
          <w:tcPr>
            <w:tcW w:w="194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20.0</w:t>
            </w:r>
          </w:p>
        </w:tc>
      </w:tr>
    </w:tbl>
    <w:p w:rsidR="000967C2" w:rsidRPr="000967C2" w:rsidRDefault="000967C2" w:rsidP="000967C2">
      <w:pPr>
        <w:spacing w:after="0" w:line="360" w:lineRule="auto"/>
        <w:rPr>
          <w:rFonts w:ascii="Arial" w:eastAsia="Times New Roman" w:hAnsi="Arial" w:cs="Arial"/>
          <w:sz w:val="24"/>
          <w:szCs w:val="20"/>
          <w:lang w:val="en-US" w:eastAsia="de-DE"/>
        </w:rPr>
      </w:pPr>
    </w:p>
    <w:p w:rsidR="000967C2" w:rsidRPr="000967C2" w:rsidRDefault="000967C2" w:rsidP="000967C2">
      <w:pPr>
        <w:keepNext/>
        <w:spacing w:after="0" w:line="240" w:lineRule="auto"/>
        <w:rPr>
          <w:rFonts w:ascii="Arial" w:eastAsia="Times New Roman" w:hAnsi="Arial" w:cs="Arial"/>
          <w:b/>
          <w:bCs/>
          <w:sz w:val="24"/>
          <w:szCs w:val="24"/>
          <w:lang w:val="en-US" w:eastAsia="de-DE"/>
        </w:rPr>
      </w:pPr>
      <w:r w:rsidRPr="000967C2">
        <w:rPr>
          <w:rFonts w:ascii="Arial" w:eastAsia="Times New Roman" w:hAnsi="Arial" w:cs="Arial"/>
          <w:b/>
          <w:bCs/>
          <w:sz w:val="24"/>
          <w:szCs w:val="24"/>
          <w:lang w:val="en-US" w:eastAsia="de-DE"/>
        </w:rPr>
        <w:t>Information on LC- and MS-parameter.</w:t>
      </w:r>
    </w:p>
    <w:tbl>
      <w:tblPr>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tblGrid>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b/>
                <w:sz w:val="20"/>
                <w:szCs w:val="20"/>
                <w:lang w:val="en-US" w:eastAsia="de-DE"/>
              </w:rPr>
            </w:pPr>
            <w:r w:rsidRPr="000967C2">
              <w:rPr>
                <w:rFonts w:ascii="Arial" w:eastAsia="Times New Roman" w:hAnsi="Arial" w:cs="Arial"/>
                <w:b/>
                <w:sz w:val="20"/>
                <w:szCs w:val="20"/>
                <w:lang w:val="en-US" w:eastAsia="de-DE"/>
              </w:rPr>
              <w:t>parameter</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b/>
                <w:sz w:val="20"/>
                <w:szCs w:val="20"/>
                <w:lang w:val="en-US" w:eastAsia="de-DE"/>
              </w:rPr>
            </w:pPr>
            <w:r w:rsidRPr="000967C2">
              <w:rPr>
                <w:rFonts w:ascii="Arial" w:eastAsia="Times New Roman" w:hAnsi="Arial" w:cs="Arial"/>
                <w:b/>
                <w:sz w:val="20"/>
                <w:szCs w:val="20"/>
                <w:lang w:val="en-US" w:eastAsia="de-DE"/>
              </w:rPr>
              <w:t>setting</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Injection volume</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10 µL</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Column oven temperature</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50 °C</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Curtain gas (nitrogen)</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45 psi</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Ionspray voltage</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4500 V</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Source temperature</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450 °C</w:t>
            </w:r>
          </w:p>
        </w:tc>
      </w:tr>
      <w:tr w:rsidR="000967C2" w:rsidRPr="000967C2" w:rsidTr="002F3230">
        <w:trPr>
          <w:trHeight w:val="204"/>
        </w:trPr>
        <w:tc>
          <w:tcPr>
            <w:tcW w:w="2500" w:type="pct"/>
            <w:shd w:val="clear" w:color="auto" w:fill="auto"/>
            <w:vAlign w:val="center"/>
          </w:tcPr>
          <w:p w:rsidR="000967C2" w:rsidRPr="000967C2" w:rsidRDefault="000967C2" w:rsidP="00B22C1B">
            <w:pPr>
              <w:spacing w:after="0" w:line="240" w:lineRule="auto"/>
              <w:jc w:val="both"/>
              <w:rPr>
                <w:rFonts w:ascii="Arial" w:eastAsia="Times New Roman" w:hAnsi="Arial" w:cs="Arial"/>
                <w:sz w:val="20"/>
                <w:szCs w:val="20"/>
                <w:lang w:val="en-US" w:eastAsia="de-DE"/>
              </w:rPr>
            </w:pPr>
            <w:bookmarkStart w:id="1" w:name="_Hlk452104769"/>
            <w:r w:rsidRPr="000967C2">
              <w:rPr>
                <w:rFonts w:ascii="Arial" w:eastAsia="Times New Roman" w:hAnsi="Arial" w:cs="Arial"/>
                <w:sz w:val="20"/>
                <w:szCs w:val="20"/>
                <w:lang w:val="en-US" w:eastAsia="de-DE"/>
              </w:rPr>
              <w:t xml:space="preserve">Nebulizer gas </w:t>
            </w:r>
            <w:bookmarkStart w:id="2" w:name="OLE_LINK3"/>
            <w:r w:rsidRPr="000967C2">
              <w:rPr>
                <w:rFonts w:ascii="Arial" w:eastAsia="Times New Roman" w:hAnsi="Arial" w:cs="Arial"/>
                <w:sz w:val="20"/>
                <w:szCs w:val="20"/>
                <w:lang w:val="en-US" w:eastAsia="de-DE"/>
              </w:rPr>
              <w:t>(</w:t>
            </w:r>
            <w:r w:rsidR="00B22C1B">
              <w:rPr>
                <w:rFonts w:ascii="Arial" w:eastAsia="Times New Roman" w:hAnsi="Arial" w:cs="Arial"/>
                <w:sz w:val="20"/>
                <w:szCs w:val="20"/>
                <w:lang w:val="en-US" w:eastAsia="de-DE"/>
              </w:rPr>
              <w:t>nitrogen</w:t>
            </w:r>
            <w:r w:rsidRPr="000967C2">
              <w:rPr>
                <w:rFonts w:ascii="Arial" w:eastAsia="Times New Roman" w:hAnsi="Arial" w:cs="Arial"/>
                <w:sz w:val="20"/>
                <w:szCs w:val="20"/>
                <w:lang w:val="en-US" w:eastAsia="de-DE"/>
              </w:rPr>
              <w:t>)</w:t>
            </w:r>
            <w:bookmarkEnd w:id="2"/>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40 psi</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Auxiliary/Turbo heater gas (nitrogen)</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60psi</w:t>
            </w:r>
          </w:p>
        </w:tc>
      </w:tr>
      <w:bookmarkEnd w:id="1"/>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Collision gas (nitrogen)</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bookmarkStart w:id="3" w:name="OLE_LINK10"/>
            <w:r w:rsidRPr="000967C2">
              <w:rPr>
                <w:rFonts w:ascii="Arial" w:eastAsia="Times New Roman" w:hAnsi="Arial" w:cs="Arial"/>
                <w:sz w:val="20"/>
                <w:szCs w:val="20"/>
                <w:lang w:val="en-US" w:eastAsia="de-DE"/>
              </w:rPr>
              <w:t>9 psi</w:t>
            </w:r>
            <w:bookmarkEnd w:id="3"/>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Detection MS/MS</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Multiple Reaction Monitoring (MRM)</w:t>
            </w:r>
          </w:p>
        </w:tc>
      </w:tr>
      <w:tr w:rsidR="000967C2" w:rsidRPr="000967C2" w:rsidTr="002F3230">
        <w:trPr>
          <w:trHeight w:val="204"/>
        </w:trPr>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Q1/Q3 resolution</w:t>
            </w:r>
          </w:p>
        </w:tc>
        <w:tc>
          <w:tcPr>
            <w:tcW w:w="2500" w:type="pct"/>
            <w:shd w:val="clear" w:color="auto" w:fill="auto"/>
            <w:vAlign w:val="center"/>
          </w:tcPr>
          <w:p w:rsidR="000967C2" w:rsidRPr="000967C2" w:rsidRDefault="000967C2" w:rsidP="000967C2">
            <w:pPr>
              <w:spacing w:after="0" w:line="240" w:lineRule="auto"/>
              <w:jc w:val="both"/>
              <w:rPr>
                <w:rFonts w:ascii="Arial" w:eastAsia="Times New Roman" w:hAnsi="Arial" w:cs="Arial"/>
                <w:sz w:val="20"/>
                <w:szCs w:val="20"/>
                <w:lang w:val="en-US" w:eastAsia="de-DE"/>
              </w:rPr>
            </w:pPr>
            <w:r w:rsidRPr="000967C2">
              <w:rPr>
                <w:rFonts w:ascii="Arial" w:eastAsia="Times New Roman" w:hAnsi="Arial" w:cs="Arial"/>
                <w:sz w:val="20"/>
                <w:szCs w:val="20"/>
                <w:lang w:val="en-US" w:eastAsia="de-DE"/>
              </w:rPr>
              <w:t>unit/unit</w:t>
            </w:r>
          </w:p>
        </w:tc>
      </w:tr>
    </w:tbl>
    <w:p w:rsidR="000967C2" w:rsidRPr="000967C2" w:rsidRDefault="000967C2" w:rsidP="000967C2">
      <w:pPr>
        <w:spacing w:after="0" w:line="360" w:lineRule="auto"/>
        <w:rPr>
          <w:rFonts w:ascii="Arial" w:eastAsia="Times New Roman" w:hAnsi="Arial" w:cs="Arial"/>
          <w:sz w:val="28"/>
          <w:szCs w:val="28"/>
          <w:lang w:val="en-US" w:eastAsia="de-DE"/>
        </w:rPr>
      </w:pPr>
    </w:p>
    <w:p w:rsidR="000967C2" w:rsidRPr="000967C2" w:rsidRDefault="000967C2" w:rsidP="000967C2">
      <w:pPr>
        <w:keepNext/>
        <w:spacing w:after="0" w:line="240" w:lineRule="auto"/>
        <w:rPr>
          <w:rFonts w:ascii="Arial" w:eastAsia="Times New Roman" w:hAnsi="Arial" w:cs="Arial"/>
          <w:b/>
          <w:bCs/>
          <w:sz w:val="24"/>
          <w:szCs w:val="24"/>
          <w:lang w:val="en-US" w:eastAsia="de-DE"/>
        </w:rPr>
      </w:pPr>
      <w:r w:rsidRPr="000967C2">
        <w:rPr>
          <w:rFonts w:ascii="Arial" w:eastAsia="Times New Roman" w:hAnsi="Arial" w:cs="Arial"/>
          <w:b/>
          <w:bCs/>
          <w:sz w:val="24"/>
          <w:szCs w:val="24"/>
          <w:lang w:val="en-US" w:eastAsia="de-DE"/>
        </w:rPr>
        <w:t>Information on MRM-transitions, used IS and LLOQ- and ULOQ-values for all analytes.</w:t>
      </w:r>
    </w:p>
    <w:tbl>
      <w:tblPr>
        <w:tblStyle w:val="Tabellenraster"/>
        <w:tblW w:w="0" w:type="auto"/>
        <w:tblLayout w:type="fixed"/>
        <w:tblLook w:val="04A0" w:firstRow="1" w:lastRow="0" w:firstColumn="1" w:lastColumn="0" w:noHBand="0" w:noVBand="1"/>
      </w:tblPr>
      <w:tblGrid>
        <w:gridCol w:w="1101"/>
        <w:gridCol w:w="1637"/>
        <w:gridCol w:w="1637"/>
        <w:gridCol w:w="1638"/>
        <w:gridCol w:w="1637"/>
        <w:gridCol w:w="1638"/>
      </w:tblGrid>
      <w:tr w:rsidR="000967C2" w:rsidRPr="000967C2" w:rsidTr="002F3230">
        <w:tc>
          <w:tcPr>
            <w:tcW w:w="1101"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Analyt</w:t>
            </w:r>
          </w:p>
        </w:tc>
        <w:tc>
          <w:tcPr>
            <w:tcW w:w="1637"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Q1</w:t>
            </w:r>
          </w:p>
        </w:tc>
        <w:tc>
          <w:tcPr>
            <w:tcW w:w="1637"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Q3 (Quan/Qual)</w:t>
            </w:r>
          </w:p>
        </w:tc>
        <w:tc>
          <w:tcPr>
            <w:tcW w:w="1638"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IS</w:t>
            </w:r>
          </w:p>
        </w:tc>
        <w:tc>
          <w:tcPr>
            <w:tcW w:w="1637"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LLOQ (ng/mL)</w:t>
            </w:r>
          </w:p>
        </w:tc>
        <w:tc>
          <w:tcPr>
            <w:tcW w:w="1638" w:type="dxa"/>
          </w:tcPr>
          <w:p w:rsidR="000967C2" w:rsidRPr="000967C2" w:rsidRDefault="000967C2" w:rsidP="000967C2">
            <w:pPr>
              <w:jc w:val="both"/>
              <w:rPr>
                <w:rFonts w:ascii="Arial" w:hAnsi="Arial" w:cs="Arial"/>
                <w:b/>
                <w:lang w:val="en-US" w:eastAsia="de-DE"/>
              </w:rPr>
            </w:pPr>
            <w:r w:rsidRPr="000967C2">
              <w:rPr>
                <w:rFonts w:ascii="Arial" w:hAnsi="Arial" w:cs="Arial"/>
                <w:b/>
                <w:lang w:val="en-US" w:eastAsia="de-DE"/>
              </w:rPr>
              <w:t>ULOQ (ng/mL)</w:t>
            </w:r>
          </w:p>
        </w:tc>
      </w:tr>
      <w:tr w:rsidR="000967C2" w:rsidRPr="000967C2" w:rsidTr="002F3230">
        <w:tc>
          <w:tcPr>
            <w:tcW w:w="1101" w:type="dxa"/>
          </w:tcPr>
          <w:p w:rsidR="000967C2" w:rsidRPr="000967C2" w:rsidRDefault="000967C2" w:rsidP="000967C2">
            <w:pPr>
              <w:jc w:val="both"/>
              <w:rPr>
                <w:rFonts w:ascii="Arial" w:hAnsi="Arial" w:cs="Arial"/>
                <w:lang w:val="en-US" w:eastAsia="de-DE"/>
              </w:rPr>
            </w:pPr>
            <w:bookmarkStart w:id="4" w:name="_Hlk522689713"/>
            <w:r w:rsidRPr="000967C2">
              <w:rPr>
                <w:rFonts w:ascii="Arial" w:hAnsi="Arial" w:cs="Arial"/>
                <w:lang w:val="en-US" w:eastAsia="de-DE"/>
              </w:rPr>
              <w:t>AEA</w:t>
            </w:r>
          </w:p>
        </w:tc>
        <w:tc>
          <w:tcPr>
            <w:tcW w:w="1637"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348.3</w:t>
            </w:r>
          </w:p>
        </w:tc>
        <w:tc>
          <w:tcPr>
            <w:tcW w:w="1637"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287.3 / 62.2</w:t>
            </w:r>
          </w:p>
        </w:tc>
        <w:tc>
          <w:tcPr>
            <w:tcW w:w="1638" w:type="dxa"/>
          </w:tcPr>
          <w:p w:rsidR="000967C2" w:rsidRPr="000967C2" w:rsidRDefault="000967C2" w:rsidP="000967C2">
            <w:pPr>
              <w:jc w:val="both"/>
              <w:rPr>
                <w:rFonts w:ascii="Arial" w:hAnsi="Arial" w:cs="Arial"/>
                <w:vertAlign w:val="subscript"/>
                <w:lang w:val="en-US" w:eastAsia="de-DE"/>
              </w:rPr>
            </w:pPr>
            <w:r w:rsidRPr="000967C2">
              <w:rPr>
                <w:rFonts w:ascii="Arial" w:hAnsi="Arial" w:cs="Arial"/>
                <w:lang w:val="en-US" w:eastAsia="de-DE"/>
              </w:rPr>
              <w:t>AEA-d</w:t>
            </w:r>
            <w:r w:rsidRPr="000967C2">
              <w:rPr>
                <w:rFonts w:ascii="Arial" w:hAnsi="Arial" w:cs="Arial"/>
                <w:vertAlign w:val="subscript"/>
                <w:lang w:val="en-US" w:eastAsia="de-DE"/>
              </w:rPr>
              <w:t>8</w:t>
            </w:r>
          </w:p>
        </w:tc>
        <w:tc>
          <w:tcPr>
            <w:tcW w:w="1637"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0.10</w:t>
            </w:r>
          </w:p>
        </w:tc>
        <w:tc>
          <w:tcPr>
            <w:tcW w:w="1638"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2.00</w:t>
            </w:r>
          </w:p>
        </w:tc>
      </w:tr>
      <w:tr w:rsidR="000967C2" w:rsidRPr="000967C2" w:rsidTr="002F3230">
        <w:tc>
          <w:tcPr>
            <w:tcW w:w="1101"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PEA</w:t>
            </w:r>
          </w:p>
        </w:tc>
        <w:tc>
          <w:tcPr>
            <w:tcW w:w="1637"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300.2</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62.2 / 283.2</w:t>
            </w:r>
          </w:p>
        </w:tc>
        <w:tc>
          <w:tcPr>
            <w:tcW w:w="1638" w:type="dxa"/>
          </w:tcPr>
          <w:p w:rsidR="000967C2" w:rsidRPr="000967C2" w:rsidRDefault="000967C2" w:rsidP="000967C2">
            <w:pPr>
              <w:jc w:val="both"/>
              <w:rPr>
                <w:rFonts w:ascii="Arial" w:hAnsi="Arial" w:cs="Arial"/>
                <w:vertAlign w:val="subscript"/>
                <w:lang w:eastAsia="de-DE"/>
              </w:rPr>
            </w:pPr>
            <w:r w:rsidRPr="000967C2">
              <w:rPr>
                <w:rFonts w:ascii="Arial" w:hAnsi="Arial" w:cs="Arial"/>
                <w:lang w:eastAsia="de-DE"/>
              </w:rPr>
              <w:t>PEA-d</w:t>
            </w:r>
            <w:r w:rsidRPr="000967C2">
              <w:rPr>
                <w:rFonts w:ascii="Arial" w:hAnsi="Arial" w:cs="Arial"/>
                <w:vertAlign w:val="subscript"/>
                <w:lang w:eastAsia="de-DE"/>
              </w:rPr>
              <w:t>4</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0.50</w:t>
            </w:r>
          </w:p>
        </w:tc>
        <w:tc>
          <w:tcPr>
            <w:tcW w:w="1638" w:type="dxa"/>
          </w:tcPr>
          <w:p w:rsidR="000967C2" w:rsidRPr="000967C2" w:rsidRDefault="000967C2" w:rsidP="000967C2">
            <w:pPr>
              <w:jc w:val="both"/>
              <w:rPr>
                <w:rFonts w:ascii="Arial" w:hAnsi="Arial" w:cs="Arial"/>
                <w:lang w:eastAsia="de-DE"/>
              </w:rPr>
            </w:pPr>
            <w:r w:rsidRPr="000967C2">
              <w:rPr>
                <w:rFonts w:ascii="Arial" w:hAnsi="Arial" w:cs="Arial"/>
                <w:lang w:eastAsia="de-DE"/>
              </w:rPr>
              <w:t>10.00</w:t>
            </w:r>
          </w:p>
        </w:tc>
      </w:tr>
      <w:tr w:rsidR="000967C2" w:rsidRPr="000967C2" w:rsidTr="002F3230">
        <w:tc>
          <w:tcPr>
            <w:tcW w:w="1101" w:type="dxa"/>
          </w:tcPr>
          <w:p w:rsidR="000967C2" w:rsidRPr="000967C2" w:rsidRDefault="000967C2" w:rsidP="000967C2">
            <w:pPr>
              <w:jc w:val="both"/>
              <w:rPr>
                <w:rFonts w:ascii="Arial" w:hAnsi="Arial" w:cs="Arial"/>
                <w:lang w:eastAsia="de-DE"/>
              </w:rPr>
            </w:pPr>
            <w:r w:rsidRPr="000967C2">
              <w:rPr>
                <w:rFonts w:ascii="Arial" w:hAnsi="Arial" w:cs="Arial"/>
                <w:lang w:eastAsia="de-DE"/>
              </w:rPr>
              <w:t>OEA</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326.3</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62.2 / 309.2</w:t>
            </w:r>
          </w:p>
        </w:tc>
        <w:tc>
          <w:tcPr>
            <w:tcW w:w="1638" w:type="dxa"/>
          </w:tcPr>
          <w:p w:rsidR="000967C2" w:rsidRPr="000967C2" w:rsidRDefault="000967C2" w:rsidP="000967C2">
            <w:pPr>
              <w:jc w:val="both"/>
              <w:rPr>
                <w:rFonts w:ascii="Arial" w:hAnsi="Arial" w:cs="Arial"/>
                <w:vertAlign w:val="subscript"/>
                <w:lang w:eastAsia="de-DE"/>
              </w:rPr>
            </w:pPr>
            <w:r w:rsidRPr="000967C2">
              <w:rPr>
                <w:rFonts w:ascii="Arial" w:hAnsi="Arial" w:cs="Arial"/>
                <w:lang w:eastAsia="de-DE"/>
              </w:rPr>
              <w:t>OEA-d</w:t>
            </w:r>
            <w:r w:rsidRPr="000967C2">
              <w:rPr>
                <w:rFonts w:ascii="Arial" w:hAnsi="Arial" w:cs="Arial"/>
                <w:vertAlign w:val="subscript"/>
                <w:lang w:eastAsia="de-DE"/>
              </w:rPr>
              <w:t>4</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0.25</w:t>
            </w:r>
          </w:p>
        </w:tc>
        <w:tc>
          <w:tcPr>
            <w:tcW w:w="1638" w:type="dxa"/>
          </w:tcPr>
          <w:p w:rsidR="000967C2" w:rsidRPr="000967C2" w:rsidRDefault="000967C2" w:rsidP="000967C2">
            <w:pPr>
              <w:jc w:val="both"/>
              <w:rPr>
                <w:rFonts w:ascii="Arial" w:hAnsi="Arial" w:cs="Arial"/>
                <w:lang w:eastAsia="de-DE"/>
              </w:rPr>
            </w:pPr>
            <w:r w:rsidRPr="000967C2">
              <w:rPr>
                <w:rFonts w:ascii="Arial" w:hAnsi="Arial" w:cs="Arial"/>
                <w:lang w:eastAsia="de-DE"/>
              </w:rPr>
              <w:t>5.00</w:t>
            </w:r>
          </w:p>
        </w:tc>
      </w:tr>
      <w:tr w:rsidR="000967C2" w:rsidRPr="000967C2" w:rsidTr="002F3230">
        <w:tc>
          <w:tcPr>
            <w:tcW w:w="1101" w:type="dxa"/>
          </w:tcPr>
          <w:p w:rsidR="000967C2" w:rsidRPr="000967C2" w:rsidRDefault="000967C2" w:rsidP="000967C2">
            <w:pPr>
              <w:jc w:val="both"/>
              <w:rPr>
                <w:rFonts w:ascii="Arial" w:hAnsi="Arial" w:cs="Arial"/>
                <w:lang w:eastAsia="de-DE"/>
              </w:rPr>
            </w:pPr>
            <w:r w:rsidRPr="000967C2">
              <w:rPr>
                <w:rFonts w:ascii="Arial" w:hAnsi="Arial" w:cs="Arial"/>
                <w:lang w:eastAsia="de-DE"/>
              </w:rPr>
              <w:t>1-AG*</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379.2</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287.3 / 269.2</w:t>
            </w:r>
          </w:p>
        </w:tc>
        <w:tc>
          <w:tcPr>
            <w:tcW w:w="1638" w:type="dxa"/>
          </w:tcPr>
          <w:p w:rsidR="000967C2" w:rsidRPr="000967C2" w:rsidRDefault="000967C2" w:rsidP="000967C2">
            <w:pPr>
              <w:jc w:val="both"/>
              <w:rPr>
                <w:rFonts w:ascii="Arial" w:hAnsi="Arial" w:cs="Arial"/>
                <w:lang w:eastAsia="de-DE"/>
              </w:rPr>
            </w:pPr>
            <w:r w:rsidRPr="000967C2">
              <w:rPr>
                <w:rFonts w:ascii="Arial" w:hAnsi="Arial" w:cs="Arial"/>
                <w:lang w:eastAsia="de-DE"/>
              </w:rPr>
              <w:t>1-AG-d</w:t>
            </w:r>
            <w:r w:rsidRPr="000967C2">
              <w:rPr>
                <w:rFonts w:ascii="Arial" w:hAnsi="Arial" w:cs="Arial"/>
                <w:vertAlign w:val="subscript"/>
                <w:lang w:eastAsia="de-DE"/>
              </w:rPr>
              <w:t>5</w:t>
            </w:r>
            <w:r w:rsidRPr="000967C2">
              <w:rPr>
                <w:rFonts w:ascii="Arial" w:hAnsi="Arial" w:cs="Arial"/>
                <w:lang w:eastAsia="de-DE"/>
              </w:rPr>
              <w:t>*</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0.25</w:t>
            </w:r>
          </w:p>
        </w:tc>
        <w:tc>
          <w:tcPr>
            <w:tcW w:w="1638" w:type="dxa"/>
          </w:tcPr>
          <w:p w:rsidR="000967C2" w:rsidRPr="000967C2" w:rsidRDefault="000967C2" w:rsidP="000967C2">
            <w:pPr>
              <w:jc w:val="both"/>
              <w:rPr>
                <w:rFonts w:ascii="Arial" w:hAnsi="Arial" w:cs="Arial"/>
                <w:lang w:eastAsia="de-DE"/>
              </w:rPr>
            </w:pPr>
            <w:r w:rsidRPr="000967C2">
              <w:rPr>
                <w:rFonts w:ascii="Arial" w:hAnsi="Arial" w:cs="Arial"/>
                <w:lang w:eastAsia="de-DE"/>
              </w:rPr>
              <w:t>5.00</w:t>
            </w:r>
          </w:p>
        </w:tc>
      </w:tr>
      <w:tr w:rsidR="000967C2" w:rsidRPr="000967C2" w:rsidTr="002F3230">
        <w:tc>
          <w:tcPr>
            <w:tcW w:w="1101" w:type="dxa"/>
          </w:tcPr>
          <w:p w:rsidR="000967C2" w:rsidRPr="000967C2" w:rsidRDefault="000967C2" w:rsidP="000967C2">
            <w:pPr>
              <w:jc w:val="both"/>
              <w:rPr>
                <w:rFonts w:ascii="Arial" w:hAnsi="Arial" w:cs="Arial"/>
                <w:lang w:eastAsia="de-DE"/>
              </w:rPr>
            </w:pPr>
            <w:r w:rsidRPr="000967C2">
              <w:rPr>
                <w:rFonts w:ascii="Arial" w:hAnsi="Arial" w:cs="Arial"/>
                <w:lang w:eastAsia="de-DE"/>
              </w:rPr>
              <w:t>2-AG*</w:t>
            </w:r>
          </w:p>
        </w:tc>
        <w:tc>
          <w:tcPr>
            <w:tcW w:w="1637" w:type="dxa"/>
          </w:tcPr>
          <w:p w:rsidR="000967C2" w:rsidRPr="000967C2" w:rsidRDefault="000967C2" w:rsidP="000967C2">
            <w:pPr>
              <w:jc w:val="both"/>
              <w:rPr>
                <w:rFonts w:ascii="Arial" w:hAnsi="Arial" w:cs="Arial"/>
                <w:lang w:eastAsia="de-DE"/>
              </w:rPr>
            </w:pPr>
            <w:r w:rsidRPr="000967C2">
              <w:rPr>
                <w:rFonts w:ascii="Arial" w:hAnsi="Arial" w:cs="Arial"/>
                <w:lang w:eastAsia="de-DE"/>
              </w:rPr>
              <w:t>379.2</w:t>
            </w:r>
          </w:p>
        </w:tc>
        <w:tc>
          <w:tcPr>
            <w:tcW w:w="1637" w:type="dxa"/>
          </w:tcPr>
          <w:p w:rsidR="000967C2" w:rsidRPr="000967C2" w:rsidRDefault="000967C2" w:rsidP="000967C2">
            <w:pPr>
              <w:jc w:val="both"/>
              <w:rPr>
                <w:rFonts w:ascii="Arial" w:hAnsi="Arial" w:cs="Arial"/>
                <w:lang w:val="en-US" w:eastAsia="de-DE"/>
              </w:rPr>
            </w:pPr>
            <w:r w:rsidRPr="000967C2">
              <w:rPr>
                <w:rFonts w:ascii="Arial" w:hAnsi="Arial" w:cs="Arial"/>
                <w:lang w:eastAsia="de-DE"/>
              </w:rPr>
              <w:t>287.3 / 26</w:t>
            </w:r>
            <w:r w:rsidRPr="000967C2">
              <w:rPr>
                <w:rFonts w:ascii="Arial" w:hAnsi="Arial" w:cs="Arial"/>
                <w:lang w:val="en-US" w:eastAsia="de-DE"/>
              </w:rPr>
              <w:t>9.2</w:t>
            </w:r>
          </w:p>
        </w:tc>
        <w:tc>
          <w:tcPr>
            <w:tcW w:w="1638"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2-AG-d</w:t>
            </w:r>
            <w:r w:rsidRPr="000967C2">
              <w:rPr>
                <w:rFonts w:ascii="Arial" w:hAnsi="Arial" w:cs="Arial"/>
                <w:vertAlign w:val="subscript"/>
                <w:lang w:val="en-US" w:eastAsia="de-DE"/>
              </w:rPr>
              <w:t>5</w:t>
            </w:r>
            <w:r w:rsidRPr="000967C2">
              <w:rPr>
                <w:rFonts w:ascii="Arial" w:hAnsi="Arial" w:cs="Arial"/>
                <w:lang w:val="en-US" w:eastAsia="de-DE"/>
              </w:rPr>
              <w:t>*</w:t>
            </w:r>
          </w:p>
        </w:tc>
        <w:tc>
          <w:tcPr>
            <w:tcW w:w="1637"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0.25</w:t>
            </w:r>
          </w:p>
        </w:tc>
        <w:tc>
          <w:tcPr>
            <w:tcW w:w="1638" w:type="dxa"/>
          </w:tcPr>
          <w:p w:rsidR="000967C2" w:rsidRPr="000967C2" w:rsidRDefault="000967C2" w:rsidP="000967C2">
            <w:pPr>
              <w:jc w:val="both"/>
              <w:rPr>
                <w:rFonts w:ascii="Arial" w:hAnsi="Arial" w:cs="Arial"/>
                <w:lang w:val="en-US" w:eastAsia="de-DE"/>
              </w:rPr>
            </w:pPr>
            <w:r w:rsidRPr="000967C2">
              <w:rPr>
                <w:rFonts w:ascii="Arial" w:hAnsi="Arial" w:cs="Arial"/>
                <w:lang w:val="en-US" w:eastAsia="de-DE"/>
              </w:rPr>
              <w:t>5.00</w:t>
            </w:r>
          </w:p>
        </w:tc>
      </w:tr>
    </w:tbl>
    <w:bookmarkEnd w:id="4"/>
    <w:p w:rsidR="000967C2" w:rsidRPr="000967C2" w:rsidRDefault="000967C2" w:rsidP="000967C2">
      <w:pPr>
        <w:spacing w:after="0" w:line="240" w:lineRule="auto"/>
        <w:rPr>
          <w:rFonts w:ascii="Arial" w:eastAsia="Times New Roman" w:hAnsi="Arial" w:cs="Arial"/>
          <w:sz w:val="16"/>
          <w:szCs w:val="20"/>
          <w:lang w:val="en-US" w:eastAsia="de-DE"/>
        </w:rPr>
      </w:pPr>
      <w:r w:rsidRPr="000967C2">
        <w:rPr>
          <w:rFonts w:ascii="Arial" w:eastAsia="Times New Roman" w:hAnsi="Arial" w:cs="Arial"/>
          <w:sz w:val="16"/>
          <w:szCs w:val="20"/>
          <w:lang w:val="en-US" w:eastAsia="de-DE"/>
        </w:rPr>
        <w:t>*1-AG and 2-AG cannot be distinguished by mass spectrometric detection but were base line separated by the used LC-method.</w:t>
      </w:r>
    </w:p>
    <w:p w:rsidR="000967C2" w:rsidRPr="000967C2" w:rsidRDefault="000967C2" w:rsidP="000F2C4F">
      <w:pPr>
        <w:spacing w:line="360" w:lineRule="auto"/>
        <w:jc w:val="both"/>
        <w:rPr>
          <w:rFonts w:ascii="Arial" w:hAnsi="Arial" w:cs="Arial"/>
          <w:sz w:val="32"/>
          <w:szCs w:val="32"/>
          <w:lang w:val="en-US"/>
        </w:rPr>
      </w:pPr>
    </w:p>
    <w:p w:rsidR="000967C2" w:rsidRPr="000967C2" w:rsidRDefault="000967C2" w:rsidP="000F2C4F">
      <w:pPr>
        <w:spacing w:line="360" w:lineRule="auto"/>
        <w:jc w:val="both"/>
        <w:rPr>
          <w:rFonts w:ascii="Arial" w:hAnsi="Arial" w:cs="Arial"/>
          <w:sz w:val="32"/>
          <w:szCs w:val="32"/>
          <w:lang w:val="en-US"/>
        </w:rPr>
      </w:pPr>
    </w:p>
    <w:p w:rsidR="000967C2" w:rsidRPr="000967C2" w:rsidRDefault="000967C2" w:rsidP="000F2C4F">
      <w:pPr>
        <w:spacing w:line="360" w:lineRule="auto"/>
        <w:jc w:val="both"/>
        <w:rPr>
          <w:rFonts w:ascii="Arial" w:hAnsi="Arial" w:cs="Arial"/>
          <w:sz w:val="32"/>
          <w:szCs w:val="32"/>
          <w:lang w:val="en-US"/>
        </w:rPr>
      </w:pPr>
    </w:p>
    <w:p w:rsidR="000967C2" w:rsidRDefault="000967C2" w:rsidP="000F2C4F">
      <w:pPr>
        <w:spacing w:line="360" w:lineRule="auto"/>
        <w:jc w:val="both"/>
        <w:rPr>
          <w:rFonts w:ascii="Arial" w:hAnsi="Arial" w:cs="Arial"/>
          <w:sz w:val="32"/>
          <w:szCs w:val="32"/>
          <w:lang w:val="en-US"/>
        </w:rPr>
      </w:pPr>
    </w:p>
    <w:p w:rsidR="000967C2" w:rsidRDefault="000967C2" w:rsidP="000F2C4F">
      <w:pPr>
        <w:spacing w:line="360" w:lineRule="auto"/>
        <w:jc w:val="both"/>
        <w:rPr>
          <w:rFonts w:ascii="Arial" w:hAnsi="Arial" w:cs="Arial"/>
          <w:sz w:val="32"/>
          <w:szCs w:val="32"/>
          <w:lang w:val="en-US"/>
        </w:rPr>
      </w:pPr>
    </w:p>
    <w:p w:rsidR="000F2C4F" w:rsidRDefault="000F2C4F" w:rsidP="000F2C4F">
      <w:pPr>
        <w:spacing w:line="360" w:lineRule="auto"/>
        <w:jc w:val="both"/>
        <w:rPr>
          <w:rFonts w:ascii="Arial" w:hAnsi="Arial" w:cs="Arial"/>
          <w:sz w:val="32"/>
          <w:szCs w:val="32"/>
          <w:lang w:val="en-US"/>
        </w:rPr>
      </w:pPr>
      <w:r w:rsidRPr="000F2C4F">
        <w:rPr>
          <w:rFonts w:ascii="Arial" w:hAnsi="Arial" w:cs="Arial"/>
          <w:sz w:val="32"/>
          <w:szCs w:val="32"/>
          <w:lang w:val="en-US"/>
        </w:rPr>
        <w:lastRenderedPageBreak/>
        <w:t xml:space="preserve">Supplementary </w:t>
      </w:r>
      <w:r w:rsidR="00DD3EC0">
        <w:rPr>
          <w:rFonts w:ascii="Arial" w:hAnsi="Arial" w:cs="Arial"/>
          <w:sz w:val="32"/>
          <w:szCs w:val="32"/>
          <w:lang w:val="en-US"/>
        </w:rPr>
        <w:t>information S3</w:t>
      </w:r>
    </w:p>
    <w:p w:rsidR="007227B0" w:rsidRPr="000967C2" w:rsidRDefault="007227B0" w:rsidP="007227B0">
      <w:pPr>
        <w:spacing w:line="360" w:lineRule="auto"/>
        <w:jc w:val="both"/>
        <w:rPr>
          <w:rFonts w:ascii="Arial" w:hAnsi="Arial" w:cs="Arial"/>
          <w:b/>
          <w:sz w:val="32"/>
          <w:szCs w:val="32"/>
          <w:lang w:val="en-US"/>
        </w:rPr>
      </w:pPr>
      <w:r w:rsidRPr="000967C2">
        <w:rPr>
          <w:rFonts w:ascii="Arial" w:hAnsi="Arial" w:cs="Arial"/>
          <w:b/>
          <w:sz w:val="32"/>
          <w:szCs w:val="32"/>
          <w:lang w:val="en-US"/>
        </w:rPr>
        <w:t>LPI extraction and measurement</w:t>
      </w:r>
    </w:p>
    <w:p w:rsidR="004E2AF1" w:rsidRPr="007227B0" w:rsidRDefault="00EC3F82" w:rsidP="007227B0">
      <w:pPr>
        <w:spacing w:line="360" w:lineRule="auto"/>
        <w:jc w:val="both"/>
        <w:rPr>
          <w:rFonts w:ascii="Arial" w:hAnsi="Arial" w:cs="Arial"/>
          <w:lang w:val="en-US"/>
        </w:rPr>
      </w:pPr>
      <w:r w:rsidRPr="007227B0">
        <w:rPr>
          <w:rFonts w:ascii="Arial" w:hAnsi="Arial" w:cs="Arial"/>
          <w:lang w:val="en-US"/>
        </w:rPr>
        <w:t xml:space="preserve">Lipid extraction was carried out from 150 μL of </w:t>
      </w:r>
      <w:r w:rsidR="007227B0">
        <w:rPr>
          <w:rFonts w:ascii="Arial" w:hAnsi="Arial" w:cs="Arial"/>
          <w:lang w:val="en-US"/>
        </w:rPr>
        <w:t xml:space="preserve">plasma </w:t>
      </w:r>
      <w:r w:rsidRPr="007227B0">
        <w:rPr>
          <w:rFonts w:ascii="Arial" w:hAnsi="Arial" w:cs="Arial"/>
          <w:lang w:val="en-US"/>
        </w:rPr>
        <w:t>sample in the presence of 10 μL of LPI 17:1 (100 μM) as internal standard according to a modified version of the original extraction protocol published by Matyash et al. (2008). Methanol (1.5 mL) and MTBE (5 mL) were added to the samples in 12 mL glass tubes with teflon lined caps and the mixture was incubated for 10 min in an overhead shaker at room temperature. After addition of 1.25 mL deionized water and 10 min of additional shaking, the mixture was centrifuged for 5 min at 1350 g and the upper phase was transferred to a new glass tube. The lower phase was re-extracted with 2 mL of the upper phase of MTBE/methanol/deionized water (10:3:2.5, v/v/v) and again the upper phase was collected, combined with the upper phase from the first extraction, evaporated in a vacuum centrifuge (Thermo Fisher Scientific, Waltham, MA, USA) and dissolved in 500 µL chloroform/methanol (1:1, v/</w:t>
      </w:r>
      <w:r w:rsidR="00AE66D7" w:rsidRPr="007227B0">
        <w:rPr>
          <w:rFonts w:ascii="Arial" w:hAnsi="Arial" w:cs="Arial"/>
          <w:lang w:val="en-US"/>
        </w:rPr>
        <w:t>v)</w:t>
      </w:r>
      <w:r w:rsidRPr="007227B0">
        <w:rPr>
          <w:rFonts w:ascii="Arial" w:hAnsi="Arial" w:cs="Arial"/>
          <w:lang w:val="en-US"/>
        </w:rPr>
        <w:t xml:space="preserve"> for storage at −80 °C. Prior to analysis, the storage solvent was evaporated under a gentle stream of nitrogen and the sample reconstituted in the same volume of injection solvent isopropanol/</w:t>
      </w:r>
      <w:r w:rsidR="00DD3EC0">
        <w:rPr>
          <w:rFonts w:ascii="Arial" w:hAnsi="Arial" w:cs="Arial"/>
          <w:lang w:val="en-US"/>
        </w:rPr>
        <w:t xml:space="preserve"> </w:t>
      </w:r>
      <w:r w:rsidRPr="007227B0">
        <w:rPr>
          <w:rFonts w:ascii="Arial" w:hAnsi="Arial" w:cs="Arial"/>
          <w:lang w:val="en-US"/>
        </w:rPr>
        <w:t>chloroform/</w:t>
      </w:r>
      <w:r w:rsidR="00DD3EC0">
        <w:rPr>
          <w:rFonts w:ascii="Arial" w:hAnsi="Arial" w:cs="Arial"/>
          <w:lang w:val="en-US"/>
        </w:rPr>
        <w:t xml:space="preserve"> </w:t>
      </w:r>
      <w:r w:rsidRPr="007227B0">
        <w:rPr>
          <w:rFonts w:ascii="Arial" w:hAnsi="Arial" w:cs="Arial"/>
          <w:lang w:val="en-US"/>
        </w:rPr>
        <w:t>methanol (90:5:5, v/v/v).</w:t>
      </w:r>
    </w:p>
    <w:p w:rsidR="004476D3" w:rsidRPr="007227B0" w:rsidRDefault="00144AE5" w:rsidP="007227B0">
      <w:pPr>
        <w:autoSpaceDE w:val="0"/>
        <w:autoSpaceDN w:val="0"/>
        <w:adjustRightInd w:val="0"/>
        <w:spacing w:after="0" w:line="360" w:lineRule="auto"/>
        <w:jc w:val="both"/>
        <w:rPr>
          <w:rFonts w:ascii="Arial" w:hAnsi="Arial" w:cs="Arial"/>
          <w:lang w:val="en-US"/>
        </w:rPr>
      </w:pPr>
      <w:r w:rsidRPr="007227B0">
        <w:rPr>
          <w:rFonts w:ascii="Arial" w:hAnsi="Arial" w:cs="Arial"/>
          <w:lang w:val="en-US"/>
        </w:rPr>
        <w:t xml:space="preserve">LC-MS measurements for </w:t>
      </w:r>
      <w:r w:rsidR="00F03FB1" w:rsidRPr="007227B0">
        <w:rPr>
          <w:rFonts w:ascii="Arial" w:hAnsi="Arial" w:cs="Arial"/>
          <w:lang w:val="en-US"/>
        </w:rPr>
        <w:t>LPI</w:t>
      </w:r>
      <w:r w:rsidRPr="007227B0">
        <w:rPr>
          <w:rFonts w:ascii="Arial" w:hAnsi="Arial" w:cs="Arial"/>
          <w:lang w:val="en-US"/>
        </w:rPr>
        <w:t xml:space="preserve"> quantification were performed with slight modifications as previously described in Triebl et al. (2017). Briefly, chromatographic separation was performed on a Waters (Waters, Milford, MA, USA) BEH C8 column (100 × 1 mm, 1.7 </w:t>
      </w:r>
      <w:r w:rsidR="00A103AF" w:rsidRPr="007227B0">
        <w:rPr>
          <w:rFonts w:ascii="Arial" w:hAnsi="Arial" w:cs="Arial"/>
          <w:lang w:val="en-US"/>
        </w:rPr>
        <w:t>µ</w:t>
      </w:r>
      <w:r w:rsidRPr="007227B0">
        <w:rPr>
          <w:rFonts w:ascii="Arial" w:hAnsi="Arial" w:cs="Arial"/>
          <w:lang w:val="en-US"/>
        </w:rPr>
        <w:t xml:space="preserve">m), thermostatted to 50 </w:t>
      </w:r>
      <w:r w:rsidR="00F03FB1" w:rsidRPr="007227B0">
        <w:rPr>
          <w:rFonts w:ascii="Arial" w:hAnsi="Arial" w:cs="Arial"/>
          <w:lang w:val="en-US"/>
        </w:rPr>
        <w:t>°</w:t>
      </w:r>
      <w:r w:rsidRPr="007227B0">
        <w:rPr>
          <w:rFonts w:ascii="Arial" w:hAnsi="Arial" w:cs="Arial"/>
          <w:lang w:val="en-US"/>
        </w:rPr>
        <w:t xml:space="preserve">C in a Dionex Ultimate 3000 RS UHPLC system. Mobile phase A was deionized water containing 1 vol% of 1 M aqueous ammonium formate (final concentration 10 mmol/L) and 0.1 vol% of formic acid as additives. Mobile Phase B was a mixture of acetonitrile/isopropanol 5:2 (v/v) with the same additives. Gradient elution started at 50% mobile phase B, rising to 100% B over </w:t>
      </w:r>
      <w:r w:rsidR="00A103AF" w:rsidRPr="007227B0">
        <w:rPr>
          <w:rFonts w:ascii="Arial" w:hAnsi="Arial" w:cs="Arial"/>
          <w:lang w:val="en-US"/>
        </w:rPr>
        <w:t>15</w:t>
      </w:r>
      <w:r w:rsidRPr="007227B0">
        <w:rPr>
          <w:rFonts w:ascii="Arial" w:hAnsi="Arial" w:cs="Arial"/>
          <w:lang w:val="en-US"/>
        </w:rPr>
        <w:t xml:space="preserve"> min; 100% B were held for 10 min and the column was re-equilibrated with 50% B for 8 min before the next injection. The flow rate was 150 </w:t>
      </w:r>
      <w:r w:rsidR="000079BB">
        <w:rPr>
          <w:rFonts w:ascii="Arial" w:hAnsi="Arial" w:cs="Arial"/>
          <w:lang w:val="en-US"/>
        </w:rPr>
        <w:t>µ</w:t>
      </w:r>
      <w:r w:rsidRPr="007227B0">
        <w:rPr>
          <w:rFonts w:ascii="Arial" w:hAnsi="Arial" w:cs="Arial"/>
          <w:lang w:val="en-US"/>
        </w:rPr>
        <w:t>L/min,</w:t>
      </w:r>
      <w:r w:rsidR="00A103AF" w:rsidRPr="007227B0">
        <w:rPr>
          <w:rFonts w:ascii="Arial" w:hAnsi="Arial" w:cs="Arial"/>
          <w:lang w:val="en-US"/>
        </w:rPr>
        <w:t xml:space="preserve"> </w:t>
      </w:r>
      <w:r w:rsidRPr="007227B0">
        <w:rPr>
          <w:rFonts w:ascii="Arial" w:hAnsi="Arial" w:cs="Arial"/>
          <w:lang w:val="en-US"/>
        </w:rPr>
        <w:t xml:space="preserve">the samples were kept at 8 </w:t>
      </w:r>
      <w:r w:rsidR="00A103AF" w:rsidRPr="007227B0">
        <w:rPr>
          <w:rFonts w:ascii="Arial" w:hAnsi="Arial" w:cs="Arial"/>
          <w:lang w:val="en-US"/>
        </w:rPr>
        <w:t>°</w:t>
      </w:r>
      <w:r w:rsidRPr="007227B0">
        <w:rPr>
          <w:rFonts w:ascii="Arial" w:hAnsi="Arial" w:cs="Arial"/>
          <w:lang w:val="en-US"/>
        </w:rPr>
        <w:t xml:space="preserve">C and the injection volume was 2 </w:t>
      </w:r>
      <w:r w:rsidR="00A103AF" w:rsidRPr="007227B0">
        <w:rPr>
          <w:rFonts w:ascii="Arial" w:hAnsi="Arial" w:cs="Arial"/>
          <w:lang w:val="en-US"/>
        </w:rPr>
        <w:t>µ</w:t>
      </w:r>
      <w:r w:rsidRPr="007227B0">
        <w:rPr>
          <w:rFonts w:ascii="Arial" w:hAnsi="Arial" w:cs="Arial"/>
          <w:lang w:val="en-US"/>
        </w:rPr>
        <w:t>L.</w:t>
      </w:r>
      <w:r w:rsidR="00A103AF" w:rsidRPr="007227B0">
        <w:rPr>
          <w:rFonts w:ascii="Arial" w:hAnsi="Arial" w:cs="Arial"/>
          <w:lang w:val="en-US"/>
        </w:rPr>
        <w:t xml:space="preserve"> The Orbitrap Velos Pro hybrid mass spectrometer (Thermo Fisher Scientific Inc., Waltham, MA, USA) was operated in Data Dependent Acquisition mode</w:t>
      </w:r>
      <w:r w:rsidR="00672EC0" w:rsidRPr="007227B0">
        <w:rPr>
          <w:rFonts w:ascii="Arial" w:hAnsi="Arial" w:cs="Arial"/>
          <w:lang w:val="en-US"/>
        </w:rPr>
        <w:t xml:space="preserve"> using </w:t>
      </w:r>
      <w:r w:rsidR="00AE66D7" w:rsidRPr="007227B0">
        <w:rPr>
          <w:rFonts w:ascii="Arial" w:hAnsi="Arial" w:cs="Arial"/>
          <w:lang w:val="en-US"/>
        </w:rPr>
        <w:t>an</w:t>
      </w:r>
      <w:r w:rsidR="00672EC0" w:rsidRPr="007227B0">
        <w:rPr>
          <w:rFonts w:ascii="Arial" w:hAnsi="Arial" w:cs="Arial"/>
          <w:lang w:val="en-US"/>
        </w:rPr>
        <w:t xml:space="preserve"> inclusion list of all theoretical possible LPI </w:t>
      </w:r>
      <w:r w:rsidR="00AE66D7" w:rsidRPr="007227B0">
        <w:rPr>
          <w:rFonts w:ascii="Arial" w:hAnsi="Arial" w:cs="Arial"/>
          <w:lang w:val="en-US"/>
        </w:rPr>
        <w:t>species</w:t>
      </w:r>
      <w:r w:rsidR="00A103AF" w:rsidRPr="007227B0">
        <w:rPr>
          <w:rFonts w:ascii="Arial" w:hAnsi="Arial" w:cs="Arial"/>
          <w:lang w:val="en-US"/>
        </w:rPr>
        <w:t>. Prior to experiments, lens settings were tuned and source parameters were optimized to the signal of LPI 17:1 using the deprotonated molecule. Every sample was measured in negative polarity</w:t>
      </w:r>
      <w:r w:rsidR="00672EC0" w:rsidRPr="007227B0">
        <w:rPr>
          <w:rFonts w:ascii="Arial" w:hAnsi="Arial" w:cs="Arial"/>
          <w:lang w:val="en-US"/>
        </w:rPr>
        <w:t xml:space="preserve"> using a HESI II ion source</w:t>
      </w:r>
      <w:r w:rsidR="00A103AF" w:rsidRPr="007227B0">
        <w:rPr>
          <w:rFonts w:ascii="Arial" w:hAnsi="Arial" w:cs="Arial"/>
          <w:lang w:val="en-US"/>
        </w:rPr>
        <w:t>. Ion source parameters for negative polarity were as follows: Source Voltage: 3.9 kV; Source Temperature: 400 °C; Sheath Gas:</w:t>
      </w:r>
      <w:r w:rsidR="00672EC0" w:rsidRPr="007227B0">
        <w:rPr>
          <w:rFonts w:ascii="Arial" w:hAnsi="Arial" w:cs="Arial"/>
          <w:lang w:val="en-US"/>
        </w:rPr>
        <w:t xml:space="preserve"> </w:t>
      </w:r>
      <w:r w:rsidR="00A103AF" w:rsidRPr="007227B0">
        <w:rPr>
          <w:rFonts w:ascii="Arial" w:hAnsi="Arial" w:cs="Arial"/>
          <w:lang w:val="en-US"/>
        </w:rPr>
        <w:t>35 arbitrary units; Aux Gas: 10 arbitrary units; Sweep Gas: 0 arbitrary units; Capillary Temperature: 300 °C. Automatic gain control target value was set to 10</w:t>
      </w:r>
      <w:r w:rsidR="00A103AF" w:rsidRPr="007227B0">
        <w:rPr>
          <w:rFonts w:ascii="Arial" w:hAnsi="Arial" w:cs="Arial"/>
          <w:vertAlign w:val="superscript"/>
          <w:lang w:val="en-US"/>
        </w:rPr>
        <w:t>6</w:t>
      </w:r>
      <w:r w:rsidR="00A103AF" w:rsidRPr="007227B0">
        <w:rPr>
          <w:rFonts w:ascii="Arial" w:hAnsi="Arial" w:cs="Arial"/>
          <w:lang w:val="en-US"/>
        </w:rPr>
        <w:t xml:space="preserve"> ions to enter the mass analyzer, with a maximum ion accumulation time of 500 ms. Full scan profile spectra </w:t>
      </w:r>
      <w:r w:rsidR="00A103AF" w:rsidRPr="007227B0">
        <w:rPr>
          <w:rFonts w:ascii="Arial" w:hAnsi="Arial" w:cs="Arial"/>
          <w:lang w:val="en-US"/>
        </w:rPr>
        <w:lastRenderedPageBreak/>
        <w:t xml:space="preserve">from </w:t>
      </w:r>
      <w:r w:rsidR="00B75D16" w:rsidRPr="007227B0">
        <w:rPr>
          <w:rFonts w:ascii="Arial" w:hAnsi="Arial" w:cs="Arial"/>
          <w:lang w:val="en-US"/>
        </w:rPr>
        <w:t xml:space="preserve">m/z </w:t>
      </w:r>
      <w:r w:rsidR="00A103AF" w:rsidRPr="007227B0">
        <w:rPr>
          <w:rFonts w:ascii="Arial" w:hAnsi="Arial" w:cs="Arial"/>
          <w:lang w:val="en-US"/>
        </w:rPr>
        <w:t xml:space="preserve">425 to 900 in negative ion mode were acquired in the Orbitrap mass analyzer at a resolution setting of 100 000 at m/z 400. For MS/MS experiments, the 10 most abundant ions </w:t>
      </w:r>
      <w:r w:rsidR="004476D3" w:rsidRPr="007227B0">
        <w:rPr>
          <w:rFonts w:ascii="Arial" w:hAnsi="Arial" w:cs="Arial"/>
          <w:lang w:val="en-US"/>
        </w:rPr>
        <w:t xml:space="preserve">of the full scan spectrum - </w:t>
      </w:r>
      <w:r w:rsidR="00B75D16" w:rsidRPr="007227B0">
        <w:rPr>
          <w:rFonts w:ascii="Arial" w:hAnsi="Arial" w:cs="Arial"/>
          <w:lang w:val="en-US"/>
        </w:rPr>
        <w:t xml:space="preserve">using a inclusion list of deprotonated LPI </w:t>
      </w:r>
      <w:r w:rsidR="004476D3" w:rsidRPr="007227B0">
        <w:rPr>
          <w:rFonts w:ascii="Arial" w:hAnsi="Arial" w:cs="Arial"/>
          <w:lang w:val="en-US"/>
        </w:rPr>
        <w:t>species -</w:t>
      </w:r>
      <w:r w:rsidR="00B75D16" w:rsidRPr="007227B0">
        <w:rPr>
          <w:rFonts w:ascii="Arial" w:hAnsi="Arial" w:cs="Arial"/>
          <w:lang w:val="en-US"/>
        </w:rPr>
        <w:t xml:space="preserve"> </w:t>
      </w:r>
      <w:r w:rsidR="00A103AF" w:rsidRPr="007227B0">
        <w:rPr>
          <w:rFonts w:ascii="Arial" w:hAnsi="Arial" w:cs="Arial"/>
          <w:lang w:val="en-US"/>
        </w:rPr>
        <w:t>were sequentially fragmented in the ion trap using He as collision gas (CID, Normalized Collision Energy: 50; Isolation Width: 1.5; Activation Q: 0.2; Activation Time: 10) and centroided product spectra at normal scan rate (33 kDa/s) were collected. The exclusion time was set to 11 s</w:t>
      </w:r>
      <w:r w:rsidR="007227B0">
        <w:rPr>
          <w:rFonts w:ascii="Arial" w:hAnsi="Arial" w:cs="Arial"/>
          <w:lang w:val="en-US"/>
        </w:rPr>
        <w:t>.</w:t>
      </w:r>
    </w:p>
    <w:p w:rsidR="001509AC" w:rsidRPr="001509AC" w:rsidRDefault="00737CEF" w:rsidP="001509AC">
      <w:pPr>
        <w:autoSpaceDE w:val="0"/>
        <w:autoSpaceDN w:val="0"/>
        <w:adjustRightInd w:val="0"/>
        <w:spacing w:after="0" w:line="360" w:lineRule="auto"/>
        <w:jc w:val="both"/>
        <w:rPr>
          <w:rFonts w:ascii="Arial" w:hAnsi="Arial" w:cs="Arial"/>
          <w:lang w:val="en-US"/>
        </w:rPr>
      </w:pPr>
      <w:r w:rsidRPr="007227B0">
        <w:rPr>
          <w:rFonts w:ascii="Arial" w:hAnsi="Arial" w:cs="Arial"/>
          <w:lang w:val="en-US"/>
        </w:rPr>
        <w:t>LC/MS data were processed u</w:t>
      </w:r>
      <w:r w:rsidR="00672EC0" w:rsidRPr="007227B0">
        <w:rPr>
          <w:rFonts w:ascii="Arial" w:hAnsi="Arial" w:cs="Arial"/>
          <w:lang w:val="en-US"/>
        </w:rPr>
        <w:t xml:space="preserve">sing Lipid Data </w:t>
      </w:r>
      <w:r w:rsidR="0082519A">
        <w:rPr>
          <w:rFonts w:ascii="Arial" w:hAnsi="Arial" w:cs="Arial"/>
          <w:lang w:val="en-US"/>
        </w:rPr>
        <w:t xml:space="preserve">Analyzer (LDA) (Hartler et al., </w:t>
      </w:r>
      <w:r w:rsidR="00672EC0" w:rsidRPr="007227B0">
        <w:rPr>
          <w:rFonts w:ascii="Arial" w:hAnsi="Arial" w:cs="Arial"/>
          <w:lang w:val="en-US"/>
        </w:rPr>
        <w:t>2017)</w:t>
      </w:r>
      <w:r w:rsidR="008F4EF4" w:rsidRPr="007227B0">
        <w:rPr>
          <w:rFonts w:ascii="Arial" w:hAnsi="Arial" w:cs="Arial"/>
          <w:lang w:val="en-US"/>
        </w:rPr>
        <w:t>)</w:t>
      </w:r>
      <w:r w:rsidR="00672EC0" w:rsidRPr="007227B0">
        <w:rPr>
          <w:rFonts w:ascii="Arial" w:hAnsi="Arial" w:cs="Arial"/>
          <w:lang w:val="en-US"/>
        </w:rPr>
        <w:t xml:space="preserve">. </w:t>
      </w:r>
      <w:r w:rsidRPr="007227B0">
        <w:rPr>
          <w:rFonts w:ascii="Arial" w:hAnsi="Arial" w:cs="Arial"/>
          <w:lang w:val="en-US"/>
        </w:rPr>
        <w:t xml:space="preserve">Briefly, the algorithm identifies lipids with a 3D algorithm, using the three dimensions m/z, retention time, and intensity to correctly integrate peaks, while also taking into account the isotopic distribution. </w:t>
      </w:r>
      <w:r w:rsidR="001509AC" w:rsidRPr="001509AC">
        <w:rPr>
          <w:rFonts w:ascii="Arial" w:hAnsi="Arial" w:cs="Arial"/>
          <w:lang w:val="en-US"/>
        </w:rPr>
        <w:t>MS/MS spectra are considered for confirmation of structures by characteristic head group and fatty acyl fragments.</w:t>
      </w:r>
      <w:r w:rsidR="001509AC" w:rsidRPr="001509AC">
        <w:rPr>
          <w:lang w:val="en-US"/>
        </w:rPr>
        <w:t xml:space="preserve"> </w:t>
      </w:r>
      <w:r w:rsidR="001509AC" w:rsidRPr="001509AC">
        <w:rPr>
          <w:rFonts w:ascii="Arial" w:hAnsi="Arial" w:cs="Arial"/>
          <w:lang w:val="en-US"/>
        </w:rPr>
        <w:t>Lipids are annotated according to the official inter</w:t>
      </w:r>
      <w:r w:rsidR="001509AC">
        <w:rPr>
          <w:rFonts w:ascii="Arial" w:hAnsi="Arial" w:cs="Arial"/>
          <w:lang w:val="en-US"/>
        </w:rPr>
        <w:t>national shorthand nomenclature (Liebisch et al.</w:t>
      </w:r>
      <w:r w:rsidR="0082519A">
        <w:rPr>
          <w:rFonts w:ascii="Arial" w:hAnsi="Arial" w:cs="Arial"/>
          <w:lang w:val="en-US"/>
        </w:rPr>
        <w:t>,</w:t>
      </w:r>
      <w:r w:rsidR="001509AC">
        <w:rPr>
          <w:rFonts w:ascii="Arial" w:hAnsi="Arial" w:cs="Arial"/>
          <w:lang w:val="en-US"/>
        </w:rPr>
        <w:t xml:space="preserve"> 2013)</w:t>
      </w:r>
      <w:r w:rsidR="001509AC" w:rsidRPr="001509AC">
        <w:rPr>
          <w:rFonts w:ascii="Arial" w:hAnsi="Arial" w:cs="Arial"/>
          <w:lang w:val="en-US"/>
        </w:rPr>
        <w:t>.</w:t>
      </w:r>
      <w:r w:rsidR="001509AC">
        <w:rPr>
          <w:rFonts w:ascii="Arial" w:hAnsi="Arial" w:cs="Arial"/>
          <w:lang w:val="en-US"/>
        </w:rPr>
        <w:t xml:space="preserve"> </w:t>
      </w:r>
    </w:p>
    <w:p w:rsidR="00672EC0" w:rsidRPr="000967C2" w:rsidRDefault="00672EC0" w:rsidP="00737CEF">
      <w:pPr>
        <w:autoSpaceDE w:val="0"/>
        <w:autoSpaceDN w:val="0"/>
        <w:adjustRightInd w:val="0"/>
        <w:spacing w:after="0" w:line="240" w:lineRule="auto"/>
        <w:jc w:val="both"/>
        <w:rPr>
          <w:lang w:val="en-US"/>
        </w:rPr>
      </w:pPr>
    </w:p>
    <w:p w:rsidR="00672EC0" w:rsidRPr="000967C2" w:rsidRDefault="00672EC0" w:rsidP="00737CEF">
      <w:pPr>
        <w:autoSpaceDE w:val="0"/>
        <w:autoSpaceDN w:val="0"/>
        <w:adjustRightInd w:val="0"/>
        <w:spacing w:after="0" w:line="240" w:lineRule="auto"/>
        <w:jc w:val="both"/>
        <w:rPr>
          <w:lang w:val="en-US"/>
        </w:rPr>
      </w:pPr>
    </w:p>
    <w:p w:rsidR="007227B0" w:rsidRPr="0082519A" w:rsidRDefault="007227B0" w:rsidP="0082519A">
      <w:pPr>
        <w:autoSpaceDE w:val="0"/>
        <w:autoSpaceDN w:val="0"/>
        <w:adjustRightInd w:val="0"/>
        <w:spacing w:after="0" w:line="240" w:lineRule="auto"/>
        <w:rPr>
          <w:rFonts w:ascii="Arial" w:hAnsi="Arial" w:cs="Arial"/>
          <w:sz w:val="18"/>
          <w:szCs w:val="18"/>
          <w:lang w:val="en-US"/>
        </w:rPr>
      </w:pPr>
      <w:r w:rsidRPr="0082519A">
        <w:rPr>
          <w:rFonts w:ascii="Arial" w:hAnsi="Arial" w:cs="Arial"/>
          <w:sz w:val="18"/>
          <w:szCs w:val="18"/>
          <w:lang w:val="en-US"/>
        </w:rPr>
        <w:t xml:space="preserve">Hartler J, Triebl A, Ziegl A, Trötzmüller M, Rechberger GN, Zeleznik OA, Zierler KA, Torta F, Cazenave-Gassiot A, Wenk MR, Fauland A, Wheelock CE, Armando AM, Quehenberger O, Zhang Q, Wakelam MJO, Haemmerle G, Spener F, Köfeler HC, Thallinger GG. Deciphering lipid structures based on platform-independent decision rules. </w:t>
      </w:r>
      <w:r w:rsidRPr="0082519A">
        <w:rPr>
          <w:rFonts w:ascii="Arial" w:hAnsi="Arial" w:cs="Arial"/>
          <w:i/>
          <w:sz w:val="18"/>
          <w:szCs w:val="18"/>
          <w:lang w:val="en-US"/>
        </w:rPr>
        <w:t>Nat Methods</w:t>
      </w:r>
      <w:r w:rsidRPr="0082519A">
        <w:rPr>
          <w:rFonts w:ascii="Arial" w:hAnsi="Arial" w:cs="Arial"/>
          <w:sz w:val="18"/>
          <w:szCs w:val="18"/>
          <w:lang w:val="en-US"/>
        </w:rPr>
        <w:t xml:space="preserve">. 2017;14(12):1171-1174. doi: 10.1038/nmeth.4470. </w:t>
      </w:r>
    </w:p>
    <w:p w:rsidR="001509AC" w:rsidRPr="0082519A" w:rsidRDefault="001509AC" w:rsidP="0082519A">
      <w:pPr>
        <w:autoSpaceDE w:val="0"/>
        <w:autoSpaceDN w:val="0"/>
        <w:adjustRightInd w:val="0"/>
        <w:spacing w:after="0" w:line="240" w:lineRule="auto"/>
        <w:rPr>
          <w:rFonts w:ascii="Arial" w:hAnsi="Arial" w:cs="Arial"/>
          <w:sz w:val="18"/>
          <w:szCs w:val="18"/>
          <w:lang w:val="en-US"/>
        </w:rPr>
      </w:pPr>
    </w:p>
    <w:p w:rsidR="007227B0" w:rsidRPr="0082519A" w:rsidRDefault="001509AC" w:rsidP="0082519A">
      <w:pPr>
        <w:autoSpaceDE w:val="0"/>
        <w:autoSpaceDN w:val="0"/>
        <w:adjustRightInd w:val="0"/>
        <w:spacing w:after="0" w:line="240" w:lineRule="auto"/>
        <w:rPr>
          <w:rFonts w:ascii="Arial" w:hAnsi="Arial" w:cs="Arial"/>
          <w:sz w:val="18"/>
          <w:szCs w:val="18"/>
          <w:lang w:val="en-US"/>
        </w:rPr>
      </w:pPr>
      <w:r w:rsidRPr="0082519A">
        <w:rPr>
          <w:rFonts w:ascii="Arial" w:hAnsi="Arial" w:cs="Arial"/>
          <w:sz w:val="18"/>
          <w:szCs w:val="18"/>
          <w:lang w:val="en-US"/>
        </w:rPr>
        <w:t xml:space="preserve">Liebisch G, Vizcaíno JA, Köfeler H, Trötzmüller M, Griffiths WJ, Schmitz G, Spener F, Wakelam MJ. Shorthand notation for lipid structures derived from mass spectrometry. </w:t>
      </w:r>
      <w:r w:rsidRPr="0082519A">
        <w:rPr>
          <w:rFonts w:ascii="Arial" w:hAnsi="Arial" w:cs="Arial"/>
          <w:i/>
          <w:sz w:val="18"/>
          <w:szCs w:val="18"/>
          <w:lang w:val="en-US"/>
        </w:rPr>
        <w:t>J Lipid Res</w:t>
      </w:r>
      <w:r w:rsidR="0082519A">
        <w:rPr>
          <w:rFonts w:ascii="Arial" w:hAnsi="Arial" w:cs="Arial"/>
          <w:sz w:val="18"/>
          <w:szCs w:val="18"/>
          <w:lang w:val="en-US"/>
        </w:rPr>
        <w:t>. 2013</w:t>
      </w:r>
      <w:r w:rsidRPr="0082519A">
        <w:rPr>
          <w:rFonts w:ascii="Arial" w:hAnsi="Arial" w:cs="Arial"/>
          <w:sz w:val="18"/>
          <w:szCs w:val="18"/>
          <w:lang w:val="en-US"/>
        </w:rPr>
        <w:t>;54(6):1523-30.</w:t>
      </w:r>
    </w:p>
    <w:p w:rsidR="001509AC" w:rsidRPr="0082519A" w:rsidRDefault="001509AC" w:rsidP="0082519A">
      <w:pPr>
        <w:autoSpaceDE w:val="0"/>
        <w:autoSpaceDN w:val="0"/>
        <w:adjustRightInd w:val="0"/>
        <w:spacing w:after="0" w:line="240" w:lineRule="auto"/>
        <w:rPr>
          <w:rFonts w:ascii="Arial" w:hAnsi="Arial" w:cs="Arial"/>
          <w:sz w:val="18"/>
          <w:szCs w:val="18"/>
          <w:lang w:val="en-US"/>
        </w:rPr>
      </w:pPr>
    </w:p>
    <w:p w:rsidR="007227B0" w:rsidRPr="0082519A" w:rsidRDefault="007227B0" w:rsidP="0082519A">
      <w:pPr>
        <w:autoSpaceDE w:val="0"/>
        <w:autoSpaceDN w:val="0"/>
        <w:adjustRightInd w:val="0"/>
        <w:spacing w:after="0" w:line="240" w:lineRule="auto"/>
        <w:rPr>
          <w:rFonts w:ascii="Arial" w:hAnsi="Arial" w:cs="Arial"/>
          <w:sz w:val="18"/>
          <w:szCs w:val="18"/>
          <w:lang w:val="en-US"/>
        </w:rPr>
      </w:pPr>
      <w:r w:rsidRPr="0082519A">
        <w:rPr>
          <w:rFonts w:ascii="Arial" w:hAnsi="Arial" w:cs="Arial"/>
          <w:sz w:val="18"/>
          <w:szCs w:val="18"/>
          <w:lang w:val="en-US"/>
        </w:rPr>
        <w:t xml:space="preserve">Matyash V, Liebisch G, Kurzchalia TV, Shevchenko A, Schwudke D. Lipid extraction by methyl-tert-butyl ether for high-throughput lipidomics. </w:t>
      </w:r>
      <w:r w:rsidRPr="0082519A">
        <w:rPr>
          <w:rFonts w:ascii="Arial" w:hAnsi="Arial" w:cs="Arial"/>
          <w:i/>
          <w:sz w:val="18"/>
          <w:szCs w:val="18"/>
          <w:lang w:val="en-US"/>
        </w:rPr>
        <w:t>J Lipid Res</w:t>
      </w:r>
      <w:r w:rsidRPr="0082519A">
        <w:rPr>
          <w:rFonts w:ascii="Arial" w:hAnsi="Arial" w:cs="Arial"/>
          <w:sz w:val="18"/>
          <w:szCs w:val="18"/>
          <w:lang w:val="en-US"/>
        </w:rPr>
        <w:t>. 2008;49(5):1137-46. doi: 10.1194/jlr.D700041-JLR200.</w:t>
      </w:r>
    </w:p>
    <w:p w:rsidR="007227B0" w:rsidRPr="0082519A" w:rsidRDefault="007227B0" w:rsidP="0082519A">
      <w:pPr>
        <w:autoSpaceDE w:val="0"/>
        <w:autoSpaceDN w:val="0"/>
        <w:adjustRightInd w:val="0"/>
        <w:spacing w:after="0" w:line="240" w:lineRule="auto"/>
        <w:rPr>
          <w:rFonts w:ascii="Arial" w:hAnsi="Arial" w:cs="Arial"/>
          <w:sz w:val="18"/>
          <w:szCs w:val="18"/>
          <w:lang w:val="en-US"/>
        </w:rPr>
      </w:pPr>
    </w:p>
    <w:p w:rsidR="0082519A" w:rsidRDefault="007227B0" w:rsidP="0082519A">
      <w:pPr>
        <w:autoSpaceDE w:val="0"/>
        <w:autoSpaceDN w:val="0"/>
        <w:adjustRightInd w:val="0"/>
        <w:spacing w:after="0" w:line="240" w:lineRule="auto"/>
        <w:rPr>
          <w:rFonts w:ascii="Arial" w:hAnsi="Arial" w:cs="Arial"/>
          <w:sz w:val="18"/>
          <w:szCs w:val="18"/>
          <w:lang w:val="en-US"/>
        </w:rPr>
      </w:pPr>
      <w:r w:rsidRPr="0082519A">
        <w:rPr>
          <w:rFonts w:ascii="Arial" w:hAnsi="Arial" w:cs="Arial"/>
          <w:sz w:val="18"/>
          <w:szCs w:val="18"/>
          <w:lang w:val="en-US"/>
        </w:rPr>
        <w:t xml:space="preserve">Triebl A, Trötzmüller M, Hartler J, Stojakovic T, Köfeler HC. Lipidomics by ultrahigh performance liquid chromatography-high resolution mass spectrometry and its application to complex biological samples. </w:t>
      </w:r>
    </w:p>
    <w:p w:rsidR="00672EC0" w:rsidRPr="0082519A" w:rsidRDefault="007227B0" w:rsidP="0082519A">
      <w:pPr>
        <w:autoSpaceDE w:val="0"/>
        <w:autoSpaceDN w:val="0"/>
        <w:adjustRightInd w:val="0"/>
        <w:spacing w:after="0" w:line="240" w:lineRule="auto"/>
        <w:rPr>
          <w:rFonts w:ascii="Arial" w:hAnsi="Arial" w:cs="Arial"/>
          <w:sz w:val="18"/>
          <w:szCs w:val="18"/>
          <w:lang w:val="en-US"/>
        </w:rPr>
      </w:pPr>
      <w:r w:rsidRPr="0082519A">
        <w:rPr>
          <w:rFonts w:ascii="Arial" w:hAnsi="Arial" w:cs="Arial"/>
          <w:i/>
          <w:sz w:val="18"/>
          <w:szCs w:val="18"/>
          <w:lang w:val="en-US"/>
        </w:rPr>
        <w:t>J Chromatogr B Analyt Technol Biomed Life Sci</w:t>
      </w:r>
      <w:r w:rsidRPr="0082519A">
        <w:rPr>
          <w:rFonts w:ascii="Arial" w:hAnsi="Arial" w:cs="Arial"/>
          <w:sz w:val="18"/>
          <w:szCs w:val="18"/>
          <w:lang w:val="en-US"/>
        </w:rPr>
        <w:t xml:space="preserve">. 2017;1053:72-80. doi: 10.1016/j.jchromb.2017.03.027. </w:t>
      </w:r>
    </w:p>
    <w:p w:rsidR="00672EC0" w:rsidRDefault="00672EC0" w:rsidP="00672EC0">
      <w:pPr>
        <w:autoSpaceDE w:val="0"/>
        <w:autoSpaceDN w:val="0"/>
        <w:adjustRightInd w:val="0"/>
        <w:spacing w:after="0" w:line="240" w:lineRule="auto"/>
        <w:jc w:val="both"/>
        <w:rPr>
          <w:lang w:val="en-US"/>
        </w:rPr>
      </w:pPr>
    </w:p>
    <w:sectPr w:rsidR="00672E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82"/>
    <w:rsid w:val="000079BB"/>
    <w:rsid w:val="000967C2"/>
    <w:rsid w:val="000F2C4F"/>
    <w:rsid w:val="00144AE5"/>
    <w:rsid w:val="001509AC"/>
    <w:rsid w:val="0025622C"/>
    <w:rsid w:val="003B25E2"/>
    <w:rsid w:val="004476D3"/>
    <w:rsid w:val="004E2AF1"/>
    <w:rsid w:val="00672EC0"/>
    <w:rsid w:val="007227B0"/>
    <w:rsid w:val="00737CEF"/>
    <w:rsid w:val="0082519A"/>
    <w:rsid w:val="008F4EF4"/>
    <w:rsid w:val="00A103AF"/>
    <w:rsid w:val="00AE66D7"/>
    <w:rsid w:val="00B22C1B"/>
    <w:rsid w:val="00B75D16"/>
    <w:rsid w:val="00B84B3D"/>
    <w:rsid w:val="00B861A2"/>
    <w:rsid w:val="00D73048"/>
    <w:rsid w:val="00DD3EC0"/>
    <w:rsid w:val="00E7714E"/>
    <w:rsid w:val="00EC3F82"/>
    <w:rsid w:val="00F03FB1"/>
    <w:rsid w:val="00F644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F2C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2C4F"/>
    <w:rPr>
      <w:rFonts w:ascii="Tahoma" w:hAnsi="Tahoma" w:cs="Tahoma"/>
      <w:sz w:val="16"/>
      <w:szCs w:val="16"/>
    </w:rPr>
  </w:style>
  <w:style w:type="table" w:styleId="Tabellenraster">
    <w:name w:val="Table Grid"/>
    <w:basedOn w:val="NormaleTabelle"/>
    <w:uiPriority w:val="59"/>
    <w:rsid w:val="000967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F2C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2C4F"/>
    <w:rPr>
      <w:rFonts w:ascii="Tahoma" w:hAnsi="Tahoma" w:cs="Tahoma"/>
      <w:sz w:val="16"/>
      <w:szCs w:val="16"/>
    </w:rPr>
  </w:style>
  <w:style w:type="table" w:styleId="Tabellenraster">
    <w:name w:val="Table Grid"/>
    <w:basedOn w:val="NormaleTabelle"/>
    <w:uiPriority w:val="59"/>
    <w:rsid w:val="000967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87856">
      <w:bodyDiv w:val="1"/>
      <w:marLeft w:val="0"/>
      <w:marRight w:val="0"/>
      <w:marTop w:val="0"/>
      <w:marBottom w:val="0"/>
      <w:divBdr>
        <w:top w:val="none" w:sz="0" w:space="0" w:color="auto"/>
        <w:left w:val="none" w:sz="0" w:space="0" w:color="auto"/>
        <w:bottom w:val="none" w:sz="0" w:space="0" w:color="auto"/>
        <w:right w:val="none" w:sz="0" w:space="0" w:color="auto"/>
      </w:divBdr>
    </w:div>
    <w:div w:id="378165410">
      <w:bodyDiv w:val="1"/>
      <w:marLeft w:val="0"/>
      <w:marRight w:val="0"/>
      <w:marTop w:val="0"/>
      <w:marBottom w:val="0"/>
      <w:divBdr>
        <w:top w:val="none" w:sz="0" w:space="0" w:color="auto"/>
        <w:left w:val="none" w:sz="0" w:space="0" w:color="auto"/>
        <w:bottom w:val="none" w:sz="0" w:space="0" w:color="auto"/>
        <w:right w:val="none" w:sz="0" w:space="0" w:color="auto"/>
      </w:divBdr>
    </w:div>
    <w:div w:id="379015392">
      <w:bodyDiv w:val="1"/>
      <w:marLeft w:val="0"/>
      <w:marRight w:val="0"/>
      <w:marTop w:val="0"/>
      <w:marBottom w:val="0"/>
      <w:divBdr>
        <w:top w:val="none" w:sz="0" w:space="0" w:color="auto"/>
        <w:left w:val="none" w:sz="0" w:space="0" w:color="auto"/>
        <w:bottom w:val="none" w:sz="0" w:space="0" w:color="auto"/>
        <w:right w:val="none" w:sz="0" w:space="0" w:color="auto"/>
      </w:divBdr>
    </w:div>
    <w:div w:id="555706609">
      <w:bodyDiv w:val="1"/>
      <w:marLeft w:val="0"/>
      <w:marRight w:val="0"/>
      <w:marTop w:val="0"/>
      <w:marBottom w:val="0"/>
      <w:divBdr>
        <w:top w:val="none" w:sz="0" w:space="0" w:color="auto"/>
        <w:left w:val="none" w:sz="0" w:space="0" w:color="auto"/>
        <w:bottom w:val="none" w:sz="0" w:space="0" w:color="auto"/>
        <w:right w:val="none" w:sz="0" w:space="0" w:color="auto"/>
      </w:divBdr>
    </w:div>
    <w:div w:id="816186123">
      <w:bodyDiv w:val="1"/>
      <w:marLeft w:val="0"/>
      <w:marRight w:val="0"/>
      <w:marTop w:val="0"/>
      <w:marBottom w:val="0"/>
      <w:divBdr>
        <w:top w:val="none" w:sz="0" w:space="0" w:color="auto"/>
        <w:left w:val="none" w:sz="0" w:space="0" w:color="auto"/>
        <w:bottom w:val="none" w:sz="0" w:space="0" w:color="auto"/>
        <w:right w:val="none" w:sz="0" w:space="0" w:color="auto"/>
      </w:divBdr>
    </w:div>
    <w:div w:id="857156155">
      <w:bodyDiv w:val="1"/>
      <w:marLeft w:val="0"/>
      <w:marRight w:val="0"/>
      <w:marTop w:val="0"/>
      <w:marBottom w:val="0"/>
      <w:divBdr>
        <w:top w:val="none" w:sz="0" w:space="0" w:color="auto"/>
        <w:left w:val="none" w:sz="0" w:space="0" w:color="auto"/>
        <w:bottom w:val="none" w:sz="0" w:space="0" w:color="auto"/>
        <w:right w:val="none" w:sz="0" w:space="0" w:color="auto"/>
      </w:divBdr>
    </w:div>
    <w:div w:id="918172363">
      <w:bodyDiv w:val="1"/>
      <w:marLeft w:val="0"/>
      <w:marRight w:val="0"/>
      <w:marTop w:val="0"/>
      <w:marBottom w:val="0"/>
      <w:divBdr>
        <w:top w:val="none" w:sz="0" w:space="0" w:color="auto"/>
        <w:left w:val="none" w:sz="0" w:space="0" w:color="auto"/>
        <w:bottom w:val="none" w:sz="0" w:space="0" w:color="auto"/>
        <w:right w:val="none" w:sz="0" w:space="0" w:color="auto"/>
      </w:divBdr>
    </w:div>
    <w:div w:id="1172833653">
      <w:bodyDiv w:val="1"/>
      <w:marLeft w:val="0"/>
      <w:marRight w:val="0"/>
      <w:marTop w:val="0"/>
      <w:marBottom w:val="0"/>
      <w:divBdr>
        <w:top w:val="none" w:sz="0" w:space="0" w:color="auto"/>
        <w:left w:val="none" w:sz="0" w:space="0" w:color="auto"/>
        <w:bottom w:val="none" w:sz="0" w:space="0" w:color="auto"/>
        <w:right w:val="none" w:sz="0" w:space="0" w:color="auto"/>
      </w:divBdr>
    </w:div>
    <w:div w:id="211643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1078</Words>
  <Characters>6794</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Trötzmüller Martin, Dipl.Ing.Dr.</dc:creator>
  <cp:lastModifiedBy>RS</cp:lastModifiedBy>
  <cp:revision>3</cp:revision>
  <cp:lastPrinted>2018-10-12T09:14:00Z</cp:lastPrinted>
  <dcterms:created xsi:type="dcterms:W3CDTF">2018-12-17T13:20:00Z</dcterms:created>
  <dcterms:modified xsi:type="dcterms:W3CDTF">2018-12-19T13:02:00Z</dcterms:modified>
</cp:coreProperties>
</file>