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C00" w:rsidRPr="00A964DA" w:rsidRDefault="009F4C00" w:rsidP="009F4C0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964DA">
        <w:rPr>
          <w:rFonts w:ascii="Times New Roman" w:hAnsi="Times New Roman" w:cs="Times New Roman"/>
          <w:b/>
          <w:sz w:val="32"/>
          <w:szCs w:val="32"/>
        </w:rPr>
        <w:t xml:space="preserve">Increased susceptibility of airway epithelial cells from ataxia-telangiectasia to </w:t>
      </w:r>
      <w:r w:rsidRPr="00A964DA">
        <w:rPr>
          <w:rFonts w:ascii="Times New Roman" w:hAnsi="Times New Roman" w:cs="Times New Roman"/>
          <w:b/>
          <w:i/>
          <w:sz w:val="32"/>
          <w:szCs w:val="32"/>
        </w:rPr>
        <w:t>S. pneumoniae</w:t>
      </w:r>
      <w:r w:rsidRPr="00A964DA">
        <w:rPr>
          <w:rFonts w:ascii="Times New Roman" w:hAnsi="Times New Roman" w:cs="Times New Roman"/>
          <w:b/>
          <w:sz w:val="32"/>
          <w:szCs w:val="32"/>
        </w:rPr>
        <w:t xml:space="preserve"> infection due to oxidative damage and impaired innate immunity</w:t>
      </w:r>
    </w:p>
    <w:p w:rsidR="009F4C00" w:rsidRPr="00A964DA" w:rsidRDefault="009F4C00" w:rsidP="009F4C00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9F4C00" w:rsidRPr="00A964DA" w:rsidRDefault="009F4C00" w:rsidP="009F4C00">
      <w:pPr>
        <w:spacing w:after="0"/>
        <w:rPr>
          <w:rFonts w:ascii="Times New Roman" w:hAnsi="Times New Roman" w:cs="Times New Roman"/>
          <w:sz w:val="24"/>
          <w:szCs w:val="20"/>
          <w:vertAlign w:val="superscript"/>
        </w:rPr>
      </w:pPr>
      <w:r w:rsidRPr="00A964DA">
        <w:rPr>
          <w:rFonts w:ascii="Times New Roman" w:hAnsi="Times New Roman" w:cs="Times New Roman"/>
          <w:sz w:val="24"/>
          <w:szCs w:val="20"/>
        </w:rPr>
        <w:t>Abrey J. Yeo</w:t>
      </w:r>
      <w:r w:rsidRPr="00A964DA">
        <w:rPr>
          <w:rFonts w:ascii="Times New Roman" w:hAnsi="Times New Roman" w:cs="Times New Roman"/>
          <w:sz w:val="24"/>
          <w:szCs w:val="20"/>
          <w:vertAlign w:val="superscript"/>
        </w:rPr>
        <w:t>1</w:t>
      </w:r>
      <w:r w:rsidRPr="00A964DA">
        <w:rPr>
          <w:rFonts w:ascii="Times New Roman" w:hAnsi="Times New Roman" w:cs="Times New Roman"/>
          <w:sz w:val="24"/>
          <w:szCs w:val="20"/>
        </w:rPr>
        <w:t>, Anna Henningham</w:t>
      </w:r>
      <w:r w:rsidRPr="00A964DA">
        <w:rPr>
          <w:rFonts w:ascii="Times New Roman" w:hAnsi="Times New Roman" w:cs="Times New Roman"/>
          <w:sz w:val="24"/>
          <w:szCs w:val="20"/>
          <w:vertAlign w:val="superscript"/>
        </w:rPr>
        <w:t>2</w:t>
      </w:r>
      <w:r w:rsidRPr="00A964DA">
        <w:rPr>
          <w:rFonts w:ascii="Times New Roman" w:hAnsi="Times New Roman" w:cs="Times New Roman"/>
          <w:sz w:val="24"/>
          <w:szCs w:val="20"/>
        </w:rPr>
        <w:t>, Emmanuelle Fantino</w:t>
      </w:r>
      <w:r w:rsidRPr="00A964DA">
        <w:rPr>
          <w:rFonts w:ascii="Times New Roman" w:hAnsi="Times New Roman" w:cs="Times New Roman"/>
          <w:sz w:val="24"/>
          <w:szCs w:val="20"/>
          <w:vertAlign w:val="superscript"/>
        </w:rPr>
        <w:t>2</w:t>
      </w:r>
      <w:r w:rsidRPr="00A964DA">
        <w:rPr>
          <w:rFonts w:ascii="Times New Roman" w:hAnsi="Times New Roman" w:cs="Times New Roman"/>
          <w:sz w:val="24"/>
          <w:szCs w:val="20"/>
        </w:rPr>
        <w:t>, Sally Galbraith</w:t>
      </w:r>
      <w:r w:rsidRPr="00A964DA">
        <w:rPr>
          <w:rFonts w:ascii="Times New Roman" w:hAnsi="Times New Roman" w:cs="Times New Roman"/>
          <w:sz w:val="24"/>
          <w:szCs w:val="20"/>
          <w:vertAlign w:val="superscript"/>
        </w:rPr>
        <w:t>2</w:t>
      </w:r>
      <w:r w:rsidRPr="00A964DA">
        <w:rPr>
          <w:rFonts w:ascii="Times New Roman" w:hAnsi="Times New Roman" w:cs="Times New Roman"/>
          <w:sz w:val="24"/>
          <w:szCs w:val="20"/>
        </w:rPr>
        <w:t>, Lutz Krause</w:t>
      </w:r>
      <w:r w:rsidRPr="00A964DA">
        <w:rPr>
          <w:rFonts w:ascii="Times New Roman" w:hAnsi="Times New Roman" w:cs="Times New Roman"/>
          <w:sz w:val="24"/>
          <w:szCs w:val="20"/>
          <w:vertAlign w:val="superscript"/>
        </w:rPr>
        <w:t>3</w:t>
      </w:r>
      <w:r w:rsidRPr="00A964DA">
        <w:rPr>
          <w:rFonts w:ascii="Times New Roman" w:hAnsi="Times New Roman" w:cs="Times New Roman"/>
          <w:sz w:val="24"/>
          <w:szCs w:val="20"/>
        </w:rPr>
        <w:t>, Claire E. Wainwright</w:t>
      </w:r>
      <w:r w:rsidRPr="00A964DA">
        <w:rPr>
          <w:rFonts w:ascii="Times New Roman" w:hAnsi="Times New Roman" w:cs="Times New Roman"/>
          <w:sz w:val="24"/>
          <w:szCs w:val="20"/>
          <w:vertAlign w:val="superscript"/>
        </w:rPr>
        <w:t>2,4</w:t>
      </w:r>
      <w:r w:rsidRPr="00A964DA">
        <w:rPr>
          <w:rFonts w:ascii="Times New Roman" w:hAnsi="Times New Roman" w:cs="Times New Roman"/>
          <w:sz w:val="24"/>
          <w:szCs w:val="20"/>
        </w:rPr>
        <w:t>, Peter D. Sly</w:t>
      </w:r>
      <w:r w:rsidRPr="00A964DA">
        <w:rPr>
          <w:rFonts w:ascii="Times New Roman" w:hAnsi="Times New Roman" w:cs="Times New Roman"/>
          <w:sz w:val="24"/>
          <w:szCs w:val="20"/>
          <w:vertAlign w:val="superscript"/>
        </w:rPr>
        <w:t>2</w:t>
      </w:r>
      <w:r w:rsidRPr="00A964DA">
        <w:rPr>
          <w:rFonts w:ascii="Times New Roman" w:hAnsi="Times New Roman" w:cs="Times New Roman"/>
          <w:sz w:val="24"/>
          <w:szCs w:val="20"/>
        </w:rPr>
        <w:t>, Martin F. Lavin</w:t>
      </w:r>
      <w:r w:rsidRPr="00A964DA">
        <w:rPr>
          <w:rFonts w:ascii="Times New Roman" w:hAnsi="Times New Roman" w:cs="Times New Roman"/>
          <w:sz w:val="24"/>
          <w:szCs w:val="20"/>
          <w:vertAlign w:val="superscript"/>
        </w:rPr>
        <w:t>1,*</w:t>
      </w:r>
    </w:p>
    <w:p w:rsidR="009F4C00" w:rsidRPr="00A964DA" w:rsidRDefault="009F4C00" w:rsidP="009F4C00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9F4C00" w:rsidRPr="00A964DA" w:rsidRDefault="009F4C00" w:rsidP="009F4C00">
      <w:pPr>
        <w:spacing w:after="0"/>
        <w:ind w:left="142" w:hanging="142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A964DA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zh-CN"/>
        </w:rPr>
        <w:t xml:space="preserve">1 </w:t>
      </w:r>
      <w:r w:rsidRPr="00A964DA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Neuroscience&amp; Infectious Disease Group, </w:t>
      </w:r>
      <w:proofErr w:type="gramStart"/>
      <w:r w:rsidRPr="00A964DA">
        <w:rPr>
          <w:rFonts w:ascii="Times New Roman" w:eastAsia="Times New Roman" w:hAnsi="Times New Roman" w:cs="Times New Roman"/>
          <w:sz w:val="20"/>
          <w:szCs w:val="20"/>
          <w:lang w:eastAsia="zh-CN"/>
        </w:rPr>
        <w:t>The</w:t>
      </w:r>
      <w:proofErr w:type="gramEnd"/>
      <w:r w:rsidRPr="00A964DA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University of Queensland Centre for Clinical Research, Herston, Queensland, Australia</w:t>
      </w:r>
    </w:p>
    <w:p w:rsidR="009F4C00" w:rsidRPr="00A964DA" w:rsidRDefault="009F4C00" w:rsidP="009F4C00">
      <w:pPr>
        <w:spacing w:after="0"/>
        <w:ind w:left="142" w:hanging="142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A964DA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zh-CN"/>
        </w:rPr>
        <w:t xml:space="preserve">2 </w:t>
      </w:r>
      <w:r w:rsidRPr="00A964DA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Children's Lung, Environment and Asthma Research (CLEAR) Group, Child Health Research Centre, </w:t>
      </w:r>
      <w:proofErr w:type="gramStart"/>
      <w:r w:rsidRPr="00A964DA">
        <w:rPr>
          <w:rFonts w:ascii="Times New Roman" w:eastAsia="Times New Roman" w:hAnsi="Times New Roman" w:cs="Times New Roman"/>
          <w:sz w:val="20"/>
          <w:szCs w:val="20"/>
          <w:lang w:eastAsia="zh-CN"/>
        </w:rPr>
        <w:t>The</w:t>
      </w:r>
      <w:proofErr w:type="gramEnd"/>
      <w:r w:rsidRPr="00A964DA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University of Queensland, South Brisbane, Queensland, Australia</w:t>
      </w:r>
    </w:p>
    <w:p w:rsidR="009F4C00" w:rsidRPr="00A964DA" w:rsidRDefault="009F4C00" w:rsidP="009F4C00">
      <w:pPr>
        <w:spacing w:after="0"/>
        <w:ind w:left="142" w:hanging="142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A964DA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zh-CN"/>
        </w:rPr>
        <w:t>3</w:t>
      </w:r>
      <w:r w:rsidRPr="00A964DA">
        <w:rPr>
          <w:rFonts w:ascii="Times New Roman" w:eastAsia="Times New Roman" w:hAnsi="Times New Roman" w:cs="Times New Roman"/>
          <w:sz w:val="20"/>
          <w:szCs w:val="20"/>
          <w:lang w:eastAsia="zh-CN"/>
        </w:rPr>
        <w:t>The University of Queensland Diamantina Institute, Translational Research Institute, Woolloongabba, Queensland, Australia</w:t>
      </w:r>
    </w:p>
    <w:p w:rsidR="009F4C00" w:rsidRPr="00A964DA" w:rsidRDefault="009F4C00" w:rsidP="009F4C00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A964DA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zh-CN"/>
        </w:rPr>
        <w:t>4</w:t>
      </w:r>
      <w:r w:rsidRPr="00A964DA">
        <w:rPr>
          <w:rFonts w:ascii="Times New Roman" w:eastAsia="Times New Roman" w:hAnsi="Times New Roman" w:cs="Times New Roman"/>
          <w:sz w:val="20"/>
          <w:szCs w:val="20"/>
          <w:lang w:eastAsia="zh-CN"/>
        </w:rPr>
        <w:t>Lady Cilento Children’s Hospital, South Brisbane, Queensland, Australia</w:t>
      </w:r>
    </w:p>
    <w:p w:rsidR="009F4C00" w:rsidRPr="00A964DA" w:rsidRDefault="009F4C00" w:rsidP="009F4C00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A964DA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*</w:t>
      </w:r>
      <w:r w:rsidRPr="00A964DA">
        <w:rPr>
          <w:rFonts w:ascii="Times New Roman" w:eastAsia="Times New Roman" w:hAnsi="Times New Roman" w:cs="Times New Roman"/>
          <w:sz w:val="20"/>
          <w:szCs w:val="20"/>
          <w:lang w:eastAsia="zh-CN"/>
        </w:rPr>
        <w:t>Corresponding Author:</w:t>
      </w:r>
      <w:r w:rsidRPr="00A964DA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 xml:space="preserve"> </w:t>
      </w:r>
      <w:r w:rsidRPr="00A964DA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Martin F. Lavin. Cancer and Neuroscience, the University of Queensland Centre for Clinical Research, Building 71/918 RBWH, Herston, Brisbane, Australia. E-mail: m.lavin@uq.edu.au </w:t>
      </w:r>
    </w:p>
    <w:p w:rsidR="009F4C00" w:rsidRPr="00A964DA" w:rsidRDefault="009F4C00" w:rsidP="009F4C00">
      <w:pPr>
        <w:spacing w:after="0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</w:p>
    <w:p w:rsidR="00CB2E2C" w:rsidRDefault="00CB2E2C" w:rsidP="00CB2E2C"/>
    <w:p w:rsidR="009F4C00" w:rsidRDefault="009F4C00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:rsidR="00CB2E2C" w:rsidRPr="00D403FF" w:rsidRDefault="00CB2E2C" w:rsidP="00CB2E2C">
      <w:pPr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 w:rsidRPr="00D403FF">
        <w:rPr>
          <w:rFonts w:ascii="Times New Roman" w:hAnsi="Times New Roman" w:cs="Times New Roman"/>
          <w:b/>
          <w:sz w:val="24"/>
        </w:rPr>
        <w:lastRenderedPageBreak/>
        <w:t>Supplementary Material</w:t>
      </w:r>
    </w:p>
    <w:p w:rsidR="00CB2E2C" w:rsidRPr="00A964DA" w:rsidRDefault="00CB2E2C" w:rsidP="00CB2E2C">
      <w:pPr>
        <w:jc w:val="center"/>
      </w:pPr>
      <w:r>
        <w:rPr>
          <w:noProof/>
          <w:lang w:eastAsia="zh-CN"/>
        </w:rPr>
        <w:drawing>
          <wp:inline distT="0" distB="0" distL="0" distR="0" wp14:anchorId="00EDDF7F" wp14:editId="40A3C91A">
            <wp:extent cx="5648325" cy="4055884"/>
            <wp:effectExtent l="0" t="0" r="0" b="1905"/>
            <wp:docPr id="4" name="Picture 4" descr="S:\UQCCR-Lavin\Lab_Data\Abrey\Sci Rep 2018\Resubmission\Supp Fig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:\UQCCR-Lavin\Lab_Data\Abrey\Sci Rep 2018\Resubmission\Supp Fig 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9606" cy="4056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2E2C" w:rsidRPr="00A964DA" w:rsidRDefault="00CB2E2C" w:rsidP="00CB2E2C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964DA">
        <w:rPr>
          <w:rFonts w:ascii="Times New Roman" w:hAnsi="Times New Roman" w:cs="Times New Roman"/>
          <w:b/>
          <w:sz w:val="20"/>
          <w:szCs w:val="20"/>
        </w:rPr>
        <w:t>Supplementary Figure 1:</w:t>
      </w:r>
      <w:r w:rsidRPr="00A964DA">
        <w:rPr>
          <w:rFonts w:ascii="Times New Roman" w:hAnsi="Times New Roman" w:cs="Times New Roman"/>
          <w:sz w:val="20"/>
          <w:szCs w:val="20"/>
        </w:rPr>
        <w:t xml:space="preserve"> </w:t>
      </w:r>
      <w:r w:rsidRPr="00A964DA">
        <w:rPr>
          <w:rFonts w:ascii="Times New Roman" w:hAnsi="Times New Roman" w:cs="Times New Roman"/>
          <w:b/>
          <w:sz w:val="20"/>
          <w:szCs w:val="20"/>
        </w:rPr>
        <w:t xml:space="preserve">Sensitivity in A-T airway epithelial cells to heat-killed </w:t>
      </w:r>
      <w:r w:rsidRPr="00A964DA">
        <w:rPr>
          <w:rFonts w:ascii="Times New Roman" w:hAnsi="Times New Roman" w:cs="Times New Roman"/>
          <w:b/>
          <w:i/>
          <w:sz w:val="20"/>
          <w:szCs w:val="20"/>
        </w:rPr>
        <w:t>S. pneumoniae</w:t>
      </w:r>
      <w:r w:rsidRPr="00A964DA">
        <w:rPr>
          <w:rFonts w:ascii="Times New Roman" w:hAnsi="Times New Roman" w:cs="Times New Roman"/>
          <w:b/>
          <w:sz w:val="20"/>
          <w:szCs w:val="20"/>
        </w:rPr>
        <w:t xml:space="preserve"> infection.</w:t>
      </w:r>
    </w:p>
    <w:p w:rsidR="00CB2E2C" w:rsidRPr="00A964DA" w:rsidRDefault="00CB2E2C" w:rsidP="00CB2E2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964DA">
        <w:rPr>
          <w:rFonts w:ascii="Times New Roman" w:hAnsi="Times New Roman" w:cs="Times New Roman"/>
          <w:b/>
          <w:sz w:val="20"/>
          <w:szCs w:val="20"/>
        </w:rPr>
        <w:t>A.</w:t>
      </w:r>
      <w:r w:rsidRPr="00A964DA">
        <w:rPr>
          <w:rFonts w:ascii="Times New Roman" w:hAnsi="Times New Roman" w:cs="Times New Roman"/>
          <w:sz w:val="20"/>
          <w:szCs w:val="20"/>
        </w:rPr>
        <w:t xml:space="preserve"> Percentage of cell death induced by heat-killed </w:t>
      </w:r>
      <w:r w:rsidRPr="00A964DA">
        <w:rPr>
          <w:rFonts w:ascii="Times New Roman" w:hAnsi="Times New Roman" w:cs="Times New Roman"/>
          <w:i/>
          <w:sz w:val="20"/>
          <w:szCs w:val="20"/>
        </w:rPr>
        <w:t>S. pneumoniae</w:t>
      </w:r>
      <w:r w:rsidRPr="00A964DA">
        <w:rPr>
          <w:rFonts w:ascii="Times New Roman" w:hAnsi="Times New Roman" w:cs="Times New Roman"/>
          <w:sz w:val="20"/>
          <w:szCs w:val="20"/>
        </w:rPr>
        <w:t xml:space="preserve"> infection in control and A-T cells. </w:t>
      </w:r>
      <w:r w:rsidRPr="00A964DA">
        <w:rPr>
          <w:rFonts w:ascii="Times New Roman" w:hAnsi="Times New Roman" w:cs="Times New Roman"/>
          <w:b/>
          <w:sz w:val="20"/>
          <w:szCs w:val="20"/>
        </w:rPr>
        <w:t>B and C.</w:t>
      </w:r>
      <w:r w:rsidRPr="00A964DA">
        <w:rPr>
          <w:rFonts w:ascii="Times New Roman" w:hAnsi="Times New Roman" w:cs="Times New Roman"/>
          <w:sz w:val="20"/>
          <w:szCs w:val="20"/>
        </w:rPr>
        <w:t xml:space="preserve"> Moderate increase in inflammasome-independent pro-inflammatory cytokines IL-8 and TNF-α</w:t>
      </w:r>
      <w:r w:rsidRPr="00A964DA">
        <w:rPr>
          <w:rFonts w:ascii="Times New Roman" w:hAnsi="Times New Roman" w:cs="Times New Roman"/>
          <w:sz w:val="20"/>
          <w:szCs w:val="20"/>
          <w:lang w:eastAsia="zh-CN"/>
        </w:rPr>
        <w:t xml:space="preserve"> </w:t>
      </w:r>
      <w:r w:rsidRPr="00A964DA">
        <w:rPr>
          <w:rFonts w:ascii="Times New Roman" w:hAnsi="Times New Roman" w:cs="Times New Roman"/>
          <w:sz w:val="20"/>
          <w:szCs w:val="20"/>
        </w:rPr>
        <w:t xml:space="preserve">respectively in A-T as compared to control cells following exposure to heat-killed </w:t>
      </w:r>
      <w:r w:rsidRPr="00A964DA">
        <w:rPr>
          <w:rFonts w:ascii="Times New Roman" w:hAnsi="Times New Roman" w:cs="Times New Roman"/>
          <w:i/>
          <w:sz w:val="20"/>
          <w:szCs w:val="20"/>
        </w:rPr>
        <w:t>S. pneumoniae</w:t>
      </w:r>
      <w:r w:rsidRPr="00A964DA">
        <w:rPr>
          <w:rFonts w:ascii="Times New Roman" w:hAnsi="Times New Roman" w:cs="Times New Roman"/>
          <w:sz w:val="20"/>
          <w:szCs w:val="20"/>
        </w:rPr>
        <w:t xml:space="preserve">. </w:t>
      </w:r>
      <w:r w:rsidRPr="00A964DA">
        <w:rPr>
          <w:rFonts w:ascii="Times New Roman" w:hAnsi="Times New Roman" w:cs="Times New Roman"/>
          <w:b/>
          <w:sz w:val="20"/>
          <w:szCs w:val="20"/>
        </w:rPr>
        <w:t>D.</w:t>
      </w:r>
      <w:r w:rsidRPr="00A964DA">
        <w:rPr>
          <w:rFonts w:ascii="Times New Roman" w:hAnsi="Times New Roman" w:cs="Times New Roman"/>
          <w:sz w:val="20"/>
          <w:szCs w:val="20"/>
        </w:rPr>
        <w:t xml:space="preserve"> Moderate induction of inflammasome-dependent cytokine IL-1β in control and A-T cells. A-T n=2, healthy controls n=2. All data were</w:t>
      </w:r>
      <w:r>
        <w:rPr>
          <w:rFonts w:ascii="Times New Roman" w:hAnsi="Times New Roman" w:cs="Times New Roman"/>
          <w:sz w:val="20"/>
          <w:szCs w:val="20"/>
        </w:rPr>
        <w:t xml:space="preserve"> plotted as the mean ± </w:t>
      </w:r>
      <w:proofErr w:type="spellStart"/>
      <w:r>
        <w:rPr>
          <w:rFonts w:ascii="Times New Roman" w:hAnsi="Times New Roman" w:cs="Times New Roman"/>
          <w:sz w:val="20"/>
          <w:szCs w:val="20"/>
        </w:rPr>
        <w:t>s.d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of three</w:t>
      </w:r>
      <w:r w:rsidRPr="00A964DA">
        <w:rPr>
          <w:rFonts w:ascii="Times New Roman" w:hAnsi="Times New Roman" w:cs="Times New Roman"/>
          <w:sz w:val="20"/>
          <w:szCs w:val="20"/>
        </w:rPr>
        <w:t xml:space="preserve"> separate experiments.</w:t>
      </w:r>
      <w:r w:rsidRPr="00307F21">
        <w:rPr>
          <w:rFonts w:ascii="Times New Roman" w:hAnsi="Times New Roman" w:cs="Times New Roman"/>
          <w:sz w:val="20"/>
          <w:szCs w:val="20"/>
        </w:rPr>
        <w:t xml:space="preserve"> </w:t>
      </w:r>
      <w:r w:rsidRPr="00A964DA">
        <w:rPr>
          <w:rFonts w:ascii="Times New Roman" w:hAnsi="Times New Roman" w:cs="Times New Roman"/>
          <w:sz w:val="20"/>
          <w:szCs w:val="20"/>
        </w:rPr>
        <w:t xml:space="preserve">Unpaired, two-tailed </w:t>
      </w:r>
      <w:r>
        <w:rPr>
          <w:rFonts w:ascii="Times New Roman" w:hAnsi="Times New Roman" w:cs="Times New Roman"/>
          <w:sz w:val="20"/>
          <w:szCs w:val="20"/>
        </w:rPr>
        <w:t>Mann-Whitney test was performed.</w:t>
      </w:r>
      <w:r w:rsidRPr="00A964DA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>ns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; not significant, </w:t>
      </w:r>
      <w:r w:rsidRPr="00A964DA">
        <w:rPr>
          <w:rFonts w:ascii="Times New Roman" w:hAnsi="Times New Roman" w:cs="Times New Roman"/>
          <w:sz w:val="20"/>
          <w:szCs w:val="20"/>
        </w:rPr>
        <w:t>*p&lt;0.05.</w:t>
      </w:r>
    </w:p>
    <w:p w:rsidR="00CB2E2C" w:rsidRPr="00A964DA" w:rsidRDefault="00CB2E2C" w:rsidP="00CB2E2C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CB2E2C" w:rsidRPr="00A964DA" w:rsidTr="00EA5A48">
        <w:trPr>
          <w:jc w:val="center"/>
        </w:trPr>
        <w:tc>
          <w:tcPr>
            <w:tcW w:w="3005" w:type="dxa"/>
          </w:tcPr>
          <w:p w:rsidR="00CB2E2C" w:rsidRPr="00A964DA" w:rsidRDefault="00CB2E2C" w:rsidP="00EA5A48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964DA">
              <w:rPr>
                <w:rFonts w:ascii="Times New Roman" w:eastAsia="Times New Roman" w:hAnsi="Times New Roman" w:cs="Times New Roman"/>
                <w:b/>
              </w:rPr>
              <w:t>Time Point</w:t>
            </w:r>
          </w:p>
        </w:tc>
        <w:tc>
          <w:tcPr>
            <w:tcW w:w="3005" w:type="dxa"/>
          </w:tcPr>
          <w:p w:rsidR="00CB2E2C" w:rsidRPr="00A964DA" w:rsidRDefault="00CB2E2C" w:rsidP="00EA5A48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964DA">
              <w:rPr>
                <w:rFonts w:ascii="Times New Roman" w:eastAsia="Times New Roman" w:hAnsi="Times New Roman" w:cs="Times New Roman"/>
                <w:b/>
              </w:rPr>
              <w:t>Control</w:t>
            </w:r>
          </w:p>
        </w:tc>
        <w:tc>
          <w:tcPr>
            <w:tcW w:w="3006" w:type="dxa"/>
          </w:tcPr>
          <w:p w:rsidR="00CB2E2C" w:rsidRPr="00A964DA" w:rsidRDefault="00CB2E2C" w:rsidP="00EA5A48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964DA">
              <w:rPr>
                <w:rFonts w:ascii="Times New Roman" w:eastAsia="Times New Roman" w:hAnsi="Times New Roman" w:cs="Times New Roman"/>
                <w:b/>
              </w:rPr>
              <w:t>A-T Patient</w:t>
            </w:r>
          </w:p>
        </w:tc>
      </w:tr>
      <w:tr w:rsidR="00CB2E2C" w:rsidRPr="00A964DA" w:rsidTr="00EA5A48">
        <w:trPr>
          <w:jc w:val="center"/>
        </w:trPr>
        <w:tc>
          <w:tcPr>
            <w:tcW w:w="3005" w:type="dxa"/>
          </w:tcPr>
          <w:p w:rsidR="00CB2E2C" w:rsidRPr="00A964DA" w:rsidRDefault="00CB2E2C" w:rsidP="00EA5A4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964DA">
              <w:rPr>
                <w:rFonts w:ascii="Times New Roman" w:eastAsia="Times New Roman" w:hAnsi="Times New Roman" w:cs="Times New Roman"/>
              </w:rPr>
              <w:t>1 h</w:t>
            </w:r>
          </w:p>
        </w:tc>
        <w:tc>
          <w:tcPr>
            <w:tcW w:w="3005" w:type="dxa"/>
          </w:tcPr>
          <w:p w:rsidR="00CB2E2C" w:rsidRPr="00A964DA" w:rsidRDefault="00CB2E2C" w:rsidP="00EA5A4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964DA">
              <w:rPr>
                <w:rFonts w:ascii="Times New Roman" w:eastAsia="Times New Roman" w:hAnsi="Times New Roman" w:cs="Times New Roman"/>
              </w:rPr>
              <w:t>1.2 x 10E6</w:t>
            </w:r>
          </w:p>
        </w:tc>
        <w:tc>
          <w:tcPr>
            <w:tcW w:w="3006" w:type="dxa"/>
          </w:tcPr>
          <w:p w:rsidR="00CB2E2C" w:rsidRPr="00A964DA" w:rsidRDefault="00CB2E2C" w:rsidP="00EA5A4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964DA">
              <w:rPr>
                <w:rFonts w:ascii="Times New Roman" w:eastAsia="Times New Roman" w:hAnsi="Times New Roman" w:cs="Times New Roman"/>
              </w:rPr>
              <w:t>1.5 x 10E6</w:t>
            </w:r>
          </w:p>
        </w:tc>
      </w:tr>
      <w:tr w:rsidR="00CB2E2C" w:rsidRPr="00A964DA" w:rsidTr="00EA5A48">
        <w:trPr>
          <w:jc w:val="center"/>
        </w:trPr>
        <w:tc>
          <w:tcPr>
            <w:tcW w:w="3005" w:type="dxa"/>
          </w:tcPr>
          <w:p w:rsidR="00CB2E2C" w:rsidRPr="00A964DA" w:rsidRDefault="00CB2E2C" w:rsidP="00EA5A4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964DA">
              <w:rPr>
                <w:rFonts w:ascii="Times New Roman" w:eastAsia="Times New Roman" w:hAnsi="Times New Roman" w:cs="Times New Roman"/>
              </w:rPr>
              <w:t>4 h</w:t>
            </w:r>
          </w:p>
        </w:tc>
        <w:tc>
          <w:tcPr>
            <w:tcW w:w="3005" w:type="dxa"/>
          </w:tcPr>
          <w:p w:rsidR="00CB2E2C" w:rsidRPr="00A964DA" w:rsidRDefault="00CB2E2C" w:rsidP="00EA5A4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964DA">
              <w:rPr>
                <w:rFonts w:ascii="Times New Roman" w:eastAsia="Times New Roman" w:hAnsi="Times New Roman" w:cs="Times New Roman"/>
              </w:rPr>
              <w:t>1.5 x 10E6</w:t>
            </w:r>
          </w:p>
        </w:tc>
        <w:tc>
          <w:tcPr>
            <w:tcW w:w="3006" w:type="dxa"/>
          </w:tcPr>
          <w:p w:rsidR="00CB2E2C" w:rsidRPr="00A964DA" w:rsidRDefault="00CB2E2C" w:rsidP="00EA5A4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964DA">
              <w:rPr>
                <w:rFonts w:ascii="Times New Roman" w:eastAsia="Times New Roman" w:hAnsi="Times New Roman" w:cs="Times New Roman"/>
              </w:rPr>
              <w:t>1.5 x 10E6</w:t>
            </w:r>
          </w:p>
        </w:tc>
      </w:tr>
      <w:tr w:rsidR="00CB2E2C" w:rsidRPr="00A964DA" w:rsidTr="00EA5A48">
        <w:trPr>
          <w:jc w:val="center"/>
        </w:trPr>
        <w:tc>
          <w:tcPr>
            <w:tcW w:w="3005" w:type="dxa"/>
          </w:tcPr>
          <w:p w:rsidR="00CB2E2C" w:rsidRPr="00A964DA" w:rsidRDefault="00CB2E2C" w:rsidP="00EA5A4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964DA">
              <w:rPr>
                <w:rFonts w:ascii="Times New Roman" w:eastAsia="Times New Roman" w:hAnsi="Times New Roman" w:cs="Times New Roman"/>
              </w:rPr>
              <w:t>8 h</w:t>
            </w:r>
          </w:p>
        </w:tc>
        <w:tc>
          <w:tcPr>
            <w:tcW w:w="3005" w:type="dxa"/>
          </w:tcPr>
          <w:p w:rsidR="00CB2E2C" w:rsidRPr="00A964DA" w:rsidRDefault="00CB2E2C" w:rsidP="00EA5A4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964DA">
              <w:rPr>
                <w:rFonts w:ascii="Times New Roman" w:eastAsia="Times New Roman" w:hAnsi="Times New Roman" w:cs="Times New Roman"/>
              </w:rPr>
              <w:t>2.1 x 10E6</w:t>
            </w:r>
          </w:p>
        </w:tc>
        <w:tc>
          <w:tcPr>
            <w:tcW w:w="3006" w:type="dxa"/>
          </w:tcPr>
          <w:p w:rsidR="00CB2E2C" w:rsidRPr="00A964DA" w:rsidRDefault="00CB2E2C" w:rsidP="00EA5A4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964DA">
              <w:rPr>
                <w:rFonts w:ascii="Times New Roman" w:eastAsia="Times New Roman" w:hAnsi="Times New Roman" w:cs="Times New Roman"/>
              </w:rPr>
              <w:t>2.4 x 10E6</w:t>
            </w:r>
          </w:p>
        </w:tc>
      </w:tr>
    </w:tbl>
    <w:p w:rsidR="00CB2E2C" w:rsidRPr="005C0F27" w:rsidRDefault="00CB2E2C" w:rsidP="00CB2E2C">
      <w:pPr>
        <w:rPr>
          <w:rFonts w:ascii="Times New Roman" w:hAnsi="Times New Roman" w:cs="Times New Roman"/>
          <w:b/>
        </w:rPr>
      </w:pPr>
      <w:r w:rsidRPr="00A964DA">
        <w:rPr>
          <w:rFonts w:ascii="Times New Roman" w:hAnsi="Times New Roman" w:cs="Times New Roman"/>
          <w:b/>
          <w:sz w:val="20"/>
          <w:szCs w:val="20"/>
        </w:rPr>
        <w:t xml:space="preserve">Supplementary Table 1: </w:t>
      </w:r>
      <w:r w:rsidRPr="00A964DA">
        <w:rPr>
          <w:rFonts w:ascii="Times New Roman" w:hAnsi="Times New Roman" w:cs="Times New Roman"/>
          <w:sz w:val="20"/>
          <w:szCs w:val="20"/>
        </w:rPr>
        <w:t>Enumeration of bacterial numbers from supernatant from control and A-T cells at 1, 4 and 8h post-infection.</w:t>
      </w:r>
    </w:p>
    <w:p w:rsidR="00DF5A86" w:rsidRDefault="00DF5A86"/>
    <w:sectPr w:rsidR="00DF5A86" w:rsidSect="00692CFB">
      <w:footerReference w:type="default" r:id="rId7"/>
      <w:pgSz w:w="11906" w:h="16838"/>
      <w:pgMar w:top="1134" w:right="1134" w:bottom="1134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9F4C00">
      <w:pPr>
        <w:spacing w:after="0" w:line="240" w:lineRule="auto"/>
      </w:pPr>
      <w:r>
        <w:separator/>
      </w:r>
    </w:p>
  </w:endnote>
  <w:endnote w:type="continuationSeparator" w:id="0">
    <w:p w:rsidR="00000000" w:rsidRDefault="009F4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3828683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07F21" w:rsidRDefault="00CB2E2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F4C0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07F21" w:rsidRDefault="009F4C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9F4C00">
      <w:pPr>
        <w:spacing w:after="0" w:line="240" w:lineRule="auto"/>
      </w:pPr>
      <w:r>
        <w:separator/>
      </w:r>
    </w:p>
  </w:footnote>
  <w:footnote w:type="continuationSeparator" w:id="0">
    <w:p w:rsidR="00000000" w:rsidRDefault="009F4C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E2C"/>
    <w:rsid w:val="009F4C00"/>
    <w:rsid w:val="00CB2E2C"/>
    <w:rsid w:val="00DF5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528EBC2-2DCA-430B-8DFE-76F74E008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2E2C"/>
    <w:rPr>
      <w:rFonts w:eastAsia="SimSun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B2E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2C"/>
    <w:rPr>
      <w:rFonts w:eastAsia="SimSun"/>
      <w:lang w:eastAsia="en-US"/>
    </w:rPr>
  </w:style>
  <w:style w:type="table" w:styleId="TableGrid">
    <w:name w:val="Table Grid"/>
    <w:basedOn w:val="TableNormal"/>
    <w:uiPriority w:val="39"/>
    <w:rsid w:val="00CB2E2C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Queensland</Company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Abrey Yeo</dc:creator>
  <cp:keywords/>
  <dc:description/>
  <cp:lastModifiedBy>Abrey Yeo</cp:lastModifiedBy>
  <cp:revision>2</cp:revision>
  <dcterms:created xsi:type="dcterms:W3CDTF">2018-11-13T06:09:00Z</dcterms:created>
  <dcterms:modified xsi:type="dcterms:W3CDTF">2018-11-14T01:13:00Z</dcterms:modified>
</cp:coreProperties>
</file>