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F86" w:rsidRPr="00A01B0B" w:rsidRDefault="001E3F86" w:rsidP="001E3F86">
      <w:pPr>
        <w:rPr>
          <w:rFonts w:cs="Calibri"/>
          <w:b/>
        </w:rPr>
      </w:pPr>
      <w:r w:rsidRPr="00A01B0B">
        <w:rPr>
          <w:rFonts w:cs="Calibri"/>
          <w:b/>
        </w:rPr>
        <w:t xml:space="preserve">The Impact of Varying Cooling and Thawing Rates on the Quality of Cryopreserved </w:t>
      </w:r>
      <w:r>
        <w:rPr>
          <w:rFonts w:cs="Calibri"/>
          <w:b/>
        </w:rPr>
        <w:t xml:space="preserve">Human </w:t>
      </w:r>
      <w:bookmarkStart w:id="0" w:name="_Hlk534581146"/>
      <w:r>
        <w:rPr>
          <w:rFonts w:cs="Calibri"/>
          <w:b/>
        </w:rPr>
        <w:t>P</w:t>
      </w:r>
      <w:r w:rsidRPr="00537D0D">
        <w:rPr>
          <w:rFonts w:cs="Calibri"/>
          <w:b/>
        </w:rPr>
        <w:t xml:space="preserve">eripheral </w:t>
      </w:r>
      <w:bookmarkEnd w:id="0"/>
      <w:r>
        <w:rPr>
          <w:rFonts w:cs="Calibri"/>
          <w:b/>
        </w:rPr>
        <w:t>B</w:t>
      </w:r>
      <w:r w:rsidRPr="00537D0D">
        <w:rPr>
          <w:rFonts w:cs="Calibri"/>
          <w:b/>
        </w:rPr>
        <w:t xml:space="preserve">lood </w:t>
      </w:r>
      <w:r w:rsidRPr="00A01B0B">
        <w:rPr>
          <w:rFonts w:cs="Calibri"/>
          <w:b/>
        </w:rPr>
        <w:t>T</w:t>
      </w:r>
      <w:r>
        <w:rPr>
          <w:rFonts w:cs="Calibri"/>
          <w:b/>
        </w:rPr>
        <w:t xml:space="preserve"> </w:t>
      </w:r>
      <w:r w:rsidRPr="00A01B0B">
        <w:rPr>
          <w:rFonts w:cs="Calibri"/>
          <w:b/>
        </w:rPr>
        <w:t xml:space="preserve">Cells </w:t>
      </w:r>
    </w:p>
    <w:p w:rsidR="001E3F86" w:rsidRPr="00A01B0B" w:rsidRDefault="001E3F86" w:rsidP="001E3F86">
      <w:pPr>
        <w:rPr>
          <w:rFonts w:cs="Calibri"/>
        </w:rPr>
      </w:pPr>
      <w:r w:rsidRPr="00A01B0B">
        <w:rPr>
          <w:rFonts w:cs="Calibri"/>
          <w:b/>
        </w:rPr>
        <w:t>Authors</w:t>
      </w:r>
      <w:r w:rsidRPr="00A01B0B">
        <w:rPr>
          <w:rFonts w:cs="Calibri"/>
        </w:rPr>
        <w:t xml:space="preserve"> Jasmin Baboo</w:t>
      </w:r>
      <w:r>
        <w:rPr>
          <w:rFonts w:cs="Calibri"/>
          <w:vertAlign w:val="superscript"/>
        </w:rPr>
        <w:t>1</w:t>
      </w:r>
      <w:r w:rsidRPr="00A01B0B">
        <w:rPr>
          <w:rFonts w:cs="Calibri"/>
        </w:rPr>
        <w:t>, Peter Kilbride</w:t>
      </w:r>
      <w:r>
        <w:rPr>
          <w:rFonts w:cs="Calibri"/>
          <w:vertAlign w:val="superscript"/>
        </w:rPr>
        <w:t>2</w:t>
      </w:r>
      <w:r w:rsidRPr="00A01B0B">
        <w:rPr>
          <w:rFonts w:cs="Calibri"/>
        </w:rPr>
        <w:t>, Mike Delahaye</w:t>
      </w:r>
      <w:r>
        <w:rPr>
          <w:rFonts w:cs="Calibri"/>
          <w:vertAlign w:val="superscript"/>
        </w:rPr>
        <w:t>1</w:t>
      </w:r>
      <w:r w:rsidRPr="00A01B0B">
        <w:rPr>
          <w:rFonts w:cs="Calibri"/>
        </w:rPr>
        <w:t>, Stuart Milne</w:t>
      </w:r>
      <w:r>
        <w:rPr>
          <w:rFonts w:cs="Calibri"/>
          <w:vertAlign w:val="superscript"/>
        </w:rPr>
        <w:t>2</w:t>
      </w:r>
      <w:r w:rsidRPr="00A01B0B">
        <w:rPr>
          <w:rFonts w:cs="Calibri"/>
        </w:rPr>
        <w:t>, Fernanda Fonseca</w:t>
      </w:r>
      <w:r>
        <w:rPr>
          <w:rFonts w:cs="Calibri"/>
          <w:vertAlign w:val="superscript"/>
        </w:rPr>
        <w:t>3</w:t>
      </w:r>
      <w:r w:rsidRPr="00A01B0B">
        <w:rPr>
          <w:rFonts w:cs="Calibri"/>
        </w:rPr>
        <w:t>,</w:t>
      </w:r>
      <w:r>
        <w:rPr>
          <w:rFonts w:cs="Calibri"/>
        </w:rPr>
        <w:t xml:space="preserve"> </w:t>
      </w:r>
      <w:r w:rsidRPr="00A01B0B">
        <w:rPr>
          <w:rFonts w:cs="Calibri"/>
        </w:rPr>
        <w:t>Magdalena Blanco</w:t>
      </w:r>
      <w:r>
        <w:rPr>
          <w:rFonts w:cs="Calibri"/>
          <w:vertAlign w:val="superscript"/>
        </w:rPr>
        <w:t>1</w:t>
      </w:r>
      <w:r>
        <w:rPr>
          <w:rFonts w:cs="Calibri"/>
        </w:rPr>
        <w:t>, Julie Meneghel</w:t>
      </w:r>
      <w:r>
        <w:rPr>
          <w:rFonts w:cs="Calibri"/>
          <w:vertAlign w:val="superscript"/>
        </w:rPr>
        <w:t>2</w:t>
      </w:r>
      <w:r>
        <w:rPr>
          <w:rFonts w:cs="Calibri"/>
        </w:rPr>
        <w:t>, Alex Nancekievill</w:t>
      </w:r>
      <w:r w:rsidRPr="00B87335">
        <w:rPr>
          <w:rFonts w:cs="Calibri"/>
          <w:vertAlign w:val="superscript"/>
        </w:rPr>
        <w:t>2</w:t>
      </w:r>
      <w:r>
        <w:rPr>
          <w:rFonts w:cs="Calibri"/>
        </w:rPr>
        <w:t>,</w:t>
      </w:r>
      <w:r w:rsidRPr="00E9723E">
        <w:t xml:space="preserve"> </w:t>
      </w:r>
      <w:r>
        <w:t>Nick Gaddum</w:t>
      </w:r>
      <w:r>
        <w:rPr>
          <w:vertAlign w:val="superscript"/>
        </w:rPr>
        <w:t>1</w:t>
      </w:r>
      <w:r>
        <w:t xml:space="preserve">, </w:t>
      </w:r>
      <w:r w:rsidRPr="00E9723E">
        <w:rPr>
          <w:rFonts w:cs="Calibri"/>
        </w:rPr>
        <w:t>John Morris</w:t>
      </w:r>
      <w:r>
        <w:rPr>
          <w:rFonts w:cs="Calibri"/>
          <w:vertAlign w:val="superscript"/>
        </w:rPr>
        <w:t>2</w:t>
      </w:r>
    </w:p>
    <w:p w:rsidR="001E3F86" w:rsidRPr="00701A12" w:rsidRDefault="001E3F86" w:rsidP="001E3F86">
      <w:pPr>
        <w:rPr>
          <w:rFonts w:cs="Calibri"/>
          <w:b/>
        </w:rPr>
      </w:pPr>
      <w:r w:rsidRPr="00701A12">
        <w:rPr>
          <w:rFonts w:cs="Calibri"/>
          <w:b/>
        </w:rPr>
        <w:t>Authors Affiliation</w:t>
      </w:r>
    </w:p>
    <w:p w:rsidR="001E3F86" w:rsidRPr="00701A12" w:rsidRDefault="001E3F86" w:rsidP="001E3F86">
      <w:pPr>
        <w:rPr>
          <w:rFonts w:cs="Calibri"/>
          <w:color w:val="222222"/>
          <w:shd w:val="clear" w:color="auto" w:fill="FFFFFF"/>
        </w:rPr>
      </w:pPr>
      <w:r w:rsidRPr="00701A12">
        <w:rPr>
          <w:rFonts w:cs="Calibri"/>
        </w:rPr>
        <w:t xml:space="preserve">1 – </w:t>
      </w:r>
      <w:r>
        <w:rPr>
          <w:rFonts w:cs="Calibri"/>
        </w:rPr>
        <w:t>Cell</w:t>
      </w:r>
      <w:r w:rsidRPr="00701A12">
        <w:rPr>
          <w:rFonts w:cs="Calibri"/>
        </w:rPr>
        <w:t xml:space="preserve"> and </w:t>
      </w:r>
      <w:r>
        <w:rPr>
          <w:rFonts w:cs="Calibri"/>
        </w:rPr>
        <w:t>Gene</w:t>
      </w:r>
      <w:r w:rsidRPr="00701A12">
        <w:rPr>
          <w:rFonts w:cs="Calibri"/>
        </w:rPr>
        <w:t xml:space="preserve"> Therapy Catapult, </w:t>
      </w:r>
      <w:r w:rsidRPr="00701A12">
        <w:rPr>
          <w:rFonts w:cs="Calibri"/>
          <w:color w:val="222222"/>
          <w:shd w:val="clear" w:color="auto" w:fill="FFFFFF"/>
        </w:rPr>
        <w:t>12th Floor Tower Wing, Guy's Hospital, Great Maze Pond, London SE1 9RT, UK</w:t>
      </w:r>
    </w:p>
    <w:p w:rsidR="001E3F86" w:rsidRPr="00701A12" w:rsidRDefault="001E3F86" w:rsidP="001E3F86">
      <w:pPr>
        <w:rPr>
          <w:rFonts w:cs="Calibri"/>
          <w:color w:val="222222"/>
          <w:shd w:val="clear" w:color="auto" w:fill="FFFFFF"/>
        </w:rPr>
      </w:pPr>
      <w:r w:rsidRPr="00701A12">
        <w:rPr>
          <w:rFonts w:cs="Calibri"/>
          <w:color w:val="222222"/>
          <w:shd w:val="clear" w:color="auto" w:fill="FFFFFF"/>
        </w:rPr>
        <w:t>+44 20 3728 9500</w:t>
      </w:r>
    </w:p>
    <w:p w:rsidR="001E3F86" w:rsidRPr="00701A12" w:rsidRDefault="001E3F86" w:rsidP="001E3F86">
      <w:pPr>
        <w:rPr>
          <w:rFonts w:cs="Calibri"/>
          <w:color w:val="222222"/>
          <w:shd w:val="clear" w:color="auto" w:fill="FFFFFF"/>
        </w:rPr>
      </w:pPr>
      <w:r w:rsidRPr="00701A12">
        <w:rPr>
          <w:rFonts w:cs="Calibri"/>
          <w:color w:val="222222"/>
          <w:shd w:val="clear" w:color="auto" w:fill="FFFFFF"/>
        </w:rPr>
        <w:t xml:space="preserve">2 – Asymptote, General Electric Healthcare, Sovereign House, </w:t>
      </w:r>
      <w:proofErr w:type="spellStart"/>
      <w:r w:rsidRPr="00701A12">
        <w:rPr>
          <w:rFonts w:cs="Calibri"/>
          <w:color w:val="222222"/>
          <w:shd w:val="clear" w:color="auto" w:fill="FFFFFF"/>
        </w:rPr>
        <w:t>Histon</w:t>
      </w:r>
      <w:proofErr w:type="spellEnd"/>
      <w:r w:rsidRPr="00701A12">
        <w:rPr>
          <w:rFonts w:cs="Calibri"/>
          <w:color w:val="222222"/>
          <w:shd w:val="clear" w:color="auto" w:fill="FFFFFF"/>
        </w:rPr>
        <w:t>, Cambridge, CB24 9BZ, UK</w:t>
      </w:r>
    </w:p>
    <w:p w:rsidR="001E3F86" w:rsidRPr="00701A12" w:rsidRDefault="001E3F86" w:rsidP="001E3F86">
      <w:pPr>
        <w:rPr>
          <w:rFonts w:cs="Calibri"/>
          <w:color w:val="222222"/>
          <w:shd w:val="clear" w:color="auto" w:fill="FFFFFF"/>
        </w:rPr>
      </w:pPr>
      <w:r w:rsidRPr="00701A12">
        <w:rPr>
          <w:rFonts w:cs="Calibri"/>
          <w:color w:val="222222"/>
          <w:shd w:val="clear" w:color="auto" w:fill="FFFFFF"/>
        </w:rPr>
        <w:t>+44 330 660 0320</w:t>
      </w:r>
    </w:p>
    <w:p w:rsidR="001E3F86" w:rsidRPr="00701A12" w:rsidRDefault="001E3F86" w:rsidP="001E3F86">
      <w:pPr>
        <w:rPr>
          <w:rFonts w:cs="Calibri"/>
          <w:color w:val="222222"/>
          <w:shd w:val="clear" w:color="auto" w:fill="FFFFFF"/>
        </w:rPr>
      </w:pPr>
      <w:r w:rsidRPr="00701A12">
        <w:rPr>
          <w:rFonts w:cs="Calibri"/>
          <w:color w:val="222222"/>
          <w:shd w:val="clear" w:color="auto" w:fill="FFFFFF"/>
        </w:rPr>
        <w:t xml:space="preserve">3 – UMR GMPA, </w:t>
      </w:r>
      <w:proofErr w:type="spellStart"/>
      <w:r w:rsidRPr="00701A12">
        <w:rPr>
          <w:rFonts w:cs="Calibri"/>
          <w:color w:val="222222"/>
          <w:shd w:val="clear" w:color="auto" w:fill="FFFFFF"/>
        </w:rPr>
        <w:t>AgroParisTech</w:t>
      </w:r>
      <w:proofErr w:type="spellEnd"/>
      <w:r w:rsidRPr="00701A12">
        <w:rPr>
          <w:rFonts w:cs="Calibri"/>
          <w:color w:val="222222"/>
          <w:shd w:val="clear" w:color="auto" w:fill="FFFFFF"/>
        </w:rPr>
        <w:t xml:space="preserve">, INRA, </w:t>
      </w:r>
      <w:proofErr w:type="spellStart"/>
      <w:r w:rsidRPr="00701A12">
        <w:rPr>
          <w:rFonts w:cs="Calibri"/>
          <w:color w:val="222222"/>
          <w:shd w:val="clear" w:color="auto" w:fill="FFFFFF"/>
        </w:rPr>
        <w:t>Université</w:t>
      </w:r>
      <w:proofErr w:type="spellEnd"/>
      <w:r w:rsidRPr="00701A12">
        <w:rPr>
          <w:rFonts w:cs="Calibri"/>
          <w:color w:val="222222"/>
          <w:shd w:val="clear" w:color="auto" w:fill="FFFFFF"/>
        </w:rPr>
        <w:t xml:space="preserve"> Paris </w:t>
      </w:r>
      <w:proofErr w:type="spellStart"/>
      <w:r w:rsidRPr="00701A12">
        <w:rPr>
          <w:rFonts w:cs="Calibri"/>
          <w:color w:val="222222"/>
          <w:shd w:val="clear" w:color="auto" w:fill="FFFFFF"/>
        </w:rPr>
        <w:t>Saclay</w:t>
      </w:r>
      <w:proofErr w:type="spellEnd"/>
      <w:r w:rsidRPr="00701A12">
        <w:rPr>
          <w:rFonts w:cs="Calibri"/>
          <w:color w:val="222222"/>
          <w:shd w:val="clear" w:color="auto" w:fill="FFFFFF"/>
        </w:rPr>
        <w:t xml:space="preserve">, 78850 </w:t>
      </w:r>
      <w:proofErr w:type="spellStart"/>
      <w:r w:rsidRPr="00701A12">
        <w:rPr>
          <w:rFonts w:cs="Calibri"/>
          <w:color w:val="222222"/>
          <w:shd w:val="clear" w:color="auto" w:fill="FFFFFF"/>
        </w:rPr>
        <w:t>Thiverval-Grignon</w:t>
      </w:r>
      <w:proofErr w:type="spellEnd"/>
      <w:r w:rsidRPr="00701A12">
        <w:rPr>
          <w:rFonts w:cs="Calibri"/>
          <w:color w:val="222222"/>
          <w:shd w:val="clear" w:color="auto" w:fill="FFFFFF"/>
        </w:rPr>
        <w:t>, France</w:t>
      </w:r>
    </w:p>
    <w:p w:rsidR="001E3F86" w:rsidRPr="00701A12" w:rsidRDefault="001E3F86" w:rsidP="001E3F86">
      <w:pPr>
        <w:rPr>
          <w:rFonts w:cs="Calibri"/>
        </w:rPr>
      </w:pPr>
      <w:r w:rsidRPr="00701A12">
        <w:rPr>
          <w:rFonts w:cs="Calibri"/>
        </w:rPr>
        <w:t xml:space="preserve">+33 1 30 81 </w:t>
      </w:r>
      <w:r>
        <w:rPr>
          <w:rFonts w:cs="Calibri"/>
        </w:rPr>
        <w:t>59 40</w:t>
      </w:r>
    </w:p>
    <w:p w:rsidR="001E3F86" w:rsidRDefault="001E3F86" w:rsidP="001E3F86">
      <w:pPr>
        <w:rPr>
          <w:rFonts w:cs="Calibri"/>
          <w:b/>
        </w:rPr>
      </w:pPr>
      <w:r w:rsidRPr="00701A12">
        <w:rPr>
          <w:rFonts w:cs="Calibri"/>
          <w:b/>
        </w:rPr>
        <w:t xml:space="preserve">Contact </w:t>
      </w:r>
    </w:p>
    <w:p w:rsidR="001E3F86" w:rsidRDefault="001E3F86" w:rsidP="001E3F86">
      <w:pPr>
        <w:rPr>
          <w:rFonts w:cs="Calibri"/>
          <w:color w:val="222222"/>
          <w:shd w:val="clear" w:color="auto" w:fill="FFFFFF"/>
        </w:rPr>
      </w:pPr>
      <w:r w:rsidRPr="0059781E">
        <w:rPr>
          <w:rFonts w:cs="Calibri"/>
        </w:rPr>
        <w:t xml:space="preserve">John Morris; </w:t>
      </w:r>
      <w:hyperlink r:id="rId4" w:history="1">
        <w:r w:rsidRPr="0059781E">
          <w:rPr>
            <w:rStyle w:val="Hyperlink"/>
            <w:rFonts w:cs="Calibri"/>
          </w:rPr>
          <w:t>GJohn.Morris@ge.com</w:t>
        </w:r>
      </w:hyperlink>
      <w:r w:rsidRPr="0059781E">
        <w:rPr>
          <w:rFonts w:cs="Calibri"/>
        </w:rPr>
        <w:t xml:space="preserve">; </w:t>
      </w:r>
      <w:r w:rsidRPr="0059781E">
        <w:rPr>
          <w:rFonts w:cs="Calibri"/>
          <w:shd w:val="clear" w:color="auto" w:fill="FFFFFF"/>
        </w:rPr>
        <w:t>+44 330</w:t>
      </w:r>
      <w:r w:rsidRPr="0059781E">
        <w:rPr>
          <w:rFonts w:cs="Calibri"/>
          <w:color w:val="222222"/>
          <w:shd w:val="clear" w:color="auto" w:fill="FFFFFF"/>
        </w:rPr>
        <w:t xml:space="preserve"> 660 0320</w:t>
      </w:r>
    </w:p>
    <w:p w:rsidR="001E3F86" w:rsidRDefault="001E3F86">
      <w:pPr>
        <w:rPr>
          <w:rFonts w:cs="Calibri"/>
          <w:color w:val="222222"/>
          <w:shd w:val="clear" w:color="auto" w:fill="FFFFFF"/>
        </w:rPr>
      </w:pPr>
      <w:r>
        <w:rPr>
          <w:rFonts w:cs="Calibri"/>
          <w:color w:val="222222"/>
          <w:shd w:val="clear" w:color="auto" w:fill="FFFFFF"/>
        </w:rPr>
        <w:br w:type="page"/>
      </w:r>
    </w:p>
    <w:p w:rsidR="00807A25" w:rsidRDefault="00807A25" w:rsidP="00807A25">
      <w:pPr>
        <w:jc w:val="both"/>
      </w:pPr>
      <w:bookmarkStart w:id="1" w:name="_GoBack"/>
      <w:bookmarkEnd w:id="1"/>
      <w:r w:rsidRPr="005F7287">
        <w:rPr>
          <w:b/>
        </w:rPr>
        <w:lastRenderedPageBreak/>
        <w:t>Supplementary Materials</w:t>
      </w:r>
    </w:p>
    <w:p w:rsidR="00807A25" w:rsidRDefault="00807A25" w:rsidP="00807A25">
      <w:pPr>
        <w:jc w:val="both"/>
      </w:pPr>
      <w:r>
        <w:object w:dxaOrig="6977" w:dyaOrig="5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pt;height:293pt" o:ole="">
            <v:imagedata r:id="rId5" o:title=""/>
          </v:shape>
          <o:OLEObject Type="Embed" ProgID="Prism7.Document" ShapeID="_x0000_i1025" DrawAspect="Content" ObjectID="_1609167462" r:id="rId6"/>
        </w:object>
      </w:r>
    </w:p>
    <w:p w:rsidR="00807A25" w:rsidRDefault="00807A25" w:rsidP="00807A25">
      <w:pPr>
        <w:jc w:val="both"/>
      </w:pPr>
      <w:r>
        <w:rPr>
          <w:b/>
        </w:rPr>
        <w:t xml:space="preserve">Figure S1. </w:t>
      </w:r>
      <w:r>
        <w:t xml:space="preserve">Box and whisker plots displaying the distribution in viable cell numbers recovered and percentage proliferation over eight experimental runs for vials thawed </w:t>
      </w:r>
      <w:r w:rsidRPr="004C4D13">
        <w:t>in a 37</w:t>
      </w:r>
      <w:r w:rsidRPr="004C4D13">
        <w:rPr>
          <w:vertAlign w:val="superscript"/>
        </w:rPr>
        <w:t>o</w:t>
      </w:r>
      <w:r w:rsidRPr="004C4D13">
        <w:t>C water bath</w:t>
      </w:r>
      <w:r>
        <w:t xml:space="preserve"> which had been </w:t>
      </w:r>
      <w:r w:rsidRPr="004C4D13">
        <w:t>cooled at 1</w:t>
      </w:r>
      <w:r w:rsidRPr="004C4D13">
        <w:rPr>
          <w:vertAlign w:val="superscript"/>
        </w:rPr>
        <w:t>o</w:t>
      </w:r>
      <w:r w:rsidRPr="004C4D13">
        <w:t>C</w:t>
      </w:r>
      <w:r>
        <w:t xml:space="preserve"> </w:t>
      </w:r>
      <w:r w:rsidRPr="004C4D13">
        <w:t>min</w:t>
      </w:r>
      <w:r w:rsidRPr="00F65611">
        <w:rPr>
          <w:vertAlign w:val="superscript"/>
        </w:rPr>
        <w:t>-1</w:t>
      </w:r>
      <w:r w:rsidRPr="004C4D13">
        <w:t xml:space="preserve"> to -100</w:t>
      </w:r>
      <w:r w:rsidRPr="004C4D13">
        <w:rPr>
          <w:vertAlign w:val="superscript"/>
        </w:rPr>
        <w:t>o</w:t>
      </w:r>
      <w:r w:rsidRPr="004C4D13">
        <w:t>C</w:t>
      </w:r>
      <w:r>
        <w:t xml:space="preserve">. The whiskers represent the maximum and minimum values obtained in the dataset. </w:t>
      </w:r>
    </w:p>
    <w:p w:rsidR="00807A25" w:rsidRPr="004C4D13" w:rsidRDefault="00807A25" w:rsidP="00807A25">
      <w:pPr>
        <w:jc w:val="both"/>
      </w:pPr>
      <w:r w:rsidRPr="004C4D13">
        <w:t>Considering reproducibility of resul</w:t>
      </w:r>
      <w:r>
        <w:t xml:space="preserve">ts, Figure S1 </w:t>
      </w:r>
      <w:r w:rsidRPr="004C4D13">
        <w:t xml:space="preserve">shows that experiments run on </w:t>
      </w:r>
      <w:r>
        <w:t>eight</w:t>
      </w:r>
      <w:r w:rsidRPr="004C4D13">
        <w:t xml:space="preserve"> different days resulted in a standard deviation of 5.8% in average viable cell number.</w:t>
      </w:r>
      <w:r>
        <w:t xml:space="preserve"> </w:t>
      </w:r>
      <w:r w:rsidRPr="004C4D13">
        <w:t>This cryopreservation protocol of samples cooled at 1</w:t>
      </w:r>
      <w:r w:rsidRPr="005355C0">
        <w:rPr>
          <w:rFonts w:cs="Calibri"/>
          <w:color w:val="222222"/>
          <w:shd w:val="clear" w:color="auto" w:fill="FFFFFF"/>
        </w:rPr>
        <w:t>°</w:t>
      </w:r>
      <w:r w:rsidRPr="004C4D13">
        <w:t>C</w:t>
      </w:r>
      <w:r>
        <w:t xml:space="preserve"> </w:t>
      </w:r>
      <w:r w:rsidRPr="004C4D13">
        <w:t>min</w:t>
      </w:r>
      <w:r w:rsidRPr="00F65611">
        <w:rPr>
          <w:vertAlign w:val="superscript"/>
        </w:rPr>
        <w:t>-1</w:t>
      </w:r>
      <w:r w:rsidRPr="004C4D13">
        <w:t xml:space="preserve"> to -100</w:t>
      </w:r>
      <w:r w:rsidRPr="005355C0">
        <w:rPr>
          <w:rFonts w:cs="Calibri"/>
          <w:color w:val="222222"/>
          <w:shd w:val="clear" w:color="auto" w:fill="FFFFFF"/>
        </w:rPr>
        <w:t>°</w:t>
      </w:r>
      <w:r w:rsidRPr="004C4D13">
        <w:t>C and thawed in a 37</w:t>
      </w:r>
      <w:r w:rsidRPr="005355C0">
        <w:rPr>
          <w:rFonts w:cs="Calibri"/>
        </w:rPr>
        <w:t>°</w:t>
      </w:r>
      <w:r w:rsidRPr="004C4D13">
        <w:t>C water bath has previously been used in this lab</w:t>
      </w:r>
      <w:r>
        <w:t>oratory</w:t>
      </w:r>
      <w:r w:rsidRPr="004C4D13">
        <w:t xml:space="preserve"> and was used as a standard control to normalize against. </w:t>
      </w: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</w:p>
    <w:p w:rsidR="00807A25" w:rsidRDefault="00807A25" w:rsidP="00807A25">
      <w:pPr>
        <w:jc w:val="both"/>
      </w:pPr>
      <w:r>
        <w:object w:dxaOrig="7386" w:dyaOrig="3445">
          <v:shape id="_x0000_i1026" type="#_x0000_t75" style="width:468.5pt;height:219pt" o:ole="">
            <v:imagedata r:id="rId7" o:title=""/>
          </v:shape>
          <o:OLEObject Type="Embed" ProgID="Prism6.Document" ShapeID="_x0000_i1026" DrawAspect="Content" ObjectID="_1609167463" r:id="rId8"/>
        </w:object>
      </w:r>
    </w:p>
    <w:p w:rsidR="00807A25" w:rsidRPr="007E6F29" w:rsidRDefault="00807A25" w:rsidP="00807A25">
      <w:pPr>
        <w:jc w:val="both"/>
      </w:pPr>
      <w:r>
        <w:object w:dxaOrig="7245" w:dyaOrig="3477">
          <v:shape id="_x0000_i1027" type="#_x0000_t75" style="width:468pt;height:225pt" o:ole="">
            <v:imagedata r:id="rId9" o:title=""/>
          </v:shape>
          <o:OLEObject Type="Embed" ProgID="Prism6.Document" ShapeID="_x0000_i1027" DrawAspect="Content" ObjectID="_1609167464" r:id="rId10"/>
        </w:object>
      </w:r>
    </w:p>
    <w:p w:rsidR="00807A25" w:rsidRPr="001652DC" w:rsidRDefault="00807A25" w:rsidP="00807A25">
      <w:pPr>
        <w:jc w:val="both"/>
      </w:pPr>
      <w:r w:rsidRPr="00C00A80">
        <w:rPr>
          <w:b/>
        </w:rPr>
        <w:t>Figure S2</w:t>
      </w:r>
      <w:r>
        <w:rPr>
          <w:b/>
        </w:rPr>
        <w:t xml:space="preserve">. </w:t>
      </w:r>
      <w:r w:rsidRPr="00C00A80">
        <w:t>Average cell viability measured at each freeze/thaw condition tested using trypan</w:t>
      </w:r>
      <w:r w:rsidRPr="001652DC">
        <w:t xml:space="preserve"> blue staining (</w:t>
      </w:r>
      <w:r>
        <w:t>a</w:t>
      </w:r>
      <w:r w:rsidRPr="001652DC">
        <w:t>) and live/dead aqua staining (</w:t>
      </w:r>
      <w:r>
        <w:t>b</w:t>
      </w:r>
      <w:r w:rsidRPr="001652DC">
        <w:t xml:space="preserve">). Error bars represent the standard deviation of five replica thaws for </w:t>
      </w:r>
      <w:proofErr w:type="gramStart"/>
      <w:r w:rsidRPr="001652DC">
        <w:t>the majority of</w:t>
      </w:r>
      <w:proofErr w:type="gramEnd"/>
      <w:r w:rsidRPr="001652DC">
        <w:t xml:space="preserve"> the data shown. Error bars represent the standard deviation of ten replica thaws when freezing at 0.1</w:t>
      </w:r>
      <w:r w:rsidRPr="001652DC">
        <w:rPr>
          <w:vertAlign w:val="superscript"/>
        </w:rPr>
        <w:t>o</w:t>
      </w:r>
      <w:r>
        <w:t>C min</w:t>
      </w:r>
      <w:r w:rsidRPr="00CF197F">
        <w:rPr>
          <w:vertAlign w:val="superscript"/>
        </w:rPr>
        <w:t>-1</w:t>
      </w:r>
      <w:r w:rsidRPr="001652DC">
        <w:t xml:space="preserve"> and thawing in a 95</w:t>
      </w:r>
      <w:r w:rsidRPr="001652DC">
        <w:rPr>
          <w:vertAlign w:val="superscript"/>
        </w:rPr>
        <w:t>o</w:t>
      </w:r>
      <w:r w:rsidRPr="001652DC">
        <w:t>C water bath and in polystyrene (for trypan blue staining data only). Error bars represent the standard deviation of seven replica thaws when freezing at 1</w:t>
      </w:r>
      <w:r w:rsidRPr="001652DC">
        <w:rPr>
          <w:vertAlign w:val="superscript"/>
        </w:rPr>
        <w:t>o</w:t>
      </w:r>
      <w:r>
        <w:t>C min</w:t>
      </w:r>
      <w:r w:rsidRPr="00CF197F">
        <w:rPr>
          <w:vertAlign w:val="superscript"/>
        </w:rPr>
        <w:t>-1</w:t>
      </w:r>
      <w:r w:rsidRPr="001652DC">
        <w:t xml:space="preserve"> and thawing in a 95</w:t>
      </w:r>
      <w:r w:rsidRPr="001652DC">
        <w:rPr>
          <w:vertAlign w:val="superscript"/>
        </w:rPr>
        <w:t>o</w:t>
      </w:r>
      <w:r w:rsidRPr="001652DC">
        <w:t>C water bath (for trypan blue staining data only).</w:t>
      </w:r>
    </w:p>
    <w:p w:rsidR="00341B2C" w:rsidRDefault="0017746D"/>
    <w:sectPr w:rsidR="00341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25"/>
    <w:rsid w:val="0017746D"/>
    <w:rsid w:val="0019568A"/>
    <w:rsid w:val="001E3F86"/>
    <w:rsid w:val="00731E3B"/>
    <w:rsid w:val="0080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86718"/>
  <w15:chartTrackingRefBased/>
  <w15:docId w15:val="{2D2DE53A-50E9-41AE-BFCC-1A863688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A2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E3F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mailto:GJohn.Morris@ge.com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Kilbride, Peter(GE Healthcare)</dc:creator>
  <cp:keywords/>
  <dc:description/>
  <cp:lastModifiedBy>Kilbride, Peter(GE Healthcare)</cp:lastModifiedBy>
  <cp:revision>2</cp:revision>
  <dcterms:created xsi:type="dcterms:W3CDTF">2019-01-16T18:11:00Z</dcterms:created>
  <dcterms:modified xsi:type="dcterms:W3CDTF">2019-01-16T18:11:00Z</dcterms:modified>
</cp:coreProperties>
</file>