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4.png" ContentType="image/png"/>
  <Override PartName="/word/media/image3.png" ContentType="image/png"/>
  <Override PartName="/word/media/image2.png" ContentType="image/png"/>
  <Override PartName="/word/media/image1.png" ContentType="image/png"/>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u w:val="single"/>
        </w:rPr>
      </w:pPr>
      <w:r>
        <w:rPr>
          <w:rFonts w:ascii="Arial" w:hAnsi="Arial"/>
          <w:b/>
          <w:bCs/>
          <w:sz w:val="28"/>
          <w:szCs w:val="28"/>
          <w:u w:val="single"/>
        </w:rPr>
        <w:t>Supplementary Material</w:t>
      </w:r>
    </w:p>
    <w:p>
      <w:pPr>
        <w:pStyle w:val="Normal"/>
        <w:rPr>
          <w:rFonts w:ascii="Arial" w:hAnsi="Arial"/>
          <w:b/>
          <w:b/>
          <w:bCs/>
          <w:sz w:val="28"/>
          <w:szCs w:val="28"/>
          <w:u w:val="single"/>
        </w:rPr>
      </w:pPr>
      <w:r>
        <w:rPr>
          <w:rFonts w:ascii="Arial" w:hAnsi="Arial"/>
          <w:b/>
          <w:bCs/>
          <w:sz w:val="28"/>
          <w:szCs w:val="28"/>
          <w:u w:val="single"/>
        </w:rPr>
      </w:r>
    </w:p>
    <w:p>
      <w:pPr>
        <w:pStyle w:val="Normal"/>
        <w:rPr>
          <w:u w:val="none"/>
        </w:rPr>
      </w:pPr>
      <w:r>
        <w:rPr>
          <w:rFonts w:ascii="Arial" w:hAnsi="Arial"/>
          <w:b/>
          <w:bCs/>
          <w:sz w:val="28"/>
          <w:szCs w:val="28"/>
          <w:u w:val="none"/>
        </w:rPr>
        <w:t xml:space="preserve">Article in </w:t>
      </w:r>
      <w:r>
        <w:rPr>
          <w:rFonts w:ascii="Arial" w:hAnsi="Arial"/>
          <w:b/>
          <w:bCs/>
          <w:i/>
          <w:iCs/>
          <w:sz w:val="28"/>
          <w:szCs w:val="28"/>
          <w:u w:val="none"/>
        </w:rPr>
        <w:t>Scientific Reports</w:t>
      </w:r>
    </w:p>
    <w:p>
      <w:pPr>
        <w:pStyle w:val="Normal"/>
        <w:jc w:val="both"/>
        <w:rPr/>
      </w:pPr>
      <w:r>
        <w:rPr>
          <w:rFonts w:cs="Arial" w:ascii="Arial" w:hAnsi="Arial"/>
          <w:b w:val="false"/>
          <w:bCs w:val="false"/>
          <w:sz w:val="28"/>
          <w:szCs w:val="28"/>
        </w:rPr>
        <w:t>A multimodal approach to cardiovascular risk stratification in patients with type 2 diabetes incorporating retinal, genomic and clinical features.</w:t>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Author names and affiliations</w:t>
      </w:r>
    </w:p>
    <w:p>
      <w:pPr>
        <w:pStyle w:val="Normal"/>
        <w:rPr/>
      </w:pPr>
      <w:r>
        <w:rPr>
          <w:rFonts w:cs="Arial" w:ascii="Arial" w:hAnsi="Arial"/>
          <w:sz w:val="28"/>
          <w:szCs w:val="28"/>
        </w:rPr>
        <w:t>Ahmed E. Fetit</w:t>
      </w:r>
      <w:r>
        <w:rPr>
          <w:rFonts w:cs="Arial" w:ascii="Arial" w:hAnsi="Arial"/>
          <w:sz w:val="28"/>
          <w:szCs w:val="28"/>
          <w:vertAlign w:val="superscript"/>
        </w:rPr>
        <w:t>a,</w:t>
      </w:r>
      <w:r>
        <w:rPr>
          <w:rFonts w:cs="Arial" w:ascii="Arial" w:hAnsi="Arial"/>
          <w:b/>
          <w:bCs/>
          <w:sz w:val="32"/>
          <w:szCs w:val="32"/>
          <w:vertAlign w:val="superscript"/>
        </w:rPr>
        <w:t>*</w:t>
      </w:r>
    </w:p>
    <w:p>
      <w:pPr>
        <w:pStyle w:val="Normal"/>
        <w:rPr/>
      </w:pPr>
      <w:r>
        <w:rPr>
          <w:rFonts w:cs="Arial" w:ascii="Arial" w:hAnsi="Arial"/>
          <w:sz w:val="28"/>
          <w:szCs w:val="28"/>
        </w:rPr>
        <w:t>Alexander S. Doney</w:t>
      </w:r>
      <w:r>
        <w:rPr>
          <w:rFonts w:cs="Arial" w:ascii="Arial" w:hAnsi="Arial"/>
          <w:sz w:val="28"/>
          <w:szCs w:val="28"/>
          <w:vertAlign w:val="superscript"/>
        </w:rPr>
        <w:t>b</w:t>
      </w:r>
    </w:p>
    <w:p>
      <w:pPr>
        <w:pStyle w:val="Normal"/>
        <w:rPr/>
      </w:pPr>
      <w:r>
        <w:rPr>
          <w:rFonts w:cs="Arial" w:ascii="Arial" w:hAnsi="Arial"/>
          <w:sz w:val="28"/>
          <w:szCs w:val="28"/>
        </w:rPr>
        <w:t>Stephen Hogg</w:t>
      </w:r>
      <w:r>
        <w:rPr>
          <w:rFonts w:cs="Arial" w:ascii="Arial" w:hAnsi="Arial"/>
          <w:sz w:val="28"/>
          <w:szCs w:val="28"/>
          <w:vertAlign w:val="superscript"/>
        </w:rPr>
        <w:t>a</w:t>
      </w:r>
    </w:p>
    <w:p>
      <w:pPr>
        <w:pStyle w:val="Normal"/>
        <w:rPr/>
      </w:pPr>
      <w:r>
        <w:rPr>
          <w:rFonts w:cs="Arial" w:ascii="Arial" w:hAnsi="Arial"/>
          <w:sz w:val="28"/>
          <w:szCs w:val="28"/>
        </w:rPr>
        <w:t>Ruixuan Wang</w:t>
      </w:r>
      <w:r>
        <w:rPr>
          <w:rFonts w:cs="Arial" w:ascii="Arial" w:hAnsi="Arial"/>
          <w:sz w:val="28"/>
          <w:szCs w:val="28"/>
          <w:vertAlign w:val="superscript"/>
        </w:rPr>
        <w:t>a</w:t>
      </w:r>
    </w:p>
    <w:p>
      <w:pPr>
        <w:pStyle w:val="Normal"/>
        <w:rPr/>
      </w:pPr>
      <w:r>
        <w:rPr>
          <w:rFonts w:cs="Arial" w:ascii="Arial" w:hAnsi="Arial"/>
          <w:sz w:val="28"/>
          <w:szCs w:val="28"/>
        </w:rPr>
        <w:t>Tom MacGillivray</w:t>
      </w:r>
      <w:r>
        <w:rPr>
          <w:rFonts w:cs="Arial" w:ascii="Arial" w:hAnsi="Arial"/>
          <w:sz w:val="28"/>
          <w:szCs w:val="28"/>
          <w:vertAlign w:val="superscript"/>
        </w:rPr>
        <w:t>c</w:t>
      </w:r>
    </w:p>
    <w:p>
      <w:pPr>
        <w:pStyle w:val="Normal"/>
        <w:rPr/>
      </w:pPr>
      <w:r>
        <w:rPr>
          <w:rFonts w:cs="Arial" w:ascii="Arial" w:hAnsi="Arial"/>
          <w:sz w:val="28"/>
          <w:szCs w:val="28"/>
        </w:rPr>
        <w:t>Joanna M. Wardlaw</w:t>
      </w:r>
      <w:r>
        <w:rPr>
          <w:rFonts w:cs="Arial" w:ascii="Arial" w:hAnsi="Arial"/>
          <w:sz w:val="28"/>
          <w:szCs w:val="28"/>
          <w:vertAlign w:val="superscript"/>
        </w:rPr>
        <w:t>d</w:t>
      </w:r>
    </w:p>
    <w:p>
      <w:pPr>
        <w:pStyle w:val="Normal"/>
        <w:rPr/>
      </w:pPr>
      <w:r>
        <w:rPr>
          <w:rFonts w:cs="Arial" w:ascii="Arial" w:hAnsi="Arial"/>
          <w:sz w:val="28"/>
          <w:szCs w:val="28"/>
        </w:rPr>
        <w:t>Fergus N. Doubal</w:t>
      </w:r>
      <w:r>
        <w:rPr>
          <w:rFonts w:cs="Arial" w:ascii="Arial" w:hAnsi="Arial"/>
          <w:sz w:val="28"/>
          <w:szCs w:val="28"/>
          <w:vertAlign w:val="superscript"/>
        </w:rPr>
        <w:t>d</w:t>
      </w:r>
    </w:p>
    <w:p>
      <w:pPr>
        <w:pStyle w:val="Normal"/>
        <w:rPr/>
      </w:pPr>
      <w:r>
        <w:rPr>
          <w:rFonts w:cs="Arial" w:ascii="Arial" w:hAnsi="Arial"/>
          <w:sz w:val="28"/>
          <w:szCs w:val="28"/>
        </w:rPr>
        <w:t>Gareth J. McKay</w:t>
      </w:r>
      <w:r>
        <w:rPr>
          <w:rFonts w:cs="Arial" w:ascii="Arial" w:hAnsi="Arial"/>
          <w:sz w:val="28"/>
          <w:szCs w:val="28"/>
          <w:vertAlign w:val="superscript"/>
        </w:rPr>
        <w:t>e</w:t>
      </w:r>
    </w:p>
    <w:p>
      <w:pPr>
        <w:pStyle w:val="Normal"/>
        <w:rPr/>
      </w:pPr>
      <w:r>
        <w:rPr>
          <w:rFonts w:cs="Arial" w:ascii="Arial" w:hAnsi="Arial"/>
          <w:sz w:val="28"/>
          <w:szCs w:val="28"/>
        </w:rPr>
        <w:t>Stephen McKenna</w:t>
      </w:r>
      <w:r>
        <w:rPr>
          <w:rFonts w:cs="Arial" w:ascii="Arial" w:hAnsi="Arial"/>
          <w:sz w:val="28"/>
          <w:szCs w:val="28"/>
          <w:vertAlign w:val="superscript"/>
        </w:rPr>
        <w:t>a</w:t>
      </w:r>
    </w:p>
    <w:p>
      <w:pPr>
        <w:pStyle w:val="Normal"/>
        <w:rPr/>
      </w:pPr>
      <w:r>
        <w:rPr>
          <w:rFonts w:cs="Arial" w:ascii="Arial" w:hAnsi="Arial"/>
          <w:sz w:val="28"/>
          <w:szCs w:val="28"/>
        </w:rPr>
        <w:t>Emanuele Trucco</w:t>
      </w:r>
      <w:r>
        <w:rPr>
          <w:rFonts w:cs="Arial" w:ascii="Arial" w:hAnsi="Arial"/>
          <w:sz w:val="28"/>
          <w:szCs w:val="28"/>
          <w:vertAlign w:val="superscript"/>
        </w:rPr>
        <w:t>a</w:t>
      </w:r>
    </w:p>
    <w:p>
      <w:pPr>
        <w:pStyle w:val="Normal"/>
        <w:rPr>
          <w:rFonts w:ascii="Arial" w:hAnsi="Arial" w:cs="Arial"/>
          <w:b/>
          <w:b/>
          <w:sz w:val="28"/>
          <w:szCs w:val="28"/>
        </w:rPr>
      </w:pPr>
      <w:r>
        <w:rPr>
          <w:rFonts w:cs="Arial" w:ascii="Arial" w:hAnsi="Arial"/>
          <w:b/>
          <w:sz w:val="28"/>
          <w:szCs w:val="28"/>
        </w:rPr>
      </w:r>
    </w:p>
    <w:p>
      <w:pPr>
        <w:pStyle w:val="Normal"/>
        <w:shd w:val="clear" w:fill="FFFFFF"/>
        <w:jc w:val="both"/>
        <w:rPr/>
      </w:pPr>
      <w:r>
        <w:rPr>
          <w:rFonts w:cs="Arial" w:ascii="Arial" w:hAnsi="Arial"/>
          <w:spacing w:val="3"/>
          <w:sz w:val="28"/>
          <w:szCs w:val="28"/>
          <w:vertAlign w:val="superscript"/>
          <w:lang w:eastAsia="en-GB"/>
        </w:rPr>
        <w:t>a</w:t>
      </w:r>
      <w:r>
        <w:rPr>
          <w:rFonts w:cs="Arial" w:ascii="Arial" w:hAnsi="Arial"/>
          <w:spacing w:val="3"/>
          <w:sz w:val="28"/>
          <w:szCs w:val="28"/>
          <w:lang w:eastAsia="en-GB"/>
        </w:rPr>
        <w:t>VAMPIRE project, Computer Vision and Image Processing Group, School of Science and Engineering (Computing), University of Dundee, Dundee, United Kingdom.</w:t>
      </w:r>
    </w:p>
    <w:p>
      <w:pPr>
        <w:pStyle w:val="Normal"/>
        <w:shd w:val="clear" w:fill="FFFFFF"/>
        <w:jc w:val="both"/>
        <w:rPr/>
      </w:pPr>
      <w:r>
        <w:rPr>
          <w:rFonts w:cs="Arial" w:ascii="Arial" w:hAnsi="Arial"/>
          <w:spacing w:val="3"/>
          <w:sz w:val="28"/>
          <w:szCs w:val="28"/>
          <w:vertAlign w:val="superscript"/>
          <w:lang w:eastAsia="en-GB"/>
        </w:rPr>
        <w:t>b</w:t>
      </w:r>
      <w:r>
        <w:rPr>
          <w:rFonts w:cs="Arial" w:ascii="Arial" w:hAnsi="Arial"/>
          <w:spacing w:val="3"/>
          <w:sz w:val="28"/>
          <w:szCs w:val="28"/>
          <w:lang w:eastAsia="en-GB"/>
        </w:rPr>
        <w:t>Ninewells Hospital and Medical School, University of Dundee, Dundee, United Kingdom.</w:t>
      </w:r>
    </w:p>
    <w:p>
      <w:pPr>
        <w:pStyle w:val="Normal"/>
        <w:shd w:val="clear" w:fill="FFFFFF"/>
        <w:jc w:val="both"/>
        <w:rPr/>
      </w:pPr>
      <w:r>
        <w:rPr>
          <w:rFonts w:cs="Arial" w:ascii="Arial" w:hAnsi="Arial"/>
          <w:spacing w:val="3"/>
          <w:sz w:val="28"/>
          <w:szCs w:val="28"/>
          <w:vertAlign w:val="superscript"/>
          <w:lang w:eastAsia="en-GB"/>
        </w:rPr>
        <w:t>c</w:t>
      </w:r>
      <w:r>
        <w:rPr>
          <w:rFonts w:cs="Arial" w:ascii="Arial" w:hAnsi="Arial"/>
          <w:spacing w:val="3"/>
          <w:sz w:val="28"/>
          <w:szCs w:val="28"/>
          <w:lang w:eastAsia="en-GB"/>
        </w:rPr>
        <w:t>VAMPIRE project, Centre for Clinical Brain Sciences, University of Edinburgh, Edinburgh, United Kingdom.</w:t>
      </w:r>
    </w:p>
    <w:p>
      <w:pPr>
        <w:pStyle w:val="Normal"/>
        <w:shd w:val="clear" w:fill="FFFFFF"/>
        <w:jc w:val="both"/>
        <w:rPr/>
      </w:pPr>
      <w:r>
        <w:rPr>
          <w:rFonts w:cs="Arial" w:ascii="Arial" w:hAnsi="Arial"/>
          <w:sz w:val="28"/>
          <w:szCs w:val="28"/>
          <w:vertAlign w:val="superscript"/>
        </w:rPr>
        <w:t>d</w:t>
      </w:r>
      <w:r>
        <w:rPr>
          <w:rFonts w:cs="Arial" w:ascii="Arial" w:hAnsi="Arial"/>
          <w:sz w:val="28"/>
          <w:szCs w:val="28"/>
        </w:rPr>
        <w:t>Centre for Clinical Brain Sciences, University of Edinburgh, Edinburgh, United Kingdom.</w:t>
      </w:r>
    </w:p>
    <w:p>
      <w:pPr>
        <w:pStyle w:val="Normal"/>
        <w:shd w:val="clear" w:fill="FFFFFF"/>
        <w:jc w:val="both"/>
        <w:rPr>
          <w:b w:val="false"/>
          <w:b w:val="false"/>
          <w:bCs w:val="false"/>
          <w:u w:val="none"/>
        </w:rPr>
      </w:pPr>
      <w:r>
        <w:rPr>
          <w:rFonts w:eastAsia="Times New Roman" w:cs="Arial" w:ascii="Arial" w:hAnsi="Arial"/>
          <w:b w:val="false"/>
          <w:bCs w:val="false"/>
          <w:color w:val="000000"/>
          <w:spacing w:val="3"/>
          <w:sz w:val="28"/>
          <w:szCs w:val="28"/>
          <w:highlight w:val="white"/>
          <w:u w:val="none"/>
          <w:vertAlign w:val="superscript"/>
          <w:lang w:eastAsia="en-GB"/>
        </w:rPr>
        <w:t>e</w:t>
      </w:r>
      <w:r>
        <w:rPr>
          <w:rFonts w:eastAsia="Times New Roman" w:cs="Arial" w:ascii="Arial" w:hAnsi="Arial"/>
          <w:b w:val="false"/>
          <w:bCs w:val="false"/>
          <w:color w:val="000000"/>
          <w:spacing w:val="3"/>
          <w:sz w:val="28"/>
          <w:szCs w:val="28"/>
          <w:highlight w:val="white"/>
          <w:u w:val="none"/>
          <w:lang w:eastAsia="en-GB"/>
        </w:rPr>
        <w:t>Centre for Public Health, Queen’s University Belfast, Belfast, Northern Ireland</w:t>
      </w:r>
    </w:p>
    <w:p>
      <w:pPr>
        <w:pStyle w:val="Normal"/>
        <w:shd w:val="clear" w:fill="FFFFFF"/>
        <w:jc w:val="both"/>
        <w:rPr>
          <w:rFonts w:ascii="Arial" w:hAnsi="Arial" w:eastAsia="Times New Roman" w:cs="Arial"/>
          <w:color w:val="000000"/>
          <w:spacing w:val="3"/>
          <w:sz w:val="28"/>
          <w:szCs w:val="28"/>
          <w:highlight w:val="white"/>
          <w:lang w:eastAsia="en-GB"/>
        </w:rPr>
      </w:pPr>
      <w:r>
        <w:rPr>
          <w:rFonts w:eastAsia="Times New Roman" w:cs="Arial" w:ascii="Arial" w:hAnsi="Arial"/>
          <w:color w:val="000000"/>
          <w:spacing w:val="3"/>
          <w:sz w:val="28"/>
          <w:szCs w:val="28"/>
          <w:highlight w:val="white"/>
          <w:lang w:eastAsia="en-GB"/>
        </w:rPr>
      </w:r>
    </w:p>
    <w:p>
      <w:pPr>
        <w:pStyle w:val="Normal"/>
        <w:shd w:val="clear" w:fill="FFFFFF"/>
        <w:jc w:val="both"/>
        <w:rPr>
          <w:rFonts w:ascii="Arial" w:hAnsi="Arial" w:cs="Arial"/>
          <w:b w:val="false"/>
          <w:b w:val="false"/>
          <w:bCs w:val="false"/>
          <w:spacing w:val="3"/>
          <w:sz w:val="28"/>
          <w:szCs w:val="28"/>
          <w:u w:val="none"/>
          <w:lang w:eastAsia="en-GB"/>
        </w:rPr>
      </w:pPr>
      <w:r>
        <w:rPr>
          <w:rFonts w:eastAsia="Times New Roman" w:cs="Arial" w:ascii="Arial" w:hAnsi="Arial"/>
          <w:b/>
          <w:bCs/>
          <w:color w:val="000000"/>
          <w:spacing w:val="3"/>
          <w:sz w:val="28"/>
          <w:szCs w:val="28"/>
          <w:highlight w:val="white"/>
          <w:u w:val="none"/>
          <w:lang w:eastAsia="en-GB"/>
        </w:rPr>
        <w:t>Correspondence to</w:t>
      </w:r>
      <w:r>
        <w:rPr>
          <w:rFonts w:eastAsia="Times New Roman" w:cs="Arial" w:ascii="Arial" w:hAnsi="Arial"/>
          <w:b w:val="false"/>
          <w:bCs w:val="false"/>
          <w:color w:val="000000"/>
          <w:spacing w:val="3"/>
          <w:sz w:val="28"/>
          <w:szCs w:val="28"/>
          <w:highlight w:val="white"/>
          <w:u w:val="none"/>
          <w:lang w:eastAsia="en-GB"/>
        </w:rPr>
        <w:t xml:space="preserve"> afetit@dundee.ac.uk</w:t>
      </w:r>
      <w:r>
        <w:br w:type="page"/>
      </w:r>
    </w:p>
    <w:p>
      <w:pPr>
        <w:pStyle w:val="NormalWeb"/>
        <w:jc w:val="both"/>
        <w:rPr/>
      </w:pPr>
      <w:r>
        <w:rPr>
          <w:rFonts w:eastAsia="Times New Roman" w:cs="Arial" w:ascii="Arial" w:hAnsi="Arial"/>
          <w:b/>
          <w:bCs/>
          <w:color w:val="000000"/>
          <w:sz w:val="28"/>
          <w:szCs w:val="28"/>
          <w:highlight w:val="white"/>
          <w:u w:val="single"/>
        </w:rPr>
        <w:t>Appendix A – VAMPIRE 3.1 Retinal Feature Categories</w:t>
      </w:r>
    </w:p>
    <w:p>
      <w:pPr>
        <w:pStyle w:val="NormalWeb"/>
        <w:spacing w:before="166" w:after="166"/>
        <w:jc w:val="both"/>
        <w:rPr/>
      </w:pPr>
      <w:r>
        <w:rPr>
          <w:rFonts w:eastAsia="Times New Roman" w:cs="Arial" w:ascii="Arial" w:hAnsi="Arial"/>
          <w:color w:val="000000"/>
          <w:sz w:val="28"/>
          <w:szCs w:val="28"/>
          <w:highlight w:val="white"/>
        </w:rPr>
        <w:t xml:space="preserve">This appendix provides a description of the categories of retinal vascular feature measured by VAMPIRE 3.1 which were incorporated to our analysis. </w:t>
      </w:r>
    </w:p>
    <w:p>
      <w:pPr>
        <w:pStyle w:val="NormalWeb"/>
        <w:spacing w:before="166" w:after="166"/>
        <w:jc w:val="both"/>
        <w:rPr>
          <w:b/>
          <w:b/>
          <w:bCs/>
        </w:rPr>
      </w:pPr>
      <w:r>
        <w:rPr>
          <w:rFonts w:eastAsia="Times New Roman" w:cs="Arial" w:ascii="Arial" w:hAnsi="Arial"/>
          <w:b/>
          <w:bCs/>
          <w:color w:val="000000"/>
          <w:sz w:val="28"/>
          <w:szCs w:val="28"/>
          <w:highlight w:val="white"/>
        </w:rPr>
        <w:t>A.1 Reference System</w:t>
      </w:r>
    </w:p>
    <w:p>
      <w:pPr>
        <w:pStyle w:val="NormalWeb"/>
        <w:spacing w:before="166" w:after="166"/>
        <w:jc w:val="both"/>
        <w:rPr/>
      </w:pPr>
      <w:r>
        <w:rPr>
          <w:rFonts w:eastAsia="Times New Roman" w:cs="Arial" w:ascii="Arial" w:hAnsi="Arial"/>
          <w:b/>
          <w:bCs/>
          <w:color w:val="000000"/>
          <w:sz w:val="28"/>
          <w:szCs w:val="28"/>
          <w:highlight w:val="white"/>
        </w:rPr>
        <w:t>A.1.1 Image zones</w:t>
      </w:r>
    </w:p>
    <w:p>
      <w:pPr>
        <w:pStyle w:val="NormalWeb"/>
        <w:spacing w:before="166" w:after="166"/>
        <w:jc w:val="both"/>
        <w:rPr/>
      </w:pPr>
      <w:r>
        <w:rPr>
          <w:rFonts w:eastAsia="Times New Roman" w:cs="Arial" w:ascii="Arial" w:hAnsi="Arial"/>
          <w:color w:val="000000"/>
          <w:sz w:val="28"/>
          <w:szCs w:val="28"/>
          <w:highlight w:val="white"/>
        </w:rPr>
        <w:t>The features are calculated according to a reference system that is based on the optic disc (OD) centre, the OD radius and the location of the fovea centre. The system divides the image in concentric regions centred on the OD centre (</w:t>
      </w:r>
      <w:bookmarkStart w:id="0" w:name="__DdeLink__621_1514752354"/>
      <w:r>
        <w:rPr>
          <w:rFonts w:eastAsia="Times New Roman" w:cs="Arial" w:ascii="Arial" w:hAnsi="Arial"/>
          <w:color w:val="000000"/>
          <w:sz w:val="28"/>
          <w:szCs w:val="28"/>
          <w:highlight w:val="white"/>
        </w:rPr>
        <w:t>Supplementary</w:t>
      </w:r>
      <w:bookmarkEnd w:id="0"/>
      <w:r>
        <w:rPr>
          <w:rFonts w:eastAsia="Times New Roman" w:cs="Arial" w:ascii="Arial" w:hAnsi="Arial"/>
          <w:color w:val="000000"/>
          <w:sz w:val="28"/>
          <w:szCs w:val="28"/>
          <w:highlight w:val="white"/>
        </w:rPr>
        <w:t xml:space="preserve"> Fig. S1):</w:t>
      </w:r>
    </w:p>
    <w:p>
      <w:pPr>
        <w:pStyle w:val="NormalWeb"/>
        <w:spacing w:before="52" w:after="52"/>
        <w:jc w:val="both"/>
        <w:rPr/>
      </w:pPr>
      <w:r>
        <w:rPr>
          <w:rFonts w:eastAsia="Times New Roman" w:cs="Arial" w:ascii="Arial" w:hAnsi="Arial"/>
          <w:color w:val="000000"/>
          <w:sz w:val="28"/>
          <w:szCs w:val="28"/>
          <w:highlight w:val="white"/>
        </w:rPr>
        <w:t>1. OD: Area within 0.5 OD diameters from the OD centre.</w:t>
      </w:r>
    </w:p>
    <w:p>
      <w:pPr>
        <w:pStyle w:val="NormalWeb"/>
        <w:spacing w:before="52" w:after="52"/>
        <w:jc w:val="both"/>
        <w:rPr/>
      </w:pPr>
      <w:r>
        <w:rPr>
          <w:rFonts w:eastAsia="Times New Roman" w:cs="Arial" w:ascii="Arial" w:hAnsi="Arial"/>
          <w:color w:val="000000"/>
          <w:sz w:val="28"/>
          <w:szCs w:val="28"/>
          <w:highlight w:val="white"/>
        </w:rPr>
        <w:t>2. Zone A: Annulus between 0.5 and 1.0 OD diameters from the OD centre.</w:t>
      </w:r>
    </w:p>
    <w:p>
      <w:pPr>
        <w:pStyle w:val="NormalWeb"/>
        <w:spacing w:before="52" w:after="52"/>
        <w:jc w:val="both"/>
        <w:rPr/>
      </w:pPr>
      <w:r>
        <w:rPr>
          <w:rFonts w:eastAsia="Times New Roman" w:cs="Arial" w:ascii="Arial" w:hAnsi="Arial"/>
          <w:color w:val="000000"/>
          <w:sz w:val="28"/>
          <w:szCs w:val="28"/>
          <w:highlight w:val="white"/>
        </w:rPr>
        <w:t>3. Zone B: Between 1.0 and 1.5 OD diameters.</w:t>
      </w:r>
    </w:p>
    <w:p>
      <w:pPr>
        <w:pStyle w:val="NormalWeb"/>
        <w:spacing w:before="52" w:after="52"/>
        <w:jc w:val="both"/>
        <w:rPr/>
      </w:pPr>
      <w:r>
        <w:rPr>
          <w:rFonts w:eastAsia="Times New Roman" w:cs="Arial" w:ascii="Arial" w:hAnsi="Arial"/>
          <w:color w:val="000000"/>
          <w:sz w:val="28"/>
          <w:szCs w:val="28"/>
          <w:highlight w:val="white"/>
        </w:rPr>
        <w:t>4. Zone C: Between 1.0 and 2.5 OD diameters.</w:t>
      </w:r>
    </w:p>
    <w:p>
      <w:pPr>
        <w:pStyle w:val="NormalWeb"/>
        <w:spacing w:before="52" w:after="52"/>
        <w:jc w:val="both"/>
        <w:rPr/>
      </w:pPr>
      <w:r>
        <w:rPr>
          <w:rFonts w:eastAsia="Times New Roman" w:cs="Arial" w:ascii="Arial" w:hAnsi="Arial"/>
          <w:color w:val="000000"/>
          <w:sz w:val="28"/>
          <w:szCs w:val="28"/>
          <w:highlight w:val="white"/>
        </w:rPr>
        <w:t>5. Periphery: Area outside Zone C.</w:t>
      </w:r>
    </w:p>
    <w:p>
      <w:pPr>
        <w:pStyle w:val="NormalWeb"/>
        <w:spacing w:before="166" w:after="166"/>
        <w:jc w:val="both"/>
        <w:rPr/>
      </w:pPr>
      <w:r>
        <w:rPr>
          <w:rFonts w:eastAsia="Times New Roman" w:cs="Arial" w:ascii="Arial" w:hAnsi="Arial"/>
          <w:color w:val="000000"/>
          <w:sz w:val="28"/>
          <w:szCs w:val="28"/>
          <w:highlight w:val="white"/>
        </w:rPr>
        <w:t>Regions relevant to vascular feature calculation with VAMPIRE are Zones B and C.</w:t>
      </w:r>
    </w:p>
    <w:p>
      <w:pPr>
        <w:pStyle w:val="Normal"/>
        <w:tabs>
          <w:tab w:val="left" w:pos="3198" w:leader="none"/>
        </w:tabs>
        <w:ind w:left="567" w:right="567" w:hanging="0"/>
        <w:jc w:val="both"/>
        <w:rPr/>
      </w:pPr>
      <w:r>
        <w:drawing>
          <wp:anchor behindDoc="0" distT="0" distB="0" distL="0" distR="0" simplePos="0" locked="0" layoutInCell="1" allowOverlap="1" relativeHeight="4">
            <wp:simplePos x="0" y="0"/>
            <wp:positionH relativeFrom="column">
              <wp:align>center</wp:align>
            </wp:positionH>
            <wp:positionV relativeFrom="paragraph">
              <wp:posOffset>20955</wp:posOffset>
            </wp:positionV>
            <wp:extent cx="5059045" cy="3236595"/>
            <wp:effectExtent l="0" t="0" r="0" b="0"/>
            <wp:wrapTight wrapText="bothSides">
              <wp:wrapPolygon edited="0">
                <wp:start x="-29" y="0"/>
                <wp:lineTo x="-29" y="21205"/>
                <wp:lineTo x="21394" y="21205"/>
                <wp:lineTo x="21394" y="0"/>
                <wp:lineTo x="-29"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059045" cy="3236595"/>
                    </a:xfrm>
                    <a:prstGeom prst="rect">
                      <a:avLst/>
                    </a:prstGeom>
                  </pic:spPr>
                </pic:pic>
              </a:graphicData>
            </a:graphic>
          </wp:anchor>
        </w:drawing>
      </w:r>
      <w:r>
        <w:rPr>
          <w:rFonts w:eastAsia="Times New Roman" w:cs="Arial" w:ascii="Arial" w:hAnsi="Arial"/>
          <w:color w:val="808080"/>
          <w:highlight w:val="white"/>
        </w:rPr>
        <w:t>S</w:t>
      </w:r>
      <w:r>
        <w:rPr>
          <w:rFonts w:eastAsia="Times New Roman" w:cs="Arial" w:ascii="Arial" w:hAnsi="Arial"/>
          <w:color w:val="808080"/>
          <w:highlight w:val="white"/>
        </w:rPr>
        <w:t xml:space="preserve">upplementary Figure S1. Image zones according to a reference system based on the optic disc centre, the optic disc radius, and the location of the fovea centre. </w:t>
      </w:r>
      <w:r>
        <w:br w:type="page"/>
      </w:r>
    </w:p>
    <w:p>
      <w:pPr>
        <w:pStyle w:val="NormalWeb"/>
        <w:spacing w:before="52" w:after="52"/>
        <w:jc w:val="both"/>
        <w:rPr/>
      </w:pPr>
      <w:r>
        <w:rPr>
          <w:rFonts w:eastAsia="Times New Roman" w:cs="Arial" w:ascii="Arial" w:hAnsi="Arial"/>
          <w:b/>
          <w:bCs/>
          <w:color w:val="000000"/>
          <w:sz w:val="28"/>
          <w:szCs w:val="28"/>
          <w:highlight w:val="white"/>
        </w:rPr>
        <w:t>A. 1.2 Image quadrants</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rFonts w:eastAsia="Times New Roman" w:cs="Arial" w:ascii="Arial" w:hAnsi="Arial"/>
          <w:color w:val="000000"/>
          <w:sz w:val="28"/>
          <w:szCs w:val="28"/>
          <w:highlight w:val="white"/>
        </w:rPr>
        <w:t xml:space="preserve">The image is also divided into four quadrants that are numbered according to the following convention: </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rFonts w:eastAsia="Times New Roman" w:cs="Arial" w:ascii="Arial" w:hAnsi="Arial"/>
          <w:color w:val="000000"/>
          <w:sz w:val="28"/>
          <w:szCs w:val="28"/>
          <w:highlight w:val="white"/>
        </w:rPr>
        <w:t>1. Supratemporal, 2. Inferotemporal, 3. Inferonasal, 4. Supranasal.</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rFonts w:eastAsia="Times New Roman" w:cs="Arial" w:ascii="Arial" w:hAnsi="Arial"/>
          <w:color w:val="000000"/>
          <w:sz w:val="28"/>
          <w:szCs w:val="28"/>
          <w:highlight w:val="white"/>
        </w:rPr>
        <w:t>Quadrant numbering is consistent in left (L) and right (R) eyes in the sense that the quadrants are mirrored. For instance, Q1 is supratemporal for both L and R eyes. In the L image it will be the top-right quadrant, in the R image it will be the top-left.</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5242560" cy="3773170"/>
            <wp:effectExtent l="0" t="0" r="0" b="0"/>
            <wp:wrapTight wrapText="bothSides">
              <wp:wrapPolygon edited="0">
                <wp:start x="-31" y="0"/>
                <wp:lineTo x="-31" y="21391"/>
                <wp:lineTo x="21375" y="21391"/>
                <wp:lineTo x="21375" y="0"/>
                <wp:lineTo x="-31"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5242560" cy="3773170"/>
                    </a:xfrm>
                    <a:prstGeom prst="rect">
                      <a:avLst/>
                    </a:prstGeom>
                  </pic:spPr>
                </pic:pic>
              </a:graphicData>
            </a:graphic>
          </wp:anchor>
        </w:drawing>
      </w:r>
    </w:p>
    <w:p>
      <w:pPr>
        <w:pStyle w:val="NormalWeb"/>
        <w:spacing w:before="52" w:after="52"/>
        <w:jc w:val="both"/>
        <w:rPr/>
      </w:pPr>
      <w:r>
        <w:rPr/>
      </w:r>
    </w:p>
    <w:p>
      <w:pPr>
        <w:pStyle w:val="Normal"/>
        <w:tabs>
          <w:tab w:val="left" w:pos="3198" w:leader="none"/>
        </w:tabs>
        <w:spacing w:before="52" w:after="52"/>
        <w:ind w:firstLine="680"/>
        <w:jc w:val="center"/>
        <w:rPr/>
      </w:pPr>
      <w:r>
        <w:rPr>
          <w:rFonts w:eastAsia="Times New Roman" w:cs="Arial" w:ascii="Arial" w:hAnsi="Arial"/>
          <w:color w:val="808080"/>
          <w:highlight w:val="white"/>
        </w:rPr>
        <w:t>Supplementary Figure S2. Image quadrants.</w:t>
      </w:r>
      <w:r>
        <w:br w:type="page"/>
      </w:r>
    </w:p>
    <w:p>
      <w:pPr>
        <w:pStyle w:val="Normal"/>
        <w:rPr/>
      </w:pPr>
      <w:r>
        <w:rPr/>
      </w:r>
    </w:p>
    <w:p>
      <w:pPr>
        <w:pStyle w:val="NormalWeb"/>
        <w:spacing w:before="52" w:after="52"/>
        <w:jc w:val="both"/>
        <w:rPr/>
      </w:pPr>
      <w:r>
        <w:rPr>
          <w:rFonts w:eastAsia="Times New Roman" w:cs="Arial" w:ascii="Arial" w:hAnsi="Arial"/>
          <w:b/>
          <w:bCs/>
          <w:color w:val="000000"/>
          <w:sz w:val="28"/>
          <w:szCs w:val="28"/>
          <w:highlight w:val="white"/>
        </w:rPr>
        <w:t>A.1.3 Vessel generation (tree structure)</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rFonts w:eastAsia="Times New Roman" w:cs="Arial" w:ascii="Arial" w:hAnsi="Arial"/>
          <w:color w:val="000000"/>
          <w:sz w:val="28"/>
          <w:szCs w:val="28"/>
          <w:highlight w:val="white"/>
        </w:rPr>
        <w:t xml:space="preserve">Vessel segments are grouped into tree structures; each tree is characterised by a </w:t>
      </w:r>
      <w:r>
        <w:rPr>
          <w:rFonts w:eastAsia="Times New Roman" w:cs="Arial" w:ascii="Arial" w:hAnsi="Arial"/>
          <w:b/>
          <w:bCs/>
          <w:color w:val="000000"/>
          <w:sz w:val="28"/>
          <w:szCs w:val="28"/>
          <w:highlight w:val="white"/>
        </w:rPr>
        <w:t>(i)</w:t>
      </w:r>
      <w:r>
        <w:rPr>
          <w:rFonts w:eastAsia="Times New Roman" w:cs="Arial" w:ascii="Arial" w:hAnsi="Arial"/>
          <w:color w:val="000000"/>
          <w:sz w:val="28"/>
          <w:szCs w:val="28"/>
          <w:highlight w:val="white"/>
        </w:rPr>
        <w:t xml:space="preserve"> primary path, and </w:t>
      </w:r>
      <w:r>
        <w:rPr>
          <w:rFonts w:eastAsia="Times New Roman" w:cs="Arial" w:ascii="Arial" w:hAnsi="Arial"/>
          <w:b/>
          <w:bCs/>
          <w:color w:val="000000"/>
          <w:sz w:val="28"/>
          <w:szCs w:val="28"/>
          <w:highlight w:val="white"/>
        </w:rPr>
        <w:t>(ii)</w:t>
      </w:r>
      <w:r>
        <w:rPr>
          <w:rFonts w:eastAsia="Times New Roman" w:cs="Arial" w:ascii="Arial" w:hAnsi="Arial"/>
          <w:color w:val="000000"/>
          <w:sz w:val="28"/>
          <w:szCs w:val="28"/>
          <w:highlight w:val="white"/>
        </w:rPr>
        <w:t xml:space="preserve"> a number of branches. </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pPr>
      <w:r>
        <w:rPr>
          <w:rFonts w:eastAsia="Times New Roman" w:cs="Arial" w:ascii="Arial" w:hAnsi="Arial"/>
          <w:color w:val="000000"/>
          <w:sz w:val="28"/>
          <w:szCs w:val="28"/>
          <w:highlight w:val="white"/>
        </w:rPr>
        <w:t xml:space="preserve">The tree’s primary path is referred to as the Generation-1 (G1) vessel. Branches attached to the G1 vessel are referred to as G2, and so on. Each tree is comprised of only one G1 vessel, but a variable number of G2, G3, G4, etc. branches. </w:t>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52" w:after="52"/>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5063490" cy="3392805"/>
            <wp:effectExtent l="0" t="0" r="0" b="0"/>
            <wp:wrapTight wrapText="bothSides">
              <wp:wrapPolygon edited="0">
                <wp:start x="-30" y="0"/>
                <wp:lineTo x="-30" y="21342"/>
                <wp:lineTo x="21385" y="21342"/>
                <wp:lineTo x="21385" y="0"/>
                <wp:lineTo x="-30" y="0"/>
              </wp:wrapPolygon>
            </wp:wrapTight>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063490" cy="3392805"/>
                    </a:xfrm>
                    <a:prstGeom prst="rect">
                      <a:avLst/>
                    </a:prstGeom>
                  </pic:spPr>
                </pic:pic>
              </a:graphicData>
            </a:graphic>
          </wp:anchor>
        </w:drawing>
      </w:r>
    </w:p>
    <w:p>
      <w:pPr>
        <w:pStyle w:val="Normal"/>
        <w:tabs>
          <w:tab w:val="left" w:pos="3198" w:leader="none"/>
        </w:tabs>
        <w:spacing w:before="52" w:after="52"/>
        <w:rPr>
          <w:rFonts w:ascii="Arial" w:hAnsi="Arial" w:eastAsia="Times New Roman" w:cs="Arial"/>
          <w:i/>
          <w:i/>
          <w:color w:val="808080"/>
          <w:highlight w:val="white"/>
        </w:rPr>
      </w:pPr>
      <w:r>
        <w:rPr>
          <w:rFonts w:eastAsia="Times New Roman" w:cs="Arial" w:ascii="Arial" w:hAnsi="Arial"/>
          <w:i/>
          <w:color w:val="808080"/>
          <w:highlight w:val="white"/>
        </w:rPr>
      </w:r>
    </w:p>
    <w:p>
      <w:pPr>
        <w:pStyle w:val="Normal"/>
        <w:tabs>
          <w:tab w:val="left" w:pos="3198" w:leader="none"/>
        </w:tabs>
        <w:spacing w:before="52" w:after="52"/>
        <w:rPr>
          <w:rFonts w:ascii="Arial" w:hAnsi="Arial" w:eastAsia="Times New Roman" w:cs="Arial"/>
          <w:i/>
          <w:i/>
          <w:color w:val="808080"/>
          <w:highlight w:val="white"/>
        </w:rPr>
      </w:pPr>
      <w:r>
        <w:rPr>
          <w:rFonts w:eastAsia="Times New Roman" w:cs="Arial" w:ascii="Arial" w:hAnsi="Arial"/>
          <w:i/>
          <w:color w:val="808080"/>
          <w:highlight w:val="white"/>
        </w:rPr>
      </w:r>
    </w:p>
    <w:p>
      <w:pPr>
        <w:pStyle w:val="Normal"/>
        <w:tabs>
          <w:tab w:val="left" w:pos="3198" w:leader="none"/>
        </w:tabs>
        <w:spacing w:before="52" w:after="52"/>
        <w:rPr>
          <w:rFonts w:ascii="Arial" w:hAnsi="Arial" w:eastAsia="Times New Roman" w:cs="Arial"/>
          <w:i/>
          <w:i/>
          <w:color w:val="808080"/>
          <w:highlight w:val="white"/>
        </w:rPr>
      </w:pPr>
      <w:r>
        <w:rPr>
          <w:rFonts w:eastAsia="Times New Roman" w:cs="Arial" w:ascii="Arial" w:hAnsi="Arial"/>
          <w:i/>
          <w:color w:val="808080"/>
          <w:highlight w:val="white"/>
        </w:rPr>
      </w:r>
    </w:p>
    <w:p>
      <w:pPr>
        <w:pStyle w:val="Normal"/>
        <w:tabs>
          <w:tab w:val="left" w:pos="3198" w:leader="none"/>
        </w:tabs>
        <w:spacing w:before="52" w:after="52"/>
        <w:rPr>
          <w:rFonts w:ascii="Arial" w:hAnsi="Arial" w:eastAsia="Times New Roman" w:cs="Arial"/>
          <w:i/>
          <w:i/>
          <w:color w:val="808080"/>
          <w:highlight w:val="white"/>
        </w:rPr>
      </w:pPr>
      <w:r>
        <w:rPr>
          <w:rFonts w:eastAsia="Times New Roman" w:cs="Arial" w:ascii="Arial" w:hAnsi="Arial"/>
          <w:i/>
          <w:color w:val="808080"/>
          <w:highlight w:val="white"/>
        </w:rPr>
      </w:r>
    </w:p>
    <w:p>
      <w:pPr>
        <w:pStyle w:val="Normal"/>
        <w:tabs>
          <w:tab w:val="left" w:pos="3198" w:leader="none"/>
        </w:tabs>
        <w:spacing w:before="52" w:after="52"/>
        <w:jc w:val="center"/>
        <w:rPr/>
      </w:pPr>
      <w:r>
        <w:rPr>
          <w:rFonts w:eastAsia="Times New Roman" w:cs="Arial" w:ascii="Arial" w:hAnsi="Arial"/>
          <w:color w:val="808080"/>
          <w:highlight w:val="white"/>
        </w:rPr>
        <w:t xml:space="preserve">Supplementary Figure S3. Example of vessel generation labelling in a vessel tree. </w:t>
      </w:r>
      <w:r>
        <w:br w:type="page"/>
      </w:r>
    </w:p>
    <w:p>
      <w:pPr>
        <w:pStyle w:val="NormalWeb"/>
        <w:spacing w:before="52" w:after="52"/>
        <w:jc w:val="both"/>
        <w:rPr>
          <w:b/>
          <w:b/>
          <w:bCs/>
        </w:rPr>
      </w:pPr>
      <w:r>
        <w:rPr>
          <w:rFonts w:eastAsia="Times New Roman" w:cs="Arial" w:ascii="Arial" w:hAnsi="Arial"/>
          <w:b/>
          <w:bCs/>
          <w:color w:val="000000"/>
          <w:sz w:val="28"/>
          <w:szCs w:val="28"/>
          <w:highlight w:val="white"/>
        </w:rPr>
        <w:t>A.2 OD-based features</w:t>
      </w:r>
    </w:p>
    <w:p>
      <w:pPr>
        <w:pStyle w:val="NormalWeb"/>
        <w:spacing w:before="52" w:after="52"/>
        <w:jc w:val="both"/>
        <w:rPr/>
      </w:pPr>
      <w:r>
        <w:rPr>
          <w:rFonts w:eastAsia="Times New Roman" w:cs="Arial" w:ascii="Arial" w:hAnsi="Arial"/>
          <w:color w:val="000000"/>
          <w:sz w:val="28"/>
          <w:szCs w:val="28"/>
          <w:highlight w:val="white"/>
        </w:rPr>
        <w:t>These are:</w:t>
      </w:r>
    </w:p>
    <w:p>
      <w:pPr>
        <w:pStyle w:val="NormalWeb"/>
        <w:numPr>
          <w:ilvl w:val="0"/>
          <w:numId w:val="2"/>
        </w:numPr>
        <w:spacing w:before="0" w:after="0"/>
        <w:jc w:val="both"/>
        <w:rPr/>
      </w:pPr>
      <w:r>
        <w:rPr>
          <w:rFonts w:eastAsia="Times New Roman" w:cs="Arial" w:ascii="Arial" w:hAnsi="Arial"/>
          <w:color w:val="000000"/>
          <w:sz w:val="28"/>
          <w:szCs w:val="28"/>
          <w:highlight w:val="white"/>
        </w:rPr>
        <w:t>Odradius - Value of the OD radius in the original image (in pixels).</w:t>
      </w:r>
    </w:p>
    <w:p>
      <w:pPr>
        <w:pStyle w:val="NormalWeb"/>
        <w:numPr>
          <w:ilvl w:val="0"/>
          <w:numId w:val="2"/>
        </w:numPr>
        <w:spacing w:before="0" w:after="0"/>
        <w:jc w:val="both"/>
        <w:rPr/>
      </w:pPr>
      <w:r>
        <w:rPr>
          <w:rFonts w:eastAsia="Times New Roman" w:cs="Arial" w:ascii="Arial" w:hAnsi="Arial"/>
          <w:color w:val="000000"/>
          <w:sz w:val="28"/>
          <w:szCs w:val="28"/>
          <w:highlight w:val="white"/>
        </w:rPr>
        <w:t>Odfovea - Distance between the OD and the fovea centres in the original image (in pixels).</w:t>
      </w:r>
    </w:p>
    <w:p>
      <w:pPr>
        <w:pStyle w:val="NormalWeb"/>
        <w:spacing w:before="109" w:after="109"/>
        <w:jc w:val="both"/>
        <w:rPr>
          <w:b/>
          <w:b/>
          <w:bCs/>
        </w:rPr>
      </w:pPr>
      <w:r>
        <w:rPr>
          <w:rFonts w:eastAsia="Times New Roman" w:cs="Arial" w:ascii="Arial" w:hAnsi="Arial"/>
          <w:b/>
          <w:bCs/>
          <w:color w:val="000000"/>
          <w:sz w:val="28"/>
          <w:szCs w:val="28"/>
          <w:highlight w:val="white"/>
        </w:rPr>
        <w:t>A.3 Zone B width features</w:t>
      </w:r>
    </w:p>
    <w:p>
      <w:pPr>
        <w:pStyle w:val="NormalWeb"/>
        <w:spacing w:before="109" w:after="109"/>
        <w:jc w:val="both"/>
        <w:rPr/>
      </w:pPr>
      <w:r>
        <w:rPr>
          <w:rFonts w:eastAsia="Times New Roman" w:cs="Arial" w:ascii="Arial" w:hAnsi="Arial"/>
          <w:color w:val="000000"/>
          <w:sz w:val="28"/>
          <w:szCs w:val="28"/>
          <w:highlight w:val="white"/>
        </w:rPr>
        <w:t>Five width-related features are calculated within Zone B. In particular:</w:t>
      </w:r>
    </w:p>
    <w:p>
      <w:pPr>
        <w:pStyle w:val="NormalWeb"/>
        <w:numPr>
          <w:ilvl w:val="0"/>
          <w:numId w:val="1"/>
        </w:numPr>
        <w:spacing w:before="0" w:after="0"/>
        <w:jc w:val="both"/>
        <w:rPr/>
      </w:pPr>
      <w:r>
        <w:rPr>
          <w:rFonts w:eastAsia="Times New Roman" w:cs="Arial" w:ascii="Arial" w:hAnsi="Arial"/>
          <w:color w:val="000000"/>
          <w:sz w:val="28"/>
          <w:szCs w:val="28"/>
          <w:highlight w:val="white"/>
        </w:rPr>
        <w:t xml:space="preserve">CRAE - Central arterial equivalent (in pixels). </w:t>
      </w:r>
    </w:p>
    <w:p>
      <w:pPr>
        <w:pStyle w:val="NormalWeb"/>
        <w:numPr>
          <w:ilvl w:val="0"/>
          <w:numId w:val="1"/>
        </w:numPr>
        <w:spacing w:before="0" w:after="0"/>
        <w:jc w:val="both"/>
        <w:rPr/>
      </w:pPr>
      <w:r>
        <w:rPr>
          <w:rFonts w:eastAsia="Times New Roman" w:cs="Arial" w:ascii="Arial" w:hAnsi="Arial"/>
          <w:color w:val="000000"/>
          <w:sz w:val="28"/>
          <w:szCs w:val="28"/>
          <w:highlight w:val="white"/>
        </w:rPr>
        <w:t>CRVE - Central venular equivalent (in pixels).</w:t>
      </w:r>
    </w:p>
    <w:p>
      <w:pPr>
        <w:pStyle w:val="NormalWeb"/>
        <w:numPr>
          <w:ilvl w:val="0"/>
          <w:numId w:val="1"/>
        </w:numPr>
        <w:spacing w:before="0" w:after="0"/>
        <w:jc w:val="both"/>
        <w:rPr/>
      </w:pPr>
      <w:r>
        <w:rPr>
          <w:rFonts w:eastAsia="Times New Roman" w:cs="Arial" w:ascii="Arial" w:hAnsi="Arial"/>
          <w:color w:val="000000"/>
          <w:sz w:val="28"/>
          <w:szCs w:val="28"/>
          <w:highlight w:val="white"/>
        </w:rPr>
        <w:t>AVR - Arteriole to venule ratio (Patton et al., IOVS, 2006).</w:t>
      </w:r>
    </w:p>
    <w:p>
      <w:pPr>
        <w:pStyle w:val="NormalWeb"/>
        <w:numPr>
          <w:ilvl w:val="0"/>
          <w:numId w:val="1"/>
        </w:numPr>
        <w:spacing w:before="0" w:after="0"/>
        <w:jc w:val="both"/>
        <w:rPr/>
      </w:pPr>
      <w:r>
        <w:rPr>
          <w:rFonts w:eastAsia="Times New Roman" w:cs="Arial" w:ascii="Arial" w:hAnsi="Arial"/>
          <w:color w:val="000000"/>
          <w:sz w:val="28"/>
          <w:szCs w:val="28"/>
          <w:highlight w:val="white"/>
        </w:rPr>
        <w:t xml:space="preserve">BSTDa - Standard deviation of the widths of the arterioles used in the CRAE calculation (in pixels). </w:t>
      </w:r>
    </w:p>
    <w:p>
      <w:pPr>
        <w:pStyle w:val="NormalWeb"/>
        <w:numPr>
          <w:ilvl w:val="0"/>
          <w:numId w:val="1"/>
        </w:numPr>
        <w:spacing w:before="0" w:after="0"/>
        <w:jc w:val="both"/>
        <w:rPr/>
      </w:pPr>
      <w:r>
        <w:rPr>
          <w:rFonts w:eastAsia="Times New Roman" w:cs="Arial" w:ascii="Arial" w:hAnsi="Arial"/>
          <w:color w:val="000000"/>
          <w:sz w:val="28"/>
          <w:szCs w:val="28"/>
          <w:highlight w:val="white"/>
        </w:rPr>
        <w:t>BSTDv - Standard deviation of the widths of the venules used in the CRVE calculation (in pixels).</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b/>
          <w:b/>
          <w:bCs/>
        </w:rPr>
      </w:pPr>
      <w:r>
        <w:rPr>
          <w:rFonts w:eastAsia="Times New Roman" w:cs="Arial" w:ascii="Arial" w:hAnsi="Arial"/>
          <w:b/>
          <w:bCs/>
          <w:color w:val="000000"/>
          <w:sz w:val="28"/>
          <w:szCs w:val="28"/>
          <w:highlight w:val="white"/>
        </w:rPr>
        <w:t>A.4 Branching point features</w:t>
      </w:r>
    </w:p>
    <w:p>
      <w:pPr>
        <w:pStyle w:val="NormalWeb"/>
        <w:spacing w:before="0" w:after="0"/>
        <w:jc w:val="both"/>
        <w:rPr/>
      </w:pPr>
      <w:r>
        <w:rPr>
          <w:rFonts w:eastAsia="Times New Roman" w:cs="Arial" w:ascii="Arial" w:hAnsi="Arial"/>
          <w:color w:val="000000"/>
          <w:sz w:val="28"/>
          <w:szCs w:val="28"/>
          <w:highlight w:val="white"/>
        </w:rPr>
        <w:t xml:space="preserve">These features are calculated on correctly detected branching points located within Zone C; readers are referred to the work by Frost et al. (Transl. Psychiatry, 2013) for a good description of the formulae used to compute them. </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pPr>
      <w:r>
        <w:rPr>
          <w:rFonts w:eastAsia="Times New Roman" w:cs="Arial" w:ascii="Arial" w:hAnsi="Arial"/>
          <w:color w:val="000000"/>
          <w:sz w:val="28"/>
          <w:szCs w:val="28"/>
          <w:highlight w:val="white"/>
        </w:rPr>
        <w:t xml:space="preserve">The following features are width-related and are computed twice using different vessel-width estimation techniques; </w:t>
      </w:r>
      <w:r>
        <w:rPr>
          <w:rFonts w:eastAsia="Times New Roman" w:cs="Arial" w:ascii="Arial" w:hAnsi="Arial"/>
          <w:i/>
          <w:iCs/>
          <w:color w:val="000000"/>
          <w:sz w:val="28"/>
          <w:szCs w:val="28"/>
          <w:highlight w:val="white"/>
        </w:rPr>
        <w:t>Spline</w:t>
      </w:r>
      <w:r>
        <w:rPr>
          <w:rFonts w:eastAsia="Times New Roman" w:cs="Arial" w:ascii="Arial" w:hAnsi="Arial"/>
          <w:color w:val="000000"/>
          <w:sz w:val="28"/>
          <w:szCs w:val="28"/>
          <w:highlight w:val="white"/>
        </w:rPr>
        <w:t xml:space="preserve"> (Cavinato et al., ISBI, 2013) and </w:t>
      </w:r>
      <w:r>
        <w:rPr>
          <w:rFonts w:eastAsia="Times New Roman" w:cs="Arial" w:ascii="Arial" w:hAnsi="Arial"/>
          <w:i/>
          <w:iCs/>
          <w:color w:val="000000"/>
          <w:sz w:val="28"/>
          <w:szCs w:val="28"/>
          <w:highlight w:val="white"/>
        </w:rPr>
        <w:t>Hermite</w:t>
      </w:r>
      <w:r>
        <w:rPr>
          <w:rFonts w:eastAsia="Times New Roman" w:cs="Arial" w:ascii="Arial" w:hAnsi="Arial"/>
          <w:color w:val="000000"/>
          <w:sz w:val="28"/>
          <w:szCs w:val="28"/>
          <w:highlight w:val="white"/>
        </w:rPr>
        <w:t xml:space="preserve"> (Lupascu et al., MIA, 2013).</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BC a/v Hermite/Spline - Average values of branching coefficient for arterial / venular branching points identified in Zone C. </w:t>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AF a/v Hermite/Spline - Average values of asymmetry factor for arterial / venular branching points identified in Zone C. </w:t>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JE a/v Hermite/Spline - Average values of junctional exponent for arterial / venular branching points identified in zone C. </w:t>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LDR a/v Hermite/Spline - Average values of length to diameter ratio for arterial / venular branching points identified in zone C. </w:t>
      </w:r>
    </w:p>
    <w:p>
      <w:pPr>
        <w:pStyle w:val="NormalWeb"/>
        <w:spacing w:before="0" w:after="0"/>
        <w:ind w:left="720" w:hanging="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pPr>
      <w:r>
        <w:rPr>
          <w:rFonts w:eastAsia="Times New Roman" w:cs="Arial" w:ascii="Arial" w:hAnsi="Arial"/>
          <w:color w:val="000000"/>
          <w:sz w:val="28"/>
          <w:szCs w:val="28"/>
          <w:highlight w:val="white"/>
        </w:rPr>
        <w:t>Additionally, the following are also computed:</w:t>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Num1stBa - number of first branching points in arterial vessel trees detected in Zone C. </w:t>
      </w:r>
    </w:p>
    <w:p>
      <w:pPr>
        <w:pStyle w:val="NormalWeb"/>
        <w:numPr>
          <w:ilvl w:val="0"/>
          <w:numId w:val="3"/>
        </w:numPr>
        <w:spacing w:before="0" w:after="0"/>
        <w:jc w:val="both"/>
        <w:rPr/>
      </w:pPr>
      <w:r>
        <w:rPr>
          <w:rFonts w:eastAsia="Times New Roman" w:cs="Arial" w:ascii="Arial" w:hAnsi="Arial"/>
          <w:color w:val="000000"/>
          <w:sz w:val="28"/>
          <w:szCs w:val="28"/>
          <w:highlight w:val="white"/>
        </w:rPr>
        <w:t xml:space="preserve">Num1stBv - number of first branching points in venular vessel trees detected in Zone C. </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lineRule="auto" w:line="276" w:before="0" w:after="0"/>
        <w:ind w:left="720" w:hanging="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b/>
          <w:b/>
          <w:bCs/>
        </w:rPr>
      </w:pPr>
      <w:r>
        <w:rPr>
          <w:rFonts w:eastAsia="Times New Roman" w:cs="Arial" w:ascii="Arial" w:hAnsi="Arial"/>
          <w:b/>
          <w:bCs/>
          <w:color w:val="000000"/>
          <w:sz w:val="28"/>
          <w:szCs w:val="28"/>
          <w:highlight w:val="white"/>
        </w:rPr>
        <w:t>A.5 Width gradient features</w:t>
      </w:r>
    </w:p>
    <w:p>
      <w:pPr>
        <w:pStyle w:val="NormalWeb"/>
        <w:spacing w:before="0" w:after="0"/>
        <w:jc w:val="both"/>
        <w:rPr/>
      </w:pPr>
      <w:r>
        <w:rPr>
          <w:rFonts w:eastAsia="Times New Roman" w:cs="Arial" w:ascii="Arial" w:hAnsi="Arial"/>
          <w:color w:val="000000"/>
          <w:sz w:val="28"/>
          <w:szCs w:val="28"/>
          <w:highlight w:val="white"/>
        </w:rPr>
        <w:t xml:space="preserve">These features are the gradients of the widths of the main arterial and venular vessel paths within Zone C, for each of the four image quadrants. </w:t>
      </w:r>
    </w:p>
    <w:p>
      <w:pPr>
        <w:pStyle w:val="NormalWeb"/>
        <w:numPr>
          <w:ilvl w:val="0"/>
          <w:numId w:val="4"/>
        </w:numPr>
        <w:spacing w:before="0" w:after="0"/>
        <w:jc w:val="both"/>
        <w:rPr/>
      </w:pPr>
      <w:r>
        <w:rPr>
          <w:rFonts w:eastAsia="Times New Roman" w:cs="Arial" w:ascii="Arial" w:hAnsi="Arial"/>
          <w:color w:val="000000"/>
          <w:sz w:val="28"/>
          <w:szCs w:val="28"/>
          <w:highlight w:val="white"/>
        </w:rPr>
        <w:t xml:space="preserve">Grad Q1-4 a/v Hermite - Gradient of width of the main arteriole / venule, in quadrants 1-4, estimated via Hermite. </w:t>
      </w:r>
    </w:p>
    <w:p>
      <w:pPr>
        <w:pStyle w:val="NormalWeb"/>
        <w:numPr>
          <w:ilvl w:val="0"/>
          <w:numId w:val="4"/>
        </w:numPr>
        <w:spacing w:before="0" w:after="0"/>
        <w:jc w:val="both"/>
        <w:rPr/>
      </w:pPr>
      <w:r>
        <w:rPr>
          <w:rFonts w:eastAsia="Times New Roman" w:cs="Arial" w:ascii="Arial" w:hAnsi="Arial"/>
          <w:color w:val="000000"/>
          <w:sz w:val="28"/>
          <w:szCs w:val="28"/>
          <w:highlight w:val="white"/>
        </w:rPr>
        <w:t>Grad Q1-4 a/v Spline - Same as above, but estimated via Spline.</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b/>
          <w:b/>
          <w:bCs/>
        </w:rPr>
      </w:pPr>
      <w:r>
        <w:rPr>
          <w:rFonts w:eastAsia="Times New Roman" w:cs="Arial" w:ascii="Arial" w:hAnsi="Arial"/>
          <w:b/>
          <w:bCs/>
          <w:color w:val="000000"/>
          <w:sz w:val="28"/>
          <w:szCs w:val="28"/>
          <w:highlight w:val="white"/>
        </w:rPr>
        <w:t>A.6 Fractal-based features</w:t>
      </w:r>
    </w:p>
    <w:p>
      <w:pPr>
        <w:pStyle w:val="NormalWeb"/>
        <w:spacing w:before="0" w:after="0"/>
        <w:jc w:val="both"/>
        <w:rPr/>
      </w:pPr>
      <w:r>
        <w:rPr>
          <w:rFonts w:eastAsia="Times New Roman" w:cs="Arial" w:ascii="Arial" w:hAnsi="Arial"/>
          <w:color w:val="000000"/>
          <w:sz w:val="28"/>
          <w:szCs w:val="28"/>
          <w:highlight w:val="white"/>
        </w:rPr>
        <w:t>These are obtained by carrying out fractal analysis on the binary centreline map of the arterial and venular vasculatures within Zone C. Readers are referred to the work by Stosic et al. (TMI, 2006) for a good description of the techniques.</w:t>
      </w:r>
    </w:p>
    <w:p>
      <w:pPr>
        <w:pStyle w:val="NormalWeb"/>
        <w:numPr>
          <w:ilvl w:val="0"/>
          <w:numId w:val="5"/>
        </w:numPr>
        <w:spacing w:before="0" w:after="0"/>
        <w:jc w:val="both"/>
        <w:rPr/>
      </w:pPr>
      <w:r>
        <w:rPr>
          <w:rFonts w:eastAsia="Times New Roman" w:cs="Arial" w:ascii="Arial" w:hAnsi="Arial"/>
          <w:color w:val="000000"/>
          <w:sz w:val="28"/>
          <w:szCs w:val="28"/>
          <w:highlight w:val="white"/>
        </w:rPr>
        <w:t xml:space="preserve">D0-2a  – Fractal dimensions of the arterial vasculature. </w:t>
      </w:r>
    </w:p>
    <w:p>
      <w:pPr>
        <w:pStyle w:val="NormalWeb"/>
        <w:numPr>
          <w:ilvl w:val="0"/>
          <w:numId w:val="5"/>
        </w:numPr>
        <w:spacing w:before="0" w:after="0"/>
        <w:jc w:val="both"/>
        <w:rPr/>
      </w:pPr>
      <w:r>
        <w:rPr>
          <w:rFonts w:eastAsia="Times New Roman" w:cs="Arial" w:ascii="Arial" w:hAnsi="Arial"/>
          <w:color w:val="000000"/>
          <w:sz w:val="28"/>
          <w:szCs w:val="28"/>
          <w:highlight w:val="white"/>
        </w:rPr>
        <w:t xml:space="preserve">D0-2v  – Fractal dimensions of the venular vasculature. </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b/>
          <w:b/>
          <w:bCs/>
        </w:rPr>
      </w:pPr>
      <w:r>
        <w:rPr>
          <w:rFonts w:eastAsia="Times New Roman" w:cs="Arial" w:ascii="Arial" w:hAnsi="Arial"/>
          <w:b/>
          <w:bCs/>
          <w:color w:val="000000"/>
          <w:sz w:val="28"/>
          <w:szCs w:val="28"/>
          <w:highlight w:val="white"/>
        </w:rPr>
        <w:t>A.7 Conventional tortuousity features</w:t>
      </w:r>
    </w:p>
    <w:p>
      <w:pPr>
        <w:pStyle w:val="NormalWeb"/>
        <w:spacing w:before="0" w:after="0"/>
        <w:jc w:val="both"/>
        <w:rPr/>
      </w:pPr>
      <w:r>
        <w:rPr>
          <w:rFonts w:eastAsia="Times New Roman" w:cs="Arial" w:ascii="Arial" w:hAnsi="Arial"/>
          <w:color w:val="000000"/>
          <w:sz w:val="28"/>
          <w:szCs w:val="28"/>
          <w:highlight w:val="white"/>
        </w:rPr>
        <w:t>Tortuosity features computed on the 6 largest arterioles and venules in Zone C, as per Annunziata et al. (MICCAI OMIA, 2014) .</w:t>
      </w:r>
    </w:p>
    <w:p>
      <w:pPr>
        <w:pStyle w:val="NormalWeb"/>
        <w:numPr>
          <w:ilvl w:val="0"/>
          <w:numId w:val="6"/>
        </w:numPr>
        <w:spacing w:before="0" w:after="0"/>
        <w:jc w:val="both"/>
        <w:rPr/>
      </w:pPr>
      <w:r>
        <w:rPr>
          <w:rFonts w:eastAsia="Times New Roman" w:cs="Arial" w:ascii="Arial" w:hAnsi="Arial"/>
          <w:color w:val="000000"/>
          <w:sz w:val="28"/>
          <w:szCs w:val="28"/>
          <w:highlight w:val="white"/>
        </w:rPr>
        <w:t xml:space="preserve">ZoneCATort Min/Max - Average, minimum and maximum values of tortuosity of the largest arterioles in Zone C. </w:t>
      </w:r>
    </w:p>
    <w:p>
      <w:pPr>
        <w:pStyle w:val="NormalWeb"/>
        <w:numPr>
          <w:ilvl w:val="0"/>
          <w:numId w:val="6"/>
        </w:numPr>
        <w:spacing w:before="0" w:after="0"/>
        <w:jc w:val="both"/>
        <w:rPr/>
      </w:pPr>
      <w:r>
        <w:rPr>
          <w:rFonts w:eastAsia="Times New Roman" w:cs="Arial" w:ascii="Arial" w:hAnsi="Arial"/>
          <w:color w:val="000000"/>
          <w:sz w:val="28"/>
          <w:szCs w:val="28"/>
          <w:highlight w:val="white"/>
        </w:rPr>
        <w:t>ZoneCVTort Min/Max - Average, minimum and maximum values of tortuosity of the largest venules in Zone C.</w:t>
      </w:r>
    </w:p>
    <w:p>
      <w:pPr>
        <w:pStyle w:val="NormalWeb"/>
        <w:spacing w:before="0" w:after="0"/>
        <w:jc w:val="both"/>
        <w:rPr>
          <w:rFonts w:ascii="Arial" w:hAnsi="Arial" w:eastAsia="Times New Roman" w:cs="Arial"/>
          <w:color w:val="000000"/>
          <w:sz w:val="28"/>
          <w:szCs w:val="28"/>
          <w:highlight w:val="white"/>
        </w:rPr>
      </w:pPr>
      <w:r>
        <w:rPr>
          <w:rFonts w:eastAsia="Times New Roman" w:cs="Arial" w:ascii="Arial" w:hAnsi="Arial"/>
          <w:color w:val="000000"/>
          <w:sz w:val="28"/>
          <w:szCs w:val="28"/>
          <w:highlight w:val="white"/>
        </w:rPr>
      </w:r>
    </w:p>
    <w:p>
      <w:pPr>
        <w:pStyle w:val="NormalWeb"/>
        <w:spacing w:before="0" w:after="0"/>
        <w:jc w:val="both"/>
        <w:rPr>
          <w:b/>
          <w:b/>
          <w:bCs/>
        </w:rPr>
      </w:pPr>
      <w:r>
        <w:rPr>
          <w:rFonts w:eastAsia="Times New Roman" w:cs="Arial" w:ascii="Arial" w:hAnsi="Arial"/>
          <w:b/>
          <w:bCs/>
          <w:color w:val="000000"/>
          <w:sz w:val="28"/>
          <w:szCs w:val="28"/>
          <w:highlight w:val="white"/>
        </w:rPr>
        <w:t>A.8 Advanced tortuousity features</w:t>
      </w:r>
    </w:p>
    <w:p>
      <w:pPr>
        <w:pStyle w:val="NormalWeb"/>
        <w:spacing w:before="0" w:after="0"/>
        <w:jc w:val="both"/>
        <w:rPr/>
      </w:pPr>
      <w:r>
        <w:rPr>
          <w:rFonts w:eastAsia="Times New Roman" w:cs="Arial" w:ascii="Arial" w:hAnsi="Arial"/>
          <w:color w:val="000000"/>
          <w:sz w:val="28"/>
          <w:szCs w:val="28"/>
          <w:highlight w:val="white"/>
        </w:rPr>
        <w:t>These tortuosity features are computed for entire vessel paths that span from Zone B to Zone C. Values from different paths are combined by computing an average that is weighted according to corresponding path lengths (i.e. a shorter path would be assigned lower weight).</w:t>
      </w:r>
    </w:p>
    <w:p>
      <w:pPr>
        <w:pStyle w:val="NormalWeb"/>
        <w:numPr>
          <w:ilvl w:val="0"/>
          <w:numId w:val="7"/>
        </w:numPr>
        <w:spacing w:before="0" w:after="0"/>
        <w:jc w:val="both"/>
        <w:rPr/>
      </w:pPr>
      <w:r>
        <w:rPr>
          <w:rFonts w:eastAsia="Times New Roman" w:cs="Arial" w:ascii="Arial" w:hAnsi="Arial"/>
          <w:color w:val="000000"/>
          <w:sz w:val="28"/>
          <w:szCs w:val="28"/>
          <w:highlight w:val="white"/>
        </w:rPr>
        <w:t xml:space="preserve">tortQ1-4 a/v – Weighted average of the </w:t>
      </w:r>
      <w:bookmarkStart w:id="1" w:name="__DdeLink__1316_1514752354"/>
      <w:r>
        <w:rPr>
          <w:rFonts w:eastAsia="Times New Roman" w:cs="Arial" w:ascii="Arial" w:hAnsi="Arial"/>
          <w:color w:val="000000"/>
          <w:sz w:val="28"/>
          <w:szCs w:val="28"/>
          <w:highlight w:val="white"/>
        </w:rPr>
        <w:t>tortuosities</w:t>
      </w:r>
      <w:bookmarkEnd w:id="1"/>
      <w:r>
        <w:rPr>
          <w:rFonts w:eastAsia="Times New Roman" w:cs="Arial" w:ascii="Arial" w:hAnsi="Arial"/>
          <w:color w:val="000000"/>
          <w:sz w:val="28"/>
          <w:szCs w:val="28"/>
          <w:highlight w:val="white"/>
        </w:rPr>
        <w:t xml:space="preserve"> of all vessels (arterioles or venules, respectively) paths in quadrants 1 to 4. </w:t>
      </w:r>
    </w:p>
    <w:p>
      <w:pPr>
        <w:pStyle w:val="NormalWeb"/>
        <w:numPr>
          <w:ilvl w:val="0"/>
          <w:numId w:val="7"/>
        </w:numPr>
        <w:spacing w:before="0" w:after="0"/>
        <w:jc w:val="both"/>
        <w:rPr/>
      </w:pPr>
      <w:r>
        <w:rPr>
          <w:rFonts w:eastAsia="Times New Roman" w:cs="Arial" w:ascii="Arial" w:hAnsi="Arial"/>
          <w:color w:val="000000"/>
          <w:sz w:val="28"/>
          <w:szCs w:val="28"/>
          <w:highlight w:val="white"/>
        </w:rPr>
        <w:t xml:space="preserve">tortQ1-4G1 a/v – Weighted average of the tortuosities of all G1 vessel  paths in quadrants 1 to 4. Notice the difference with the previous set. </w:t>
      </w:r>
    </w:p>
    <w:p>
      <w:pPr>
        <w:pStyle w:val="NormalWeb"/>
        <w:numPr>
          <w:ilvl w:val="0"/>
          <w:numId w:val="7"/>
        </w:numPr>
        <w:spacing w:before="0" w:after="0"/>
        <w:jc w:val="both"/>
        <w:rPr/>
      </w:pPr>
      <w:r>
        <w:rPr>
          <w:rFonts w:eastAsia="Times New Roman" w:cs="Arial" w:ascii="Arial" w:hAnsi="Arial"/>
          <w:color w:val="000000"/>
          <w:sz w:val="28"/>
          <w:szCs w:val="28"/>
          <w:highlight w:val="white"/>
        </w:rPr>
        <w:t>tortImageG1 a/v - Weighted average of the tortuosities of all vessel paths in the entire image.</w:t>
      </w:r>
    </w:p>
    <w:p>
      <w:pPr>
        <w:pStyle w:val="NormalWeb"/>
        <w:numPr>
          <w:ilvl w:val="0"/>
          <w:numId w:val="7"/>
        </w:numPr>
        <w:spacing w:before="0" w:after="0"/>
        <w:jc w:val="both"/>
        <w:rPr/>
      </w:pPr>
      <w:r>
        <w:rPr>
          <w:rFonts w:eastAsia="Times New Roman" w:cs="Arial" w:ascii="Arial" w:hAnsi="Arial"/>
          <w:color w:val="000000"/>
          <w:sz w:val="28"/>
          <w:szCs w:val="28"/>
          <w:highlight w:val="white"/>
        </w:rPr>
        <w:t>tortQ1-4a Med/Std/Min/Max – Median, standard deviation, minimum and maximum values of the tortuosities of all arterial paths, respectively (regardless of G value) in quadrants 1 to 4.</w:t>
      </w:r>
    </w:p>
    <w:p>
      <w:pPr>
        <w:pStyle w:val="NormalWeb"/>
        <w:numPr>
          <w:ilvl w:val="0"/>
          <w:numId w:val="7"/>
        </w:numPr>
        <w:spacing w:before="0" w:after="0"/>
        <w:jc w:val="both"/>
        <w:rPr/>
      </w:pPr>
      <w:r>
        <w:rPr>
          <w:rFonts w:eastAsia="Times New Roman" w:cs="Arial" w:ascii="Arial" w:hAnsi="Arial"/>
          <w:color w:val="000000"/>
          <w:sz w:val="28"/>
          <w:szCs w:val="28"/>
          <w:highlight w:val="white"/>
        </w:rPr>
        <w:t xml:space="preserve">tortQ1-4v Med/Std/Min/Max – Median, standard deviation, minimum and maximum values of the tortuosities of all venular paths, respectively (regardless of G value) in quadrants 1 to 4. </w:t>
      </w:r>
    </w:p>
    <w:p>
      <w:pPr>
        <w:pStyle w:val="NormalWeb"/>
        <w:numPr>
          <w:ilvl w:val="0"/>
          <w:numId w:val="7"/>
        </w:numPr>
        <w:spacing w:before="0" w:after="0"/>
        <w:jc w:val="both"/>
        <w:rPr/>
      </w:pPr>
      <w:r>
        <w:rPr>
          <w:rFonts w:eastAsia="Times New Roman" w:cs="Arial" w:ascii="Arial" w:hAnsi="Arial"/>
          <w:color w:val="000000"/>
          <w:sz w:val="28"/>
          <w:szCs w:val="28"/>
          <w:highlight w:val="white"/>
        </w:rPr>
        <w:t>tortQ1-4G1a Med/Std/Min/Max – Median, standard deviation, minimum and maximum values of the tortuosities of all arterial paths of G1, respectively, in quadrants 1 to 4.</w:t>
      </w:r>
    </w:p>
    <w:p>
      <w:pPr>
        <w:pStyle w:val="NormalWeb"/>
        <w:numPr>
          <w:ilvl w:val="0"/>
          <w:numId w:val="7"/>
        </w:numPr>
        <w:spacing w:before="0" w:after="0"/>
        <w:jc w:val="both"/>
        <w:rPr/>
      </w:pPr>
      <w:r>
        <w:rPr>
          <w:rFonts w:eastAsia="Times New Roman" w:cs="Arial" w:ascii="Arial" w:hAnsi="Arial"/>
          <w:color w:val="000000"/>
          <w:sz w:val="28"/>
          <w:szCs w:val="28"/>
          <w:highlight w:val="white"/>
        </w:rPr>
        <w:t xml:space="preserve">tortQ1-4G1v Med/Std/Min/Max – Median, standard deviation, minimum and minimum values of the tortuosities of all venular paths of G1, respectively, in quadrants 1 to 4. </w:t>
      </w:r>
    </w:p>
    <w:p>
      <w:pPr>
        <w:pStyle w:val="NormalWeb"/>
        <w:numPr>
          <w:ilvl w:val="0"/>
          <w:numId w:val="7"/>
        </w:numPr>
        <w:spacing w:before="0" w:after="0"/>
        <w:jc w:val="both"/>
        <w:rPr/>
      </w:pPr>
      <w:r>
        <w:rPr>
          <w:rFonts w:eastAsia="Times New Roman" w:cs="Arial" w:ascii="Arial" w:hAnsi="Arial"/>
          <w:color w:val="000000"/>
          <w:sz w:val="28"/>
          <w:szCs w:val="28"/>
          <w:highlight w:val="white"/>
        </w:rPr>
        <w:t xml:space="preserve">tortImageG1 a/v Med/Std/Min/Max - Median, standard deviation, minimum and minimum values of the tortuosities of all arterial / venular paths of G1, respectively, in the entire image. </w:t>
      </w:r>
    </w:p>
    <w:p>
      <w:pPr>
        <w:pStyle w:val="NormalWeb"/>
        <w:numPr>
          <w:ilvl w:val="0"/>
          <w:numId w:val="7"/>
        </w:numPr>
        <w:spacing w:before="0" w:after="0"/>
        <w:jc w:val="both"/>
        <w:rPr/>
      </w:pPr>
      <w:r>
        <w:rPr>
          <w:rFonts w:eastAsia="Times New Roman" w:cs="Arial" w:ascii="Arial" w:hAnsi="Arial"/>
          <w:color w:val="000000"/>
          <w:sz w:val="28"/>
          <w:szCs w:val="28"/>
          <w:highlight w:val="white"/>
        </w:rPr>
        <w:t>tortMainPathQ1-4 a/v (real) – Tortuosity of the main arterial / venular path in quadrants 1 to 4.</w:t>
      </w:r>
      <w:r>
        <w:br w:type="page"/>
      </w:r>
    </w:p>
    <w:p>
      <w:pPr>
        <w:pStyle w:val="NormalWeb"/>
        <w:spacing w:lineRule="auto" w:line="276"/>
        <w:jc w:val="both"/>
        <w:rPr>
          <w:b/>
          <w:b/>
          <w:bCs/>
          <w:u w:val="single"/>
        </w:rPr>
      </w:pPr>
      <w:r>
        <w:rPr>
          <w:rFonts w:eastAsia="Times New Roman" w:cs="Arial" w:ascii="Arial" w:hAnsi="Arial"/>
          <w:b/>
          <w:bCs/>
          <w:color w:val="000000"/>
          <w:sz w:val="28"/>
          <w:szCs w:val="28"/>
          <w:highlight w:val="white"/>
          <w:u w:val="single"/>
        </w:rPr>
        <w:t>Appendix B- Separate Analysis using Clinical Measurements Only</w:t>
      </w:r>
    </w:p>
    <w:p>
      <w:pPr>
        <w:pStyle w:val="NormalWeb"/>
        <w:spacing w:lineRule="auto" w:line="276"/>
        <w:jc w:val="both"/>
        <w:rPr/>
      </w:pPr>
      <w:r>
        <w:rPr>
          <w:rFonts w:eastAsia="Times New Roman" w:cs="Arial" w:ascii="Arial" w:hAnsi="Arial"/>
          <w:color w:val="000000"/>
          <w:sz w:val="28"/>
          <w:szCs w:val="28"/>
          <w:highlight w:val="white"/>
        </w:rPr>
        <w:t>Following the results obtained with λ</w:t>
      </w:r>
      <w:r>
        <w:rPr>
          <w:rFonts w:eastAsia="Times New Roman" w:cs="Arial" w:ascii="Arial" w:hAnsi="Arial"/>
          <w:color w:val="000000"/>
          <w:sz w:val="28"/>
          <w:szCs w:val="28"/>
          <w:highlight w:val="white"/>
          <w:vertAlign w:val="subscript"/>
        </w:rPr>
        <w:t>1SE</w:t>
      </w:r>
      <w:r>
        <w:rPr>
          <w:rFonts w:eastAsia="Times New Roman" w:cs="Arial" w:ascii="Arial" w:hAnsi="Arial"/>
          <w:color w:val="000000"/>
          <w:sz w:val="28"/>
          <w:szCs w:val="28"/>
          <w:highlight w:val="white"/>
        </w:rPr>
        <w:t xml:space="preserve">-based model which showed that simply using readily available clinical information may provide good stratification, we carried out a separate analysis using only routine clinical measurements, age at scan and sex as features. </w:t>
      </w:r>
    </w:p>
    <w:p>
      <w:pPr>
        <w:pStyle w:val="NormalWeb"/>
        <w:spacing w:lineRule="auto" w:line="276"/>
        <w:jc w:val="both"/>
        <w:rPr/>
      </w:pPr>
      <w:r>
        <w:rPr>
          <w:rFonts w:eastAsia="Times New Roman" w:cs="Arial" w:ascii="Arial" w:hAnsi="Arial"/>
          <w:color w:val="000000"/>
          <w:sz w:val="28"/>
          <w:szCs w:val="28"/>
          <w:highlight w:val="white"/>
        </w:rPr>
        <w:t xml:space="preserve">Testing this on the held-out clinical validation set indeed achieved accurate stratification (log-rank p value &lt; 0.0001;  Figure S4). </w:t>
      </w:r>
    </w:p>
    <w:p>
      <w:pPr>
        <w:pStyle w:val="NormalWeb"/>
        <w:spacing w:lineRule="auto" w:line="276"/>
        <w:jc w:val="both"/>
        <w:rPr>
          <w:color w:val="000000"/>
        </w:rPr>
      </w:pPr>
      <w:r>
        <w:rPr>
          <w:rFonts w:eastAsia="Times New Roman" w:cs="Arial" w:ascii="Arial" w:hAnsi="Arial"/>
          <w:color w:val="000000"/>
          <w:sz w:val="28"/>
          <w:szCs w:val="28"/>
          <w:highlight w:val="white"/>
        </w:rPr>
        <w:t xml:space="preserve">These observations were in line with the findings by Poplin et al. </w:t>
      </w:r>
      <w:r>
        <w:rPr>
          <w:rFonts w:eastAsia="Times New Roman" w:cs="Arial" w:ascii="Arial" w:hAnsi="Arial"/>
          <w:b/>
          <w:bCs/>
          <w:color w:val="000000"/>
          <w:sz w:val="28"/>
          <w:szCs w:val="28"/>
          <w:highlight w:val="white"/>
        </w:rPr>
        <w:t>[4]</w:t>
      </w:r>
      <w:r>
        <w:rPr>
          <w:rFonts w:eastAsia="Times New Roman" w:cs="Arial" w:ascii="Arial" w:hAnsi="Arial"/>
          <w:color w:val="000000"/>
          <w:sz w:val="28"/>
          <w:szCs w:val="28"/>
          <w:highlight w:val="white"/>
        </w:rPr>
        <w:t xml:space="preserve"> who used datasets from UK Biobank and EyePACS cohorts, but did not include genomic information. </w:t>
      </w:r>
      <w:r>
        <w:br w:type="page"/>
      </w:r>
    </w:p>
    <w:p>
      <w:pPr>
        <w:pStyle w:val="NormalWeb"/>
        <w:spacing w:lineRule="auto" w:line="276"/>
        <w:jc w:val="both"/>
        <w:rPr>
          <w:rFonts w:ascii="Arial" w:hAnsi="Arial" w:eastAsia="Times New Roman" w:cs="Arial"/>
          <w:sz w:val="28"/>
          <w:szCs w:val="28"/>
          <w:highlight w:val="white"/>
        </w:rPr>
      </w:pPr>
      <w:r>
        <w:rPr>
          <w:rFonts w:eastAsia="Times New Roman" w:cs="Arial" w:ascii="Arial" w:hAnsi="Arial"/>
          <w:sz w:val="28"/>
          <w:szCs w:val="28"/>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drawing>
          <wp:anchor behindDoc="0" distT="0" distB="0" distL="114300" distR="114300" simplePos="0" locked="0" layoutInCell="1" allowOverlap="1" relativeHeight="2">
            <wp:simplePos x="0" y="0"/>
            <wp:positionH relativeFrom="column">
              <wp:posOffset>844550</wp:posOffset>
            </wp:positionH>
            <wp:positionV relativeFrom="paragraph">
              <wp:posOffset>-77470</wp:posOffset>
            </wp:positionV>
            <wp:extent cx="4859655" cy="6291580"/>
            <wp:effectExtent l="0" t="0" r="0" b="0"/>
            <wp:wrapTight wrapText="bothSides">
              <wp:wrapPolygon edited="0">
                <wp:start x="-36" y="0"/>
                <wp:lineTo x="-36" y="20435"/>
                <wp:lineTo x="20757" y="20435"/>
                <wp:lineTo x="20757" y="0"/>
                <wp:lineTo x="-36" y="0"/>
              </wp:wrapPolygon>
            </wp:wrapTight>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4859655" cy="6291580"/>
                    </a:xfrm>
                    <a:prstGeom prst="rect">
                      <a:avLst/>
                    </a:prstGeom>
                  </pic:spPr>
                </pic:pic>
              </a:graphicData>
            </a:graphic>
          </wp:anchor>
        </w:drawing>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spacing w:lineRule="auto" w:line="276"/>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jc w:val="both"/>
        <w:rPr>
          <w:rFonts w:ascii="Arial" w:hAnsi="Arial" w:eastAsia="Times New Roman" w:cs="Arial"/>
          <w:i/>
          <w:i/>
          <w:color w:val="808080"/>
          <w:sz w:val="28"/>
          <w:szCs w:val="22"/>
          <w:highlight w:val="white"/>
        </w:rPr>
      </w:pPr>
      <w:r>
        <w:rPr>
          <w:rFonts w:eastAsia="Times New Roman" w:cs="Arial" w:ascii="Arial" w:hAnsi="Arial"/>
          <w:i/>
          <w:color w:val="808080"/>
          <w:sz w:val="28"/>
          <w:szCs w:val="22"/>
          <w:highlight w:val="white"/>
        </w:rPr>
      </w:r>
    </w:p>
    <w:p>
      <w:pPr>
        <w:pStyle w:val="Normal"/>
        <w:tabs>
          <w:tab w:val="left" w:pos="3198" w:leader="none"/>
        </w:tabs>
        <w:jc w:val="both"/>
        <w:rPr/>
      </w:pPr>
      <w:r>
        <w:rPr>
          <w:rFonts w:eastAsia="Times New Roman" w:cs="Arial" w:ascii="Arial" w:hAnsi="Arial"/>
          <w:bCs/>
          <w:color w:val="808080"/>
          <w:highlight w:val="white"/>
        </w:rPr>
        <w:t>Supplementary Figure S4</w:t>
      </w:r>
      <w:r>
        <w:rPr>
          <w:rFonts w:eastAsia="Times New Roman" w:cs="Arial" w:ascii="Arial" w:hAnsi="Arial"/>
          <w:color w:val="808080"/>
          <w:highlight w:val="white"/>
        </w:rPr>
        <w:t>. Kaplan-Meier curves of the λ</w:t>
      </w:r>
      <w:r>
        <w:rPr>
          <w:rFonts w:eastAsia="Times New Roman" w:cs="Arial" w:ascii="Arial" w:hAnsi="Arial"/>
          <w:color w:val="808080"/>
          <w:highlight w:val="white"/>
          <w:vertAlign w:val="subscript"/>
        </w:rPr>
        <w:t>min</w:t>
      </w:r>
      <w:r>
        <w:rPr>
          <w:rFonts w:eastAsia="Times New Roman" w:cs="Arial" w:ascii="Arial" w:hAnsi="Arial"/>
          <w:color w:val="808080"/>
          <w:highlight w:val="white"/>
        </w:rPr>
        <w:t>-based model which was trained only on clinical information, age at scan and sex. Predictions and overall time-to-event on the clinical validation set are shown in the figure. Cases were stratified into two groups, high-risk and low-risk, using a pre-defined threshold; the mean predicted probability on the model-development set when λ</w:t>
      </w:r>
      <w:r>
        <w:rPr>
          <w:rFonts w:eastAsia="Times New Roman" w:cs="Arial" w:ascii="Arial" w:hAnsi="Arial"/>
          <w:color w:val="808080"/>
          <w:highlight w:val="white"/>
          <w:vertAlign w:val="subscript"/>
        </w:rPr>
        <w:t>min</w:t>
      </w:r>
      <w:bookmarkStart w:id="2" w:name="_GoBack"/>
      <w:bookmarkEnd w:id="2"/>
      <w:r>
        <w:rPr>
          <w:rFonts w:eastAsia="Times New Roman" w:cs="Arial" w:ascii="Arial" w:hAnsi="Arial"/>
          <w:color w:val="808080"/>
          <w:highlight w:val="white"/>
        </w:rPr>
        <w:t xml:space="preserve"> was used in 10 fold cross-validation.  </w:t>
      </w:r>
    </w:p>
    <w:sectPr>
      <w:footerReference w:type="default" r:id="rId6"/>
      <w:type w:val="nextPage"/>
      <w:pgSz w:w="11906" w:h="16838"/>
      <w:pgMar w:left="1134" w:right="1134" w:header="0" w:top="1134" w:footer="1134" w:bottom="1693"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Arial">
    <w:charset w:val="01"/>
    <w:family w:val="roman"/>
    <w:pitch w:val="variable"/>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instrText> PAGE </w:instrText>
    </w:r>
    <w:r>
      <w:fldChar w:fldCharType="separate"/>
    </w:r>
    <w:r>
      <w:t>9</w:t>
    </w:r>
    <w: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9"/>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Cs w:val="24"/>
        <w:lang w:val="en-GB" w:eastAsia="zh-CN" w:bidi="hi-IN"/>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Liberation Serif" w:hAnsi="Liberation Serif" w:eastAsia="Noto Sans CJK SC Regular" w:cs="FreeSans"/>
      <w:color w:val="00000A"/>
      <w:sz w:val="24"/>
      <w:szCs w:val="24"/>
      <w:lang w:val="en-GB" w:eastAsia="zh-CN" w:bidi="hi-IN"/>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rPr>
      <w:vertAlign w:val="superscript"/>
    </w:rPr>
  </w:style>
  <w:style w:type="character" w:styleId="Bullets" w:customStyle="1">
    <w:name w:val="Bullets"/>
    <w:qFormat/>
    <w:rPr>
      <w:rFonts w:ascii="OpenSymbol" w:hAnsi="OpenSymbol" w:eastAsia="OpenSymbol" w:cs="OpenSymbol"/>
    </w:rPr>
  </w:style>
  <w:style w:type="character" w:styleId="ListLabel1" w:customStyle="1">
    <w:name w:val="ListLabel 1"/>
    <w:qFormat/>
    <w:rPr>
      <w:rFonts w:cs="OpenSymbol"/>
      <w:b w:val="false"/>
    </w:rPr>
  </w:style>
  <w:style w:type="character" w:styleId="ListLabel2" w:customStyle="1">
    <w:name w:val="ListLabel 2"/>
    <w:qFormat/>
    <w:rPr>
      <w:rFonts w:cs="OpenSymbol"/>
    </w:rPr>
  </w:style>
  <w:style w:type="character" w:styleId="ListLabel3" w:customStyle="1">
    <w:name w:val="ListLabel 3"/>
    <w:qFormat/>
    <w:rPr>
      <w:rFonts w:cs="OpenSymbol"/>
    </w:rPr>
  </w:style>
  <w:style w:type="character" w:styleId="ListLabel4" w:customStyle="1">
    <w:name w:val="ListLabel 4"/>
    <w:qFormat/>
    <w:rPr>
      <w:rFonts w:cs="OpenSymbol"/>
    </w:rPr>
  </w:style>
  <w:style w:type="character" w:styleId="ListLabel5" w:customStyle="1">
    <w:name w:val="ListLabel 5"/>
    <w:qFormat/>
    <w:rPr>
      <w:rFonts w:cs="OpenSymbol"/>
    </w:rPr>
  </w:style>
  <w:style w:type="character" w:styleId="ListLabel6" w:customStyle="1">
    <w:name w:val="ListLabel 6"/>
    <w:qFormat/>
    <w:rPr>
      <w:rFonts w:cs="OpenSymbol"/>
    </w:rPr>
  </w:style>
  <w:style w:type="character" w:styleId="ListLabel7" w:customStyle="1">
    <w:name w:val="ListLabel 7"/>
    <w:qFormat/>
    <w:rPr>
      <w:rFonts w:cs="OpenSymbol"/>
    </w:rPr>
  </w:style>
  <w:style w:type="character" w:styleId="ListLabel8" w:customStyle="1">
    <w:name w:val="ListLabel 8"/>
    <w:qFormat/>
    <w:rPr>
      <w:rFonts w:cs="OpenSymbol"/>
    </w:rPr>
  </w:style>
  <w:style w:type="character" w:styleId="ListLabel9" w:customStyle="1">
    <w:name w:val="ListLabel 9"/>
    <w:qFormat/>
    <w:rPr>
      <w:rFonts w:cs="OpenSymbol"/>
    </w:rPr>
  </w:style>
  <w:style w:type="character" w:styleId="ListLabel10" w:customStyle="1">
    <w:name w:val="ListLabel 10"/>
    <w:qFormat/>
    <w:rPr>
      <w:rFonts w:cs="OpenSymbol"/>
      <w:b w:val="false"/>
    </w:rPr>
  </w:style>
  <w:style w:type="character" w:styleId="ListLabel11" w:customStyle="1">
    <w:name w:val="ListLabel 11"/>
    <w:qFormat/>
    <w:rPr>
      <w:rFonts w:cs="OpenSymbol"/>
    </w:rPr>
  </w:style>
  <w:style w:type="character" w:styleId="ListLabel12" w:customStyle="1">
    <w:name w:val="ListLabel 12"/>
    <w:qFormat/>
    <w:rPr>
      <w:rFonts w:cs="OpenSymbol"/>
    </w:rPr>
  </w:style>
  <w:style w:type="character" w:styleId="ListLabel13" w:customStyle="1">
    <w:name w:val="ListLabel 13"/>
    <w:qFormat/>
    <w:rPr>
      <w:rFonts w:cs="OpenSymbol"/>
    </w:rPr>
  </w:style>
  <w:style w:type="character" w:styleId="ListLabel14" w:customStyle="1">
    <w:name w:val="ListLabel 14"/>
    <w:qFormat/>
    <w:rPr>
      <w:rFonts w:cs="OpenSymbol"/>
    </w:rPr>
  </w:style>
  <w:style w:type="character" w:styleId="ListLabel15" w:customStyle="1">
    <w:name w:val="ListLabel 15"/>
    <w:qFormat/>
    <w:rPr>
      <w:rFonts w:cs="OpenSymbol"/>
    </w:rPr>
  </w:style>
  <w:style w:type="character" w:styleId="ListLabel16" w:customStyle="1">
    <w:name w:val="ListLabel 16"/>
    <w:qFormat/>
    <w:rPr>
      <w:rFonts w:cs="OpenSymbol"/>
    </w:rPr>
  </w:style>
  <w:style w:type="character" w:styleId="ListLabel17" w:customStyle="1">
    <w:name w:val="ListLabel 17"/>
    <w:qFormat/>
    <w:rPr>
      <w:rFonts w:cs="OpenSymbol"/>
    </w:rPr>
  </w:style>
  <w:style w:type="character" w:styleId="ListLabel18" w:customStyle="1">
    <w:name w:val="ListLabel 18"/>
    <w:qFormat/>
    <w:rPr>
      <w:rFonts w:cs="OpenSymbol"/>
    </w:rPr>
  </w:style>
  <w:style w:type="character" w:styleId="ListLabel19" w:customStyle="1">
    <w:name w:val="ListLabel 19"/>
    <w:qFormat/>
    <w:rPr>
      <w:rFonts w:cs="OpenSymbol"/>
    </w:rPr>
  </w:style>
  <w:style w:type="character" w:styleId="ListLabel20" w:customStyle="1">
    <w:name w:val="ListLabel 20"/>
    <w:qFormat/>
    <w:rPr>
      <w:rFonts w:cs="OpenSymbol"/>
    </w:rPr>
  </w:style>
  <w:style w:type="character" w:styleId="ListLabel21" w:customStyle="1">
    <w:name w:val="ListLabel 21"/>
    <w:qFormat/>
    <w:rPr>
      <w:rFonts w:cs="OpenSymbol"/>
    </w:rPr>
  </w:style>
  <w:style w:type="character" w:styleId="ListLabel22" w:customStyle="1">
    <w:name w:val="ListLabel 22"/>
    <w:qFormat/>
    <w:rPr>
      <w:rFonts w:cs="OpenSymbol"/>
    </w:rPr>
  </w:style>
  <w:style w:type="character" w:styleId="ListLabel23" w:customStyle="1">
    <w:name w:val="ListLabel 23"/>
    <w:qFormat/>
    <w:rPr>
      <w:rFonts w:cs="OpenSymbol"/>
    </w:rPr>
  </w:style>
  <w:style w:type="character" w:styleId="ListLabel24" w:customStyle="1">
    <w:name w:val="ListLabel 24"/>
    <w:qFormat/>
    <w:rPr>
      <w:rFonts w:cs="OpenSymbol"/>
    </w:rPr>
  </w:style>
  <w:style w:type="character" w:styleId="ListLabel25" w:customStyle="1">
    <w:name w:val="ListLabel 25"/>
    <w:qFormat/>
    <w:rPr>
      <w:rFonts w:cs="OpenSymbol"/>
    </w:rPr>
  </w:style>
  <w:style w:type="character" w:styleId="ListLabel26" w:customStyle="1">
    <w:name w:val="ListLabel 26"/>
    <w:qFormat/>
    <w:rPr>
      <w:rFonts w:cs="OpenSymbol"/>
    </w:rPr>
  </w:style>
  <w:style w:type="character" w:styleId="ListLabel27" w:customStyle="1">
    <w:name w:val="ListLabel 27"/>
    <w:qFormat/>
    <w:rPr>
      <w:rFonts w:cs="OpenSymbol"/>
    </w:rPr>
  </w:style>
  <w:style w:type="character" w:styleId="ListLabel28" w:customStyle="1">
    <w:name w:val="ListLabel 28"/>
    <w:qFormat/>
    <w:rPr>
      <w:rFonts w:cs="OpenSymbol"/>
    </w:rPr>
  </w:style>
  <w:style w:type="character" w:styleId="ListLabel29" w:customStyle="1">
    <w:name w:val="ListLabel 29"/>
    <w:qFormat/>
    <w:rPr>
      <w:rFonts w:cs="OpenSymbol"/>
    </w:rPr>
  </w:style>
  <w:style w:type="character" w:styleId="ListLabel30" w:customStyle="1">
    <w:name w:val="ListLabel 30"/>
    <w:qFormat/>
    <w:rPr>
      <w:rFonts w:cs="OpenSymbol"/>
    </w:rPr>
  </w:style>
  <w:style w:type="character" w:styleId="ListLabel31" w:customStyle="1">
    <w:name w:val="ListLabel 31"/>
    <w:qFormat/>
    <w:rPr>
      <w:rFonts w:cs="OpenSymbol"/>
    </w:rPr>
  </w:style>
  <w:style w:type="character" w:styleId="ListLabel32" w:customStyle="1">
    <w:name w:val="ListLabel 32"/>
    <w:qFormat/>
    <w:rPr>
      <w:rFonts w:cs="OpenSymbol"/>
    </w:rPr>
  </w:style>
  <w:style w:type="character" w:styleId="ListLabel33" w:customStyle="1">
    <w:name w:val="ListLabel 33"/>
    <w:qFormat/>
    <w:rPr>
      <w:rFonts w:cs="OpenSymbol"/>
    </w:rPr>
  </w:style>
  <w:style w:type="character" w:styleId="ListLabel34" w:customStyle="1">
    <w:name w:val="ListLabel 34"/>
    <w:qFormat/>
    <w:rPr>
      <w:rFonts w:cs="OpenSymbol"/>
    </w:rPr>
  </w:style>
  <w:style w:type="character" w:styleId="ListLabel35" w:customStyle="1">
    <w:name w:val="ListLabel 35"/>
    <w:qFormat/>
    <w:rPr>
      <w:rFonts w:cs="OpenSymbol"/>
    </w:rPr>
  </w:style>
  <w:style w:type="character" w:styleId="ListLabel36" w:customStyle="1">
    <w:name w:val="ListLabel 36"/>
    <w:qFormat/>
    <w:rPr>
      <w:rFonts w:cs="OpenSymbol"/>
    </w:rPr>
  </w:style>
  <w:style w:type="character" w:styleId="ListLabel37" w:customStyle="1">
    <w:name w:val="ListLabel 37"/>
    <w:qFormat/>
    <w:rPr>
      <w:rFonts w:cs="OpenSymbol"/>
    </w:rPr>
  </w:style>
  <w:style w:type="character" w:styleId="ListLabel38" w:customStyle="1">
    <w:name w:val="ListLabel 38"/>
    <w:qFormat/>
    <w:rPr>
      <w:rFonts w:cs="OpenSymbol"/>
    </w:rPr>
  </w:style>
  <w:style w:type="character" w:styleId="ListLabel39" w:customStyle="1">
    <w:name w:val="ListLabel 39"/>
    <w:qFormat/>
    <w:rPr>
      <w:rFonts w:cs="OpenSymbol"/>
    </w:rPr>
  </w:style>
  <w:style w:type="character" w:styleId="ListLabel40" w:customStyle="1">
    <w:name w:val="ListLabel 40"/>
    <w:qFormat/>
    <w:rPr>
      <w:rFonts w:cs="OpenSymbol"/>
    </w:rPr>
  </w:style>
  <w:style w:type="character" w:styleId="ListLabel41" w:customStyle="1">
    <w:name w:val="ListLabel 41"/>
    <w:qFormat/>
    <w:rPr>
      <w:rFonts w:cs="OpenSymbol"/>
    </w:rPr>
  </w:style>
  <w:style w:type="character" w:styleId="ListLabel42" w:customStyle="1">
    <w:name w:val="ListLabel 42"/>
    <w:qFormat/>
    <w:rPr>
      <w:rFonts w:cs="OpenSymbol"/>
    </w:rPr>
  </w:style>
  <w:style w:type="character" w:styleId="ListLabel43" w:customStyle="1">
    <w:name w:val="ListLabel 43"/>
    <w:qFormat/>
    <w:rPr>
      <w:rFonts w:cs="OpenSymbol"/>
    </w:rPr>
  </w:style>
  <w:style w:type="character" w:styleId="ListLabel44" w:customStyle="1">
    <w:name w:val="ListLabel 44"/>
    <w:qFormat/>
    <w:rPr>
      <w:rFonts w:cs="OpenSymbol"/>
    </w:rPr>
  </w:style>
  <w:style w:type="character" w:styleId="ListLabel45" w:customStyle="1">
    <w:name w:val="ListLabel 45"/>
    <w:qFormat/>
    <w:rPr>
      <w:rFonts w:cs="OpenSymbol"/>
    </w:rPr>
  </w:style>
  <w:style w:type="character" w:styleId="ListLabel46" w:customStyle="1">
    <w:name w:val="ListLabel 46"/>
    <w:qFormat/>
    <w:rPr>
      <w:rFonts w:cs="OpenSymbol"/>
    </w:rPr>
  </w:style>
  <w:style w:type="character" w:styleId="ListLabel47" w:customStyle="1">
    <w:name w:val="ListLabel 47"/>
    <w:qFormat/>
    <w:rPr>
      <w:rFonts w:cs="OpenSymbol"/>
    </w:rPr>
  </w:style>
  <w:style w:type="character" w:styleId="ListLabel48" w:customStyle="1">
    <w:name w:val="ListLabel 48"/>
    <w:qFormat/>
    <w:rPr>
      <w:rFonts w:cs="OpenSymbol"/>
    </w:rPr>
  </w:style>
  <w:style w:type="character" w:styleId="ListLabel49" w:customStyle="1">
    <w:name w:val="ListLabel 49"/>
    <w:qFormat/>
    <w:rPr>
      <w:rFonts w:cs="OpenSymbol"/>
    </w:rPr>
  </w:style>
  <w:style w:type="character" w:styleId="ListLabel50" w:customStyle="1">
    <w:name w:val="ListLabel 50"/>
    <w:qFormat/>
    <w:rPr>
      <w:rFonts w:cs="OpenSymbol"/>
    </w:rPr>
  </w:style>
  <w:style w:type="character" w:styleId="ListLabel51" w:customStyle="1">
    <w:name w:val="ListLabel 51"/>
    <w:qFormat/>
    <w:rPr>
      <w:rFonts w:cs="OpenSymbol"/>
    </w:rPr>
  </w:style>
  <w:style w:type="character" w:styleId="ListLabel52" w:customStyle="1">
    <w:name w:val="ListLabel 52"/>
    <w:qFormat/>
    <w:rPr>
      <w:rFonts w:cs="OpenSymbol"/>
    </w:rPr>
  </w:style>
  <w:style w:type="character" w:styleId="ListLabel53" w:customStyle="1">
    <w:name w:val="ListLabel 53"/>
    <w:qFormat/>
    <w:rPr>
      <w:rFonts w:cs="OpenSymbol"/>
    </w:rPr>
  </w:style>
  <w:style w:type="character" w:styleId="ListLabel54" w:customStyle="1">
    <w:name w:val="ListLabel 54"/>
    <w:qFormat/>
    <w:rPr>
      <w:rFonts w:cs="OpenSymbol"/>
    </w:rPr>
  </w:style>
  <w:style w:type="character" w:styleId="ListLabel55" w:customStyle="1">
    <w:name w:val="ListLabel 55"/>
    <w:qFormat/>
    <w:rPr>
      <w:rFonts w:cs="OpenSymbol"/>
    </w:rPr>
  </w:style>
  <w:style w:type="character" w:styleId="ListLabel56" w:customStyle="1">
    <w:name w:val="ListLabel 56"/>
    <w:qFormat/>
    <w:rPr>
      <w:rFonts w:cs="OpenSymbol"/>
    </w:rPr>
  </w:style>
  <w:style w:type="character" w:styleId="ListLabel57" w:customStyle="1">
    <w:name w:val="ListLabel 57"/>
    <w:qFormat/>
    <w:rPr>
      <w:rFonts w:cs="OpenSymbol"/>
    </w:rPr>
  </w:style>
  <w:style w:type="character" w:styleId="ListLabel58" w:customStyle="1">
    <w:name w:val="ListLabel 58"/>
    <w:qFormat/>
    <w:rPr>
      <w:rFonts w:cs="OpenSymbol"/>
    </w:rPr>
  </w:style>
  <w:style w:type="character" w:styleId="ListLabel59" w:customStyle="1">
    <w:name w:val="ListLabel 59"/>
    <w:qFormat/>
    <w:rPr>
      <w:rFonts w:cs="OpenSymbol"/>
    </w:rPr>
  </w:style>
  <w:style w:type="character" w:styleId="ListLabel60" w:customStyle="1">
    <w:name w:val="ListLabel 60"/>
    <w:qFormat/>
    <w:rPr>
      <w:rFonts w:cs="OpenSymbol"/>
    </w:rPr>
  </w:style>
  <w:style w:type="character" w:styleId="ListLabel61" w:customStyle="1">
    <w:name w:val="ListLabel 61"/>
    <w:qFormat/>
    <w:rPr>
      <w:rFonts w:cs="OpenSymbol"/>
    </w:rPr>
  </w:style>
  <w:style w:type="character" w:styleId="ListLabel62" w:customStyle="1">
    <w:name w:val="ListLabel 62"/>
    <w:qFormat/>
    <w:rPr>
      <w:rFonts w:cs="OpenSymbol"/>
    </w:rPr>
  </w:style>
  <w:style w:type="character" w:styleId="ListLabel63" w:customStyle="1">
    <w:name w:val="ListLabel 63"/>
    <w:qFormat/>
    <w:rPr>
      <w:rFonts w:cs="OpenSymbol"/>
    </w:rPr>
  </w:style>
  <w:style w:type="character" w:styleId="ListLabel64">
    <w:name w:val="ListLabel 64"/>
    <w:qFormat/>
    <w:rPr>
      <w:rFonts w:cs="OpenSymbol"/>
      <w:b w:val="false"/>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b w:val="false"/>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cs="OpenSymbol"/>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b w:val="false"/>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b w:val="false"/>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cs="OpenSymbol"/>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cs="OpenSymbol"/>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b w:val="false"/>
    </w:rPr>
  </w:style>
  <w:style w:type="character" w:styleId="ListLabel191">
    <w:name w:val="ListLabel 191"/>
    <w:qFormat/>
    <w:rPr>
      <w:rFonts w:cs="OpenSymbol"/>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b w:val="false"/>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paragraph" w:styleId="Heading" w:customStyle="1">
    <w:name w:val="Heading"/>
    <w:basedOn w:val="Normal"/>
    <w:next w:val="TextBody"/>
    <w:qFormat/>
    <w:pPr>
      <w:keepNext/>
      <w:spacing w:before="240" w:after="120"/>
    </w:pPr>
    <w:rPr>
      <w:rFonts w:ascii="Liberation Sans" w:hAnsi="Liberation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NormalWeb">
    <w:name w:val="Normal (Web)"/>
    <w:basedOn w:val="Normal"/>
    <w:qFormat/>
    <w:pPr>
      <w:spacing w:before="280" w:after="280"/>
    </w:pPr>
    <w:rPr>
      <w:rFonts w:ascii="Times;Times New Roman" w:hAnsi="Times;Times New Roman" w:cs="Times New Roman"/>
      <w:sz w:val="20"/>
      <w:szCs w:val="20"/>
    </w:rPr>
  </w:style>
  <w:style w:type="paragraph" w:styleId="Footnotetext">
    <w:name w:val="footnote text"/>
    <w:basedOn w:val="Normal"/>
    <w:qFormat/>
    <w:pPr>
      <w:suppressLineNumbers/>
      <w:ind w:left="339" w:hanging="339"/>
    </w:pPr>
    <w:rPr>
      <w:sz w:val="20"/>
      <w:szCs w:val="20"/>
    </w:rPr>
  </w:style>
  <w:style w:type="paragraph" w:styleId="Footer">
    <w:name w:val="Footer"/>
    <w:basedOn w:val="Normal"/>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Application>LibreOffice/5.1.6.2$Linux_X86_64 LibreOffice_project/10m0$Build-2</Application>
  <Pages>9</Pages>
  <Words>1363</Words>
  <Characters>7280</Characters>
  <CharactersWithSpaces>8568</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2018-10-31T15:15:00Z</dcterms:created>
  <dc:creator/>
  <dc:description/>
  <dc:language>en-GB</dc:language>
  <cp:lastModifiedBy/>
  <dcterms:modified xsi:type="dcterms:W3CDTF">2019-01-21T12:14:15Z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