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228B7" w14:textId="153FB82F" w:rsidR="00545154" w:rsidRDefault="00545154" w:rsidP="0054515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1672">
        <w:rPr>
          <w:rFonts w:ascii="Times New Roman" w:hAnsi="Times New Roman" w:cs="Times New Roman"/>
          <w:b/>
          <w:sz w:val="28"/>
          <w:szCs w:val="28"/>
        </w:rPr>
        <w:t xml:space="preserve">Unbalanced calcium channel activity underlies </w:t>
      </w:r>
      <w:r w:rsidR="003F1A78">
        <w:rPr>
          <w:rFonts w:ascii="Times New Roman" w:hAnsi="Times New Roman" w:cs="Times New Roman"/>
          <w:b/>
          <w:sz w:val="28"/>
          <w:szCs w:val="28"/>
        </w:rPr>
        <w:t>selective</w:t>
      </w:r>
      <w:r w:rsidRPr="008E1672">
        <w:rPr>
          <w:rFonts w:ascii="Times New Roman" w:hAnsi="Times New Roman" w:cs="Times New Roman"/>
          <w:b/>
          <w:sz w:val="28"/>
          <w:szCs w:val="28"/>
        </w:rPr>
        <w:t xml:space="preserve"> vulnerability of </w:t>
      </w:r>
      <w:r w:rsidR="00787CBA">
        <w:rPr>
          <w:rFonts w:ascii="Times New Roman" w:hAnsi="Times New Roman" w:cs="Times New Roman"/>
          <w:b/>
          <w:sz w:val="28"/>
          <w:szCs w:val="28"/>
        </w:rPr>
        <w:t xml:space="preserve">nigrostriatal </w:t>
      </w:r>
      <w:r w:rsidRPr="008E1672">
        <w:rPr>
          <w:rFonts w:ascii="Times New Roman" w:hAnsi="Times New Roman" w:cs="Times New Roman"/>
          <w:b/>
          <w:sz w:val="28"/>
          <w:szCs w:val="28"/>
        </w:rPr>
        <w:t>dopaminergic terminals in Parkinsonian mice.</w:t>
      </w:r>
    </w:p>
    <w:p w14:paraId="23592208" w14:textId="58A8F175" w:rsidR="00545154" w:rsidRDefault="00545154" w:rsidP="0054515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1672">
        <w:rPr>
          <w:rFonts w:ascii="Times New Roman" w:hAnsi="Times New Roman" w:cs="Times New Roman"/>
          <w:sz w:val="24"/>
          <w:szCs w:val="24"/>
        </w:rPr>
        <w:t>Carmelo Sgobio</w:t>
      </w:r>
      <w:r w:rsidRPr="008E1672"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 w:rsidRPr="008E1672">
        <w:rPr>
          <w:rFonts w:ascii="Times New Roman" w:hAnsi="Times New Roman" w:cs="Times New Roman"/>
          <w:sz w:val="24"/>
          <w:szCs w:val="24"/>
        </w:rPr>
        <w:t>, Lixin Sun</w:t>
      </w:r>
      <w:r w:rsidRPr="008E167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E1672">
        <w:rPr>
          <w:rFonts w:ascii="Times New Roman" w:hAnsi="Times New Roman" w:cs="Times New Roman"/>
          <w:sz w:val="24"/>
          <w:szCs w:val="24"/>
        </w:rPr>
        <w:t>, Jinhui Ding</w:t>
      </w:r>
      <w:r w:rsidRPr="008E167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E1672">
        <w:rPr>
          <w:rFonts w:ascii="Times New Roman" w:hAnsi="Times New Roman" w:cs="Times New Roman"/>
          <w:sz w:val="24"/>
          <w:szCs w:val="24"/>
        </w:rPr>
        <w:t>, Jochen Herms</w:t>
      </w:r>
      <w:r w:rsidRPr="008E16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1672">
        <w:rPr>
          <w:rFonts w:ascii="Times New Roman" w:hAnsi="Times New Roman" w:cs="Times New Roman"/>
          <w:sz w:val="24"/>
          <w:szCs w:val="24"/>
        </w:rPr>
        <w:t>, David M. Lovinger</w:t>
      </w:r>
      <w:r w:rsidRPr="008E1672">
        <w:rPr>
          <w:rFonts w:ascii="Times New Roman" w:hAnsi="Times New Roman" w:cs="Times New Roman"/>
          <w:sz w:val="24"/>
          <w:szCs w:val="24"/>
          <w:vertAlign w:val="superscript"/>
        </w:rPr>
        <w:t>4, *</w:t>
      </w:r>
      <w:r w:rsidRPr="008E1672">
        <w:rPr>
          <w:rFonts w:ascii="Times New Roman" w:hAnsi="Times New Roman" w:cs="Times New Roman"/>
          <w:sz w:val="24"/>
          <w:szCs w:val="24"/>
        </w:rPr>
        <w:t xml:space="preserve">, </w:t>
      </w:r>
      <w:r w:rsidR="001A35EE">
        <w:rPr>
          <w:rFonts w:ascii="Times New Roman" w:hAnsi="Times New Roman" w:cs="Times New Roman"/>
          <w:sz w:val="24"/>
          <w:szCs w:val="24"/>
        </w:rPr>
        <w:t xml:space="preserve">and </w:t>
      </w:r>
      <w:bookmarkStart w:id="0" w:name="_GoBack"/>
      <w:bookmarkEnd w:id="0"/>
      <w:r w:rsidRPr="008E1672">
        <w:rPr>
          <w:rFonts w:ascii="Times New Roman" w:hAnsi="Times New Roman" w:cs="Times New Roman"/>
          <w:sz w:val="24"/>
          <w:szCs w:val="24"/>
        </w:rPr>
        <w:t>Huaibin Cai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="008361C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E1672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342AAC7C" w14:textId="77777777" w:rsidR="00545154" w:rsidRDefault="00545154" w:rsidP="00545154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A304BF" w14:textId="15FA08A7" w:rsidR="00545154" w:rsidRPr="00545154" w:rsidRDefault="00545154" w:rsidP="00545154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154">
        <w:rPr>
          <w:rFonts w:ascii="Times New Roman" w:hAnsi="Times New Roman" w:cs="Times New Roman"/>
          <w:b/>
          <w:sz w:val="28"/>
          <w:szCs w:val="28"/>
        </w:rPr>
        <w:t>Supplementary Figures and Figure Legends.</w:t>
      </w:r>
    </w:p>
    <w:p w14:paraId="699341D5" w14:textId="77777777" w:rsidR="00545154" w:rsidRDefault="00545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033AAD4" w14:textId="77777777" w:rsidR="00545154" w:rsidRPr="00545154" w:rsidRDefault="00545154" w:rsidP="0054515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154">
        <w:rPr>
          <w:rFonts w:ascii="Times New Roman" w:hAnsi="Times New Roman" w:cs="Times New Roman"/>
          <w:b/>
          <w:sz w:val="24"/>
          <w:szCs w:val="24"/>
        </w:rPr>
        <w:lastRenderedPageBreak/>
        <w:t>Fig. S1</w:t>
      </w:r>
    </w:p>
    <w:p w14:paraId="7A23832C" w14:textId="319AD5F2" w:rsidR="00545154" w:rsidRPr="00545154" w:rsidRDefault="00545154" w:rsidP="0054515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154">
        <w:rPr>
          <w:rFonts w:ascii="Times New Roman" w:hAnsi="Times New Roman" w:cs="Times New Roman"/>
          <w:b/>
          <w:noProof/>
          <w:sz w:val="24"/>
          <w:szCs w:val="24"/>
          <w:lang w:eastAsia="zh-CN"/>
        </w:rPr>
        <w:drawing>
          <wp:inline distT="0" distB="0" distL="0" distR="0" wp14:anchorId="1C0E7218" wp14:editId="0D2E8B1B">
            <wp:extent cx="4312920" cy="4218432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.FIG.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421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99AF9" w14:textId="5888DE7E" w:rsidR="00F97A33" w:rsidRPr="00545154" w:rsidRDefault="00545154" w:rsidP="006C49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154">
        <w:rPr>
          <w:rFonts w:ascii="Times New Roman" w:hAnsi="Times New Roman" w:cs="Times New Roman"/>
          <w:b/>
          <w:sz w:val="24"/>
          <w:szCs w:val="24"/>
        </w:rPr>
        <w:t>Fig. S1</w:t>
      </w:r>
      <w:r w:rsidR="00F97A33" w:rsidRPr="00545154">
        <w:rPr>
          <w:rFonts w:ascii="Times New Roman" w:hAnsi="Times New Roman" w:cs="Times New Roman"/>
          <w:b/>
          <w:sz w:val="24"/>
          <w:szCs w:val="24"/>
        </w:rPr>
        <w:t xml:space="preserve"> Reduction in DLS DA release, but no change in PreCaTs evoked by 6-pulse burst stimulation at different frequencies in A53T mutants versus controls.</w:t>
      </w:r>
      <w:r w:rsidR="00F97A33" w:rsidRPr="00545154">
        <w:rPr>
          <w:rFonts w:ascii="Times New Roman" w:hAnsi="Times New Roman" w:cs="Times New Roman"/>
          <w:sz w:val="24"/>
          <w:szCs w:val="24"/>
        </w:rPr>
        <w:t xml:space="preserve"> (A) DA release in both genotypes was comparable at all stimulus frequencies in DLS but was lower at all frequencies in A53T mutant mice (Two-way ANOVA Genotype MAIN FACTOR F(1,7) = 6.254, p&lt;0.05; Frequency MAIN FACTOR F(3,21) = 5.166, p&lt; 0.01 ). (B) In VS, DA release increased with increasing frequencies in both genotypes, with comparable release in both genotypes at each frequency (Two-way ANOVA Frequency MAIN FACTOR F(3,21) = 13.39, p&lt;0.001). On the other hand, photometry recordings showed no difference in concurrently measured PreCaTs due to genotype in DLS (C) (Two-way ANOVA Frequency MAIN FACTOR F(3,21) = 30.54, p&lt;0.001or VS (D) ( Two-way ANOVA Genotype MAIN FACTOR F(3,24) = 47.44, p&lt;0.001).</w:t>
      </w:r>
    </w:p>
    <w:p w14:paraId="7998B8F5" w14:textId="77777777" w:rsidR="00E04C65" w:rsidRDefault="00E04C65" w:rsidP="00545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C79A0" w14:textId="75EFD805" w:rsidR="00E04C65" w:rsidRDefault="00E04C65" w:rsidP="006C49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E04C65">
        <w:rPr>
          <w:rFonts w:ascii="Times New Roman" w:hAnsi="Times New Roman" w:cs="Times New Roman"/>
          <w:b/>
          <w:sz w:val="24"/>
          <w:szCs w:val="24"/>
        </w:rPr>
        <w:lastRenderedPageBreak/>
        <w:t>Fig. S2</w:t>
      </w:r>
    </w:p>
    <w:p w14:paraId="2C3F5797" w14:textId="2231C0F6" w:rsidR="00E04C65" w:rsidRPr="00E04C65" w:rsidRDefault="00E04C65" w:rsidP="0054515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zh-CN"/>
        </w:rPr>
        <w:drawing>
          <wp:inline distT="0" distB="0" distL="0" distR="0" wp14:anchorId="69C4740F" wp14:editId="164ECF1F">
            <wp:extent cx="5507736" cy="2139696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.FIG.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736" cy="213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2DB3F" w14:textId="77777777" w:rsidR="00E04C65" w:rsidRDefault="00E04C65" w:rsidP="00545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B468F" w14:textId="105EA22B" w:rsidR="00CE0246" w:rsidRDefault="00E04C65" w:rsidP="006C49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C65">
        <w:rPr>
          <w:rFonts w:ascii="Times New Roman" w:hAnsi="Times New Roman" w:cs="Times New Roman"/>
          <w:b/>
          <w:sz w:val="24"/>
          <w:szCs w:val="24"/>
        </w:rPr>
        <w:t>Fig. S2</w:t>
      </w:r>
      <w:r w:rsidR="00F97A33" w:rsidRPr="00E04C65">
        <w:rPr>
          <w:rFonts w:ascii="Times New Roman" w:hAnsi="Times New Roman" w:cs="Times New Roman"/>
          <w:b/>
          <w:sz w:val="24"/>
          <w:szCs w:val="24"/>
        </w:rPr>
        <w:t xml:space="preserve"> L- and T-type calcium channels showed no significant role in DA terminal PreCaTs under single pulse stimulation protocol</w:t>
      </w:r>
      <w:r w:rsidRPr="00E04C6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7A33" w:rsidRPr="00545154">
        <w:rPr>
          <w:rFonts w:ascii="Times New Roman" w:hAnsi="Times New Roman" w:cs="Times New Roman"/>
          <w:sz w:val="24"/>
          <w:szCs w:val="24"/>
        </w:rPr>
        <w:t xml:space="preserve">(A)  Nifedipine (NIF), an L-type channel blocker, did not affect PreCaTs in either striatal region of control mice or A53T mice. (B) Application of the highly selective T-type calcium channel blocker NNC 55-0396 dihydrochloride (NNC) had no effect on PreCaTs in either control or A53T slices from both striatal regions (Repeated measures ANOVA not significant (DLS: F(4) = 2.478, p&gt;0.05; VS: F(4) = 1.476. p&gt;0.05). </w:t>
      </w:r>
    </w:p>
    <w:p w14:paraId="197FF595" w14:textId="77777777" w:rsidR="00CE0246" w:rsidRDefault="00CE0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2627E2" w14:textId="0C66803D" w:rsidR="00CE0246" w:rsidRDefault="00CE0246" w:rsidP="006C49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Fig. S3</w:t>
      </w:r>
    </w:p>
    <w:p w14:paraId="62346DA1" w14:textId="535268F2" w:rsidR="00020900" w:rsidRDefault="00CE0246" w:rsidP="006C49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2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032258" wp14:editId="490F3BEA">
            <wp:extent cx="5943600" cy="26689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0DC04" w14:textId="1F553F9A" w:rsidR="00CE0246" w:rsidRDefault="00CE0246" w:rsidP="006C49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45B63E" w14:textId="5E402919" w:rsidR="00CE0246" w:rsidRPr="005D4F0F" w:rsidRDefault="005D4F0F" w:rsidP="00CE0246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Fig</w:t>
      </w:r>
      <w:r w:rsidR="00CE0246" w:rsidRPr="005D4F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S</w:t>
      </w:r>
      <w:r w:rsidR="00CE0246" w:rsidRPr="005D4F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 TH-positive fiber striatal innervation is reduced in DLS but not in VS of A53T mutants.</w:t>
      </w:r>
    </w:p>
    <w:p w14:paraId="376D462F" w14:textId="77777777" w:rsidR="00CE0246" w:rsidRPr="005D4F0F" w:rsidRDefault="00CE0246" w:rsidP="00CE0246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D4F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(A) Representative confocal images of TH-positive dopaminergic fibers in DLS. Scale bar: 5 µm. DLS (B) and VS (C) average area covered by TH-positive fibers in consecutive coronal sections of striata (left) and in total (right). Only in DLS, the area covered by TH-positive fiber was significantly lower than controls (Student’s t test: t</w:t>
      </w:r>
      <w:r w:rsidRPr="005D4F0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(54)</w:t>
      </w:r>
      <w:r w:rsidRPr="005D4F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=2.826, p&lt;0.05).  (E) A significant reduction of observed puncta frequencies, smaller than 0.25 µm</w:t>
      </w:r>
      <w:r w:rsidRPr="005D4F0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5D4F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was detected in DLS of A53T mutants (Two-way ANOVA Genotype x Size Interaction Factor F</w:t>
      </w:r>
      <w:r w:rsidRPr="005D4F0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(63,256)</w:t>
      </w:r>
      <w:r w:rsidRPr="005D4F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= 10.25, p&lt;0.001; Bonferroni’s </w:t>
      </w:r>
      <w:r w:rsidRPr="005D4F0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post hoc</w:t>
      </w:r>
      <w:r w:rsidRPr="005D4F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test: ***p&lt;0.001). In VS of A53T mutants, less small size puncta (</w:t>
      </w:r>
      <w:r w:rsidRPr="005D4F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&lt;</w:t>
      </w:r>
      <w:r w:rsidRPr="005D4F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 µm</w:t>
      </w:r>
      <w:r w:rsidRPr="005D4F0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5D4F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but more middle size (between .35 and .5 µm</w:t>
      </w:r>
      <w:r w:rsidRPr="005D4F0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5D4F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were detected (Interaction Factor F</w:t>
      </w:r>
      <w:r w:rsidRPr="005D4F0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(63,256)</w:t>
      </w:r>
      <w:r w:rsidRPr="005D4F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= 2.778, p&lt;0.001; Bonferroni’s </w:t>
      </w:r>
      <w:r w:rsidRPr="005D4F0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post hoc</w:t>
      </w:r>
      <w:r w:rsidRPr="005D4F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test: *p&lt;0.05, **p&lt;0.01,***p&lt;0.001).</w:t>
      </w:r>
    </w:p>
    <w:p w14:paraId="2475A8A0" w14:textId="77777777" w:rsidR="00CE0246" w:rsidRPr="00545154" w:rsidRDefault="00CE0246" w:rsidP="006C49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0246" w:rsidRPr="00545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A33"/>
    <w:rsid w:val="00020900"/>
    <w:rsid w:val="00025A65"/>
    <w:rsid w:val="00097B86"/>
    <w:rsid w:val="001A35EE"/>
    <w:rsid w:val="003F1A78"/>
    <w:rsid w:val="004D5783"/>
    <w:rsid w:val="00545154"/>
    <w:rsid w:val="005D4F0F"/>
    <w:rsid w:val="006C490B"/>
    <w:rsid w:val="00787CBA"/>
    <w:rsid w:val="008361C7"/>
    <w:rsid w:val="00CE0246"/>
    <w:rsid w:val="00E04C65"/>
    <w:rsid w:val="00E150FD"/>
    <w:rsid w:val="00F9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FC90F"/>
  <w15:chartTrackingRefBased/>
  <w15:docId w15:val="{9C15F8EE-8F65-42EF-8E68-D1B20D33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Sgobio</dc:creator>
  <cp:keywords/>
  <dc:description/>
  <cp:lastModifiedBy>Cai, Huaibin (NIH/NIA) [E]</cp:lastModifiedBy>
  <cp:revision>5</cp:revision>
  <dcterms:created xsi:type="dcterms:W3CDTF">2019-01-22T16:26:00Z</dcterms:created>
  <dcterms:modified xsi:type="dcterms:W3CDTF">2019-01-24T20:13:00Z</dcterms:modified>
</cp:coreProperties>
</file>