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EE6B8E">
        <w:rPr>
          <w:rFonts w:ascii="Arial" w:hAnsi="Arial" w:cs="Arial"/>
          <w:b/>
          <w:bCs/>
        </w:rPr>
        <w:t>Title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EE6B8E">
        <w:rPr>
          <w:rFonts w:ascii="Arial" w:hAnsi="Arial" w:cs="Arial"/>
        </w:rPr>
        <w:t>MR1 recycling and blockade of endosomal trafficking reveal distinguishable antigen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proofErr w:type="gramStart"/>
      <w:r w:rsidRPr="00EE6B8E">
        <w:rPr>
          <w:rFonts w:ascii="Arial" w:hAnsi="Arial" w:cs="Arial"/>
        </w:rPr>
        <w:t>presentation</w:t>
      </w:r>
      <w:proofErr w:type="gramEnd"/>
      <w:r w:rsidRPr="00EE6B8E">
        <w:rPr>
          <w:rFonts w:ascii="Arial" w:hAnsi="Arial" w:cs="Arial"/>
        </w:rPr>
        <w:t xml:space="preserve"> pathways between </w:t>
      </w:r>
      <w:r w:rsidRPr="00EE6B8E">
        <w:rPr>
          <w:rFonts w:ascii="Arial" w:hAnsi="Arial" w:cs="Arial"/>
          <w:i/>
          <w:iCs/>
        </w:rPr>
        <w:t xml:space="preserve">Mycobacterium tuberculosis </w:t>
      </w:r>
      <w:r w:rsidRPr="00EE6B8E">
        <w:rPr>
          <w:rFonts w:ascii="Arial" w:hAnsi="Arial" w:cs="Arial"/>
        </w:rPr>
        <w:t>infection and exogenously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proofErr w:type="gramStart"/>
      <w:r w:rsidRPr="00EE6B8E">
        <w:rPr>
          <w:rFonts w:ascii="Arial" w:hAnsi="Arial" w:cs="Arial"/>
        </w:rPr>
        <w:t>delivered</w:t>
      </w:r>
      <w:proofErr w:type="gramEnd"/>
      <w:r w:rsidRPr="00EE6B8E">
        <w:rPr>
          <w:rFonts w:ascii="Arial" w:hAnsi="Arial" w:cs="Arial"/>
        </w:rPr>
        <w:t xml:space="preserve"> antigens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  <w:b/>
          <w:bCs/>
        </w:rPr>
      </w:pPr>
      <w:r w:rsidRPr="00EE6B8E">
        <w:rPr>
          <w:rFonts w:ascii="Arial" w:hAnsi="Arial" w:cs="Arial"/>
          <w:b/>
          <w:bCs/>
        </w:rPr>
        <w:t>Authors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EE6B8E">
        <w:rPr>
          <w:rFonts w:ascii="Arial" w:hAnsi="Arial" w:cs="Arial"/>
        </w:rPr>
        <w:t>Elham Karamooz1</w:t>
      </w:r>
      <w:proofErr w:type="gramStart"/>
      <w:r w:rsidRPr="00EE6B8E">
        <w:rPr>
          <w:rFonts w:ascii="Arial" w:hAnsi="Arial" w:cs="Arial"/>
        </w:rPr>
        <w:t>,2</w:t>
      </w:r>
      <w:proofErr w:type="gramEnd"/>
      <w:r w:rsidRPr="00EE6B8E">
        <w:rPr>
          <w:rFonts w:ascii="Arial" w:hAnsi="Arial" w:cs="Arial"/>
        </w:rPr>
        <w:t xml:space="preserve">,*, Melanie J. Harriff1,2, </w:t>
      </w:r>
      <w:proofErr w:type="spellStart"/>
      <w:r w:rsidRPr="00EE6B8E">
        <w:rPr>
          <w:rFonts w:ascii="Arial" w:hAnsi="Arial" w:cs="Arial"/>
        </w:rPr>
        <w:t>Gitanjali</w:t>
      </w:r>
      <w:proofErr w:type="spellEnd"/>
      <w:r w:rsidRPr="00EE6B8E">
        <w:rPr>
          <w:rFonts w:ascii="Arial" w:hAnsi="Arial" w:cs="Arial"/>
        </w:rPr>
        <w:t xml:space="preserve"> A. Narayanan 2, </w:t>
      </w:r>
      <w:proofErr w:type="spellStart"/>
      <w:r w:rsidRPr="00EE6B8E">
        <w:rPr>
          <w:rFonts w:ascii="Arial" w:hAnsi="Arial" w:cs="Arial"/>
        </w:rPr>
        <w:t>Aneta</w:t>
      </w:r>
      <w:proofErr w:type="spellEnd"/>
      <w:r w:rsidRPr="00EE6B8E">
        <w:rPr>
          <w:rFonts w:ascii="Arial" w:hAnsi="Arial" w:cs="Arial"/>
        </w:rPr>
        <w:t xml:space="preserve"> Worley2,</w:t>
      </w:r>
    </w:p>
    <w:p w:rsidR="00EE6B8E" w:rsidRPr="00EE6B8E" w:rsidRDefault="00EE6B8E" w:rsidP="00EE6B8E">
      <w:pPr>
        <w:autoSpaceDE w:val="0"/>
        <w:autoSpaceDN w:val="0"/>
        <w:adjustRightInd w:val="0"/>
        <w:spacing w:line="480" w:lineRule="auto"/>
        <w:rPr>
          <w:rFonts w:ascii="Arial" w:hAnsi="Arial" w:cs="Arial"/>
        </w:rPr>
      </w:pPr>
      <w:r w:rsidRPr="00EE6B8E">
        <w:rPr>
          <w:rFonts w:ascii="Arial" w:hAnsi="Arial" w:cs="Arial"/>
        </w:rPr>
        <w:t>David M. Lewinsohn1</w:t>
      </w:r>
      <w:proofErr w:type="gramStart"/>
      <w:r w:rsidRPr="00EE6B8E">
        <w:rPr>
          <w:rFonts w:ascii="Arial" w:hAnsi="Arial" w:cs="Arial"/>
        </w:rPr>
        <w:t>,2</w:t>
      </w:r>
      <w:proofErr w:type="gramEnd"/>
      <w:r w:rsidRPr="00EE6B8E">
        <w:rPr>
          <w:rFonts w:ascii="Arial" w:hAnsi="Arial" w:cs="Arial"/>
        </w:rPr>
        <w:t>,*</w:t>
      </w:r>
    </w:p>
    <w:p w:rsidR="002E6425" w:rsidRPr="00EE6B8E" w:rsidRDefault="00EE6B8E" w:rsidP="00EE6B8E">
      <w:pPr>
        <w:spacing w:line="480" w:lineRule="auto"/>
        <w:rPr>
          <w:noProof/>
        </w:rPr>
      </w:pPr>
      <w:r w:rsidRPr="00EE6B8E">
        <w:rPr>
          <w:rFonts w:ascii="Arial" w:hAnsi="Arial" w:cs="Arial"/>
        </w:rPr>
        <w:t>*corresponding authors</w:t>
      </w: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EE6B8E">
      <w:pPr>
        <w:rPr>
          <w:noProof/>
        </w:rPr>
      </w:pPr>
    </w:p>
    <w:p w:rsidR="00EE6B8E" w:rsidRDefault="00761C4E">
      <w:pPr>
        <w:rPr>
          <w:noProof/>
        </w:rPr>
      </w:pPr>
      <w:r>
        <w:object w:dxaOrig="5617" w:dyaOrig="565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0.5pt;height:282.75pt" o:ole="">
            <v:imagedata r:id="rId5" o:title=""/>
          </v:shape>
          <o:OLEObject Type="Embed" ProgID="Prism5.Document" ShapeID="_x0000_i1025" DrawAspect="Content" ObjectID="_1611642052" r:id="rId6"/>
        </w:object>
      </w:r>
    </w:p>
    <w:p w:rsidR="00EE6B8E" w:rsidRDefault="00EE6B8E">
      <w:pPr>
        <w:rPr>
          <w:noProof/>
        </w:rPr>
      </w:pPr>
    </w:p>
    <w:p w:rsidR="00B547AC" w:rsidRDefault="007142AE">
      <w:pPr>
        <w:rPr>
          <w:rFonts w:ascii="Arial" w:hAnsi="Arial" w:cs="Arial"/>
          <w:color w:val="000000" w:themeColor="text1"/>
        </w:rPr>
      </w:pPr>
      <w:bookmarkStart w:id="0" w:name="OLE_LINK1"/>
      <w:r w:rsidRPr="007142AE">
        <w:rPr>
          <w:rFonts w:ascii="Arial" w:hAnsi="Arial" w:cs="Arial"/>
          <w:b/>
          <w:noProof/>
          <w:color w:val="000000" w:themeColor="text1"/>
        </w:rPr>
        <w:t>Supplementary Figure S1</w:t>
      </w:r>
      <w:bookmarkEnd w:id="0"/>
      <w:r w:rsidRPr="007142AE">
        <w:rPr>
          <w:rFonts w:ascii="Arial" w:hAnsi="Arial" w:cs="Arial"/>
          <w:b/>
          <w:noProof/>
          <w:color w:val="000000" w:themeColor="text1"/>
        </w:rPr>
        <w:t xml:space="preserve">: 6-FP has no effect on </w:t>
      </w:r>
      <w:r w:rsidRPr="007142AE">
        <w:rPr>
          <w:rFonts w:ascii="Arial" w:hAnsi="Arial" w:cs="Arial"/>
          <w:b/>
          <w:color w:val="000000" w:themeColor="text1"/>
        </w:rPr>
        <w:t>IFN-γ release by the MR1 clone D426-G11</w:t>
      </w:r>
      <w:r w:rsidRPr="007142AE">
        <w:rPr>
          <w:rFonts w:ascii="Arial" w:hAnsi="Arial" w:cs="Arial"/>
          <w:color w:val="000000" w:themeColor="text1"/>
        </w:rPr>
        <w:t xml:space="preserve">. </w:t>
      </w:r>
    </w:p>
    <w:p w:rsidR="00B547AC" w:rsidRDefault="00B547AC">
      <w:pPr>
        <w:rPr>
          <w:rFonts w:ascii="Arial" w:hAnsi="Arial" w:cs="Arial"/>
          <w:color w:val="000000" w:themeColor="text1"/>
        </w:rPr>
      </w:pPr>
    </w:p>
    <w:p w:rsidR="007142AE" w:rsidRPr="007142AE" w:rsidRDefault="007142AE">
      <w:pPr>
        <w:rPr>
          <w:rFonts w:ascii="Arial" w:hAnsi="Arial" w:cs="Arial"/>
          <w:noProof/>
          <w:color w:val="000000" w:themeColor="text1"/>
        </w:rPr>
      </w:pPr>
      <w:r w:rsidRPr="007142AE">
        <w:rPr>
          <w:rFonts w:ascii="Arial" w:hAnsi="Arial" w:cs="Arial"/>
          <w:color w:val="000000" w:themeColor="text1"/>
        </w:rPr>
        <w:t xml:space="preserve">BEAS-2B pretreated with 6-FP or control vehicle were used at 10,000 antigen presenting cells per well in the absence of any MR1 antigens. D426-G11 MR1-restricted T cells were added at 10,000 per well. </w:t>
      </w:r>
      <w:proofErr w:type="spellStart"/>
      <w:r w:rsidRPr="007142AE">
        <w:rPr>
          <w:rStyle w:val="st1"/>
          <w:rFonts w:ascii="Arial" w:hAnsi="Arial" w:cs="Arial"/>
          <w:color w:val="000000" w:themeColor="text1"/>
          <w:lang w:val="en"/>
        </w:rPr>
        <w:t>Phytohemagglutin</w:t>
      </w:r>
      <w:proofErr w:type="spellEnd"/>
      <w:r w:rsidR="00727E9B">
        <w:rPr>
          <w:rStyle w:val="st1"/>
          <w:rFonts w:ascii="Arial" w:hAnsi="Arial" w:cs="Arial"/>
          <w:color w:val="000000" w:themeColor="text1"/>
          <w:lang w:val="en"/>
        </w:rPr>
        <w:t xml:space="preserve"> (PHA)</w:t>
      </w:r>
      <w:r w:rsidRPr="007142AE">
        <w:rPr>
          <w:rStyle w:val="st1"/>
          <w:rFonts w:ascii="Arial" w:hAnsi="Arial" w:cs="Arial"/>
          <w:color w:val="000000" w:themeColor="text1"/>
          <w:lang w:val="en"/>
        </w:rPr>
        <w:t xml:space="preserve"> is shown as the control for T cell activation. </w:t>
      </w:r>
      <w:r w:rsidRPr="007142AE">
        <w:rPr>
          <w:rFonts w:ascii="Arial" w:hAnsi="Arial" w:cs="Arial"/>
        </w:rPr>
        <w:t xml:space="preserve">Mean and SEM from technical replicates are plotted. </w:t>
      </w:r>
      <w:r w:rsidRPr="007142AE">
        <w:rPr>
          <w:rStyle w:val="st1"/>
          <w:rFonts w:ascii="Arial" w:hAnsi="Arial" w:cs="Arial"/>
          <w:color w:val="000000" w:themeColor="text1"/>
          <w:lang w:val="en"/>
        </w:rPr>
        <w:t xml:space="preserve"> </w:t>
      </w:r>
    </w:p>
    <w:p w:rsidR="007142AE" w:rsidRPr="007142AE" w:rsidRDefault="007142AE">
      <w:pPr>
        <w:rPr>
          <w:rFonts w:ascii="Arial" w:hAnsi="Arial" w:cs="Arial"/>
          <w:noProof/>
        </w:rPr>
      </w:pPr>
    </w:p>
    <w:p w:rsidR="00EE6B8E" w:rsidRDefault="00EE6B8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761C4E">
      <w:pPr>
        <w:rPr>
          <w:noProof/>
        </w:rPr>
      </w:pPr>
    </w:p>
    <w:p w:rsidR="00761C4E" w:rsidRDefault="00037324">
      <w:r>
        <w:object w:dxaOrig="3975" w:dyaOrig="6898">
          <v:shape id="_x0000_i1026" type="#_x0000_t75" style="width:198.75pt;height:345pt" o:ole="">
            <v:imagedata r:id="rId7" o:title=""/>
          </v:shape>
          <o:OLEObject Type="Embed" ProgID="Prism5.Document" ShapeID="_x0000_i1026" DrawAspect="Content" ObjectID="_1611642053" r:id="rId8"/>
        </w:object>
      </w:r>
    </w:p>
    <w:p w:rsidR="00037324" w:rsidRDefault="00037324"/>
    <w:p w:rsidR="00037324" w:rsidRDefault="00037324" w:rsidP="00037324">
      <w:pPr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>Supplementary Figure S2: Relative expression of MR1 in A549 MR1</w:t>
      </w:r>
      <w:r>
        <w:rPr>
          <w:rFonts w:ascii="Arial" w:hAnsi="Arial" w:cs="Arial"/>
          <w:b/>
          <w:noProof/>
          <w:color w:val="000000" w:themeColor="text1"/>
          <w:vertAlign w:val="superscript"/>
        </w:rPr>
        <w:t>-/-</w:t>
      </w:r>
      <w:r>
        <w:rPr>
          <w:rFonts w:ascii="Arial" w:hAnsi="Arial" w:cs="Arial"/>
          <w:b/>
          <w:noProof/>
          <w:color w:val="000000" w:themeColor="text1"/>
        </w:rPr>
        <w:t xml:space="preserve"> : MR1GFP compared to BEAS-2B. </w:t>
      </w:r>
    </w:p>
    <w:p w:rsidR="00023476" w:rsidRDefault="00023476" w:rsidP="00037324">
      <w:pPr>
        <w:rPr>
          <w:rFonts w:ascii="Arial" w:hAnsi="Arial" w:cs="Arial"/>
          <w:b/>
          <w:noProof/>
          <w:color w:val="000000" w:themeColor="text1"/>
        </w:rPr>
      </w:pPr>
    </w:p>
    <w:p w:rsidR="00023476" w:rsidRPr="00023476" w:rsidRDefault="00023476" w:rsidP="00037324">
      <w:pPr>
        <w:rPr>
          <w:noProof/>
        </w:rPr>
      </w:pPr>
      <w:r w:rsidRPr="00023476">
        <w:rPr>
          <w:rFonts w:ascii="Arial" w:hAnsi="Arial" w:cs="Arial"/>
          <w:noProof/>
          <w:color w:val="000000" w:themeColor="text1"/>
        </w:rPr>
        <w:t xml:space="preserve">qPCR of MR1 was performed as discussed in Figure 1C. </w:t>
      </w:r>
      <w:r w:rsidR="008222B5">
        <w:rPr>
          <w:rFonts w:ascii="Arial" w:hAnsi="Arial" w:cs="Arial"/>
          <w:noProof/>
          <w:color w:val="000000" w:themeColor="text1"/>
        </w:rPr>
        <w:t xml:space="preserve">The amount of </w:t>
      </w:r>
      <w:r w:rsidR="00514E0F">
        <w:rPr>
          <w:rFonts w:ascii="Arial" w:hAnsi="Arial" w:cs="Arial"/>
          <w:noProof/>
          <w:color w:val="000000" w:themeColor="text1"/>
        </w:rPr>
        <w:t xml:space="preserve">MR1 </w:t>
      </w:r>
      <w:r w:rsidR="008222B5">
        <w:rPr>
          <w:rFonts w:ascii="Arial" w:hAnsi="Arial" w:cs="Arial"/>
          <w:noProof/>
          <w:color w:val="000000" w:themeColor="text1"/>
        </w:rPr>
        <w:t xml:space="preserve">from BEAS-2B </w:t>
      </w:r>
      <w:r w:rsidR="00514E0F">
        <w:rPr>
          <w:rFonts w:ascii="Arial" w:hAnsi="Arial" w:cs="Arial"/>
          <w:noProof/>
          <w:color w:val="000000" w:themeColor="text1"/>
        </w:rPr>
        <w:t>was normalized to 1</w:t>
      </w:r>
      <w:bookmarkStart w:id="1" w:name="_GoBack"/>
      <w:bookmarkEnd w:id="1"/>
      <w:r w:rsidR="00514E0F">
        <w:rPr>
          <w:rFonts w:ascii="Arial" w:hAnsi="Arial" w:cs="Arial"/>
          <w:noProof/>
          <w:color w:val="000000" w:themeColor="text1"/>
        </w:rPr>
        <w:t xml:space="preserve">. </w:t>
      </w:r>
    </w:p>
    <w:p w:rsidR="00037324" w:rsidRDefault="00037324"/>
    <w:p w:rsidR="00037324" w:rsidRDefault="00037324">
      <w:pPr>
        <w:rPr>
          <w:noProof/>
        </w:rPr>
      </w:pPr>
    </w:p>
    <w:p w:rsidR="00037324" w:rsidRDefault="00037324">
      <w:pPr>
        <w:rPr>
          <w:noProof/>
        </w:rPr>
      </w:pPr>
    </w:p>
    <w:p w:rsidR="00037324" w:rsidRDefault="00037324">
      <w:pPr>
        <w:rPr>
          <w:noProof/>
        </w:rPr>
      </w:pPr>
    </w:p>
    <w:p w:rsidR="00037324" w:rsidRDefault="00037324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  <w:r>
        <w:rPr>
          <w:noProof/>
        </w:rPr>
        <w:drawing>
          <wp:inline distT="0" distB="0" distL="0" distR="0" wp14:anchorId="7348525A" wp14:editId="388C42DA">
            <wp:extent cx="5943600" cy="259207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592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>
      <w:pPr>
        <w:rPr>
          <w:noProof/>
        </w:rPr>
      </w:pPr>
    </w:p>
    <w:p w:rsidR="00E66215" w:rsidRDefault="00E66215" w:rsidP="00E66215">
      <w:pPr>
        <w:rPr>
          <w:rFonts w:ascii="Arial" w:hAnsi="Arial" w:cs="Arial"/>
          <w:b/>
          <w:noProof/>
          <w:color w:val="000000" w:themeColor="text1"/>
        </w:rPr>
      </w:pPr>
      <w:r>
        <w:rPr>
          <w:rFonts w:ascii="Arial" w:hAnsi="Arial" w:cs="Arial"/>
          <w:b/>
          <w:noProof/>
          <w:color w:val="000000" w:themeColor="text1"/>
        </w:rPr>
        <w:t xml:space="preserve">Supplementary Figure S3: Full-length blot of Figure 3B.  </w:t>
      </w:r>
    </w:p>
    <w:p w:rsidR="00E66215" w:rsidRDefault="00E66215"/>
    <w:p w:rsidR="00EE6B8E" w:rsidRDefault="00EE6B8E"/>
    <w:sectPr w:rsidR="00EE6B8E" w:rsidSect="00214D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00007843" w:usb2="00000001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6B8E"/>
    <w:rsid w:val="00023476"/>
    <w:rsid w:val="00037324"/>
    <w:rsid w:val="00214D1A"/>
    <w:rsid w:val="002E6425"/>
    <w:rsid w:val="00514E0F"/>
    <w:rsid w:val="007142AE"/>
    <w:rsid w:val="00727E9B"/>
    <w:rsid w:val="00761C4E"/>
    <w:rsid w:val="008222B5"/>
    <w:rsid w:val="00B547AC"/>
    <w:rsid w:val="00E66215"/>
    <w:rsid w:val="00EE6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B8E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7142A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E6B8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E6B8E"/>
    <w:rPr>
      <w:rFonts w:ascii="Tahoma" w:hAnsi="Tahoma" w:cs="Tahoma"/>
      <w:sz w:val="16"/>
      <w:szCs w:val="16"/>
    </w:rPr>
  </w:style>
  <w:style w:type="character" w:customStyle="1" w:styleId="st1">
    <w:name w:val="st1"/>
    <w:basedOn w:val="DefaultParagraphFont"/>
    <w:rsid w:val="007142A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2.bin"/><Relationship Id="rId3" Type="http://schemas.openxmlformats.org/officeDocument/2006/relationships/settings" Target="settings.xml"/><Relationship Id="rId7" Type="http://schemas.openxmlformats.org/officeDocument/2006/relationships/image" Target="media/image2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168</Words>
  <Characters>960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OHSU</Company>
  <LinksUpToDate>false</LinksUpToDate>
  <CharactersWithSpaces>1126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Elly Karamooz</dc:creator>
  <cp:lastModifiedBy>Elly Karamooz</cp:lastModifiedBy>
  <cp:revision>11</cp:revision>
  <dcterms:created xsi:type="dcterms:W3CDTF">2019-02-09T00:44:00Z</dcterms:created>
  <dcterms:modified xsi:type="dcterms:W3CDTF">2019-02-14T17:34:00Z</dcterms:modified>
</cp:coreProperties>
</file>