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92638" w14:textId="77777777" w:rsidR="005234C4" w:rsidRPr="00DD74B7" w:rsidRDefault="005234C4" w:rsidP="005234C4">
      <w:pPr>
        <w:spacing w:line="480" w:lineRule="auto"/>
        <w:rPr>
          <w:rFonts w:ascii="Calibri" w:hAnsi="Calibri" w:cs="Calibri"/>
          <w:b/>
          <w:bCs/>
          <w:sz w:val="28"/>
          <w:szCs w:val="28"/>
        </w:rPr>
      </w:pPr>
      <w:r w:rsidRPr="00DD74B7">
        <w:rPr>
          <w:rFonts w:ascii="Calibri" w:hAnsi="Calibri" w:cs="Calibri"/>
          <w:b/>
          <w:bCs/>
          <w:sz w:val="28"/>
          <w:szCs w:val="28"/>
        </w:rPr>
        <w:t>Title:  Personalized repetitive transcranial magnetic stimulation</w:t>
      </w:r>
      <w:r w:rsidR="00B1178E" w:rsidRPr="00DD74B7">
        <w:rPr>
          <w:rFonts w:ascii="Calibri" w:hAnsi="Calibri" w:cs="Calibri"/>
          <w:b/>
          <w:bCs/>
          <w:sz w:val="28"/>
          <w:szCs w:val="28"/>
        </w:rPr>
        <w:t xml:space="preserve"> </w:t>
      </w:r>
      <w:r w:rsidRPr="00DD74B7">
        <w:rPr>
          <w:rFonts w:ascii="Calibri" w:hAnsi="Calibri" w:cs="Calibri"/>
          <w:b/>
          <w:bCs/>
          <w:sz w:val="28"/>
          <w:szCs w:val="28"/>
        </w:rPr>
        <w:t>temporarily alters default mode network in healthy subjects</w:t>
      </w:r>
    </w:p>
    <w:p w14:paraId="2C0C0DD5" w14:textId="77777777" w:rsidR="005234C4" w:rsidRPr="00DD74B7" w:rsidRDefault="005234C4" w:rsidP="005234C4">
      <w:pPr>
        <w:pStyle w:val="Teaser"/>
        <w:spacing w:line="480" w:lineRule="auto"/>
        <w:rPr>
          <w:rFonts w:ascii="Calibri" w:hAnsi="Calibri" w:cs="Calibri"/>
          <w:sz w:val="28"/>
          <w:szCs w:val="28"/>
        </w:rPr>
      </w:pPr>
      <w:r w:rsidRPr="00DD74B7">
        <w:rPr>
          <w:rFonts w:ascii="Calibri" w:hAnsi="Calibri" w:cs="Calibri"/>
          <w:b/>
          <w:sz w:val="28"/>
          <w:szCs w:val="28"/>
        </w:rPr>
        <w:t>Authors:</w:t>
      </w:r>
      <w:r w:rsidR="00B1178E" w:rsidRPr="00DD74B7">
        <w:rPr>
          <w:rFonts w:ascii="Calibri" w:hAnsi="Calibri" w:cs="Calibri"/>
          <w:b/>
          <w:sz w:val="28"/>
          <w:szCs w:val="28"/>
        </w:rPr>
        <w:t xml:space="preserve"> </w:t>
      </w:r>
      <w:r w:rsidRPr="00DD74B7">
        <w:rPr>
          <w:rFonts w:ascii="Calibri" w:hAnsi="Calibri" w:cs="Calibri"/>
          <w:color w:val="000000"/>
          <w:sz w:val="22"/>
          <w:szCs w:val="22"/>
        </w:rPr>
        <w:t>Aditya Singh</w:t>
      </w:r>
      <w:r w:rsidRPr="00DD74B7">
        <w:rPr>
          <w:rFonts w:ascii="Calibri" w:hAnsi="Calibri" w:cs="Calibri"/>
          <w:color w:val="000000"/>
          <w:sz w:val="22"/>
          <w:szCs w:val="22"/>
          <w:vertAlign w:val="superscript"/>
        </w:rPr>
        <w:t>1</w:t>
      </w:r>
      <w:r w:rsidRPr="00DD74B7">
        <w:rPr>
          <w:rFonts w:ascii="Calibri" w:hAnsi="Calibri" w:cs="Calibri"/>
          <w:color w:val="000000"/>
          <w:sz w:val="22"/>
          <w:szCs w:val="22"/>
        </w:rPr>
        <w:t>, Tracy Erwin-Grabner</w:t>
      </w:r>
      <w:r w:rsidRPr="00DD74B7">
        <w:rPr>
          <w:rFonts w:ascii="Calibri" w:hAnsi="Calibri" w:cs="Calibri"/>
          <w:color w:val="000000"/>
          <w:sz w:val="22"/>
          <w:szCs w:val="22"/>
          <w:vertAlign w:val="superscript"/>
        </w:rPr>
        <w:t>1</w:t>
      </w:r>
      <w:r w:rsidRPr="00DD74B7">
        <w:rPr>
          <w:rFonts w:ascii="Calibri" w:hAnsi="Calibri" w:cs="Calibri"/>
          <w:color w:val="000000"/>
          <w:sz w:val="22"/>
          <w:szCs w:val="22"/>
        </w:rPr>
        <w:t>, Grant Sutcliffe</w:t>
      </w:r>
      <w:r w:rsidRPr="00DD74B7">
        <w:rPr>
          <w:rFonts w:ascii="Calibri" w:hAnsi="Calibri" w:cs="Calibri"/>
          <w:color w:val="000000"/>
          <w:sz w:val="22"/>
          <w:szCs w:val="22"/>
          <w:vertAlign w:val="superscript"/>
        </w:rPr>
        <w:t>1</w:t>
      </w:r>
      <w:r w:rsidRPr="00DD74B7">
        <w:rPr>
          <w:rFonts w:ascii="Calibri" w:hAnsi="Calibri" w:cs="Calibri"/>
          <w:color w:val="000000"/>
          <w:sz w:val="22"/>
          <w:szCs w:val="22"/>
        </w:rPr>
        <w:t>, Andrea Antal</w:t>
      </w:r>
      <w:r w:rsidRPr="00DD74B7">
        <w:rPr>
          <w:rFonts w:ascii="Calibri" w:hAnsi="Calibri" w:cs="Calibri"/>
          <w:color w:val="000000"/>
          <w:sz w:val="22"/>
          <w:szCs w:val="22"/>
          <w:vertAlign w:val="superscript"/>
        </w:rPr>
        <w:t>2</w:t>
      </w:r>
      <w:r w:rsidRPr="00DD74B7">
        <w:rPr>
          <w:rFonts w:ascii="Calibri" w:hAnsi="Calibri" w:cs="Calibri"/>
          <w:color w:val="000000"/>
          <w:sz w:val="22"/>
          <w:szCs w:val="22"/>
        </w:rPr>
        <w:t>, Walter Paulus</w:t>
      </w:r>
      <w:r w:rsidRPr="00DD74B7">
        <w:rPr>
          <w:rFonts w:ascii="Calibri" w:hAnsi="Calibri" w:cs="Calibri"/>
          <w:color w:val="000000"/>
          <w:sz w:val="22"/>
          <w:szCs w:val="22"/>
          <w:vertAlign w:val="superscript"/>
        </w:rPr>
        <w:t>2</w:t>
      </w:r>
      <w:r w:rsidRPr="00DD74B7">
        <w:rPr>
          <w:rFonts w:ascii="Calibri" w:hAnsi="Calibri" w:cs="Calibri"/>
          <w:color w:val="000000"/>
          <w:sz w:val="22"/>
          <w:szCs w:val="22"/>
        </w:rPr>
        <w:t>, Roberto Goya-Maldonado</w:t>
      </w:r>
      <w:r w:rsidRPr="00DD74B7">
        <w:rPr>
          <w:rFonts w:ascii="Calibri" w:hAnsi="Calibri" w:cs="Calibri"/>
          <w:color w:val="000000"/>
          <w:sz w:val="22"/>
          <w:szCs w:val="22"/>
          <w:vertAlign w:val="superscript"/>
        </w:rPr>
        <w:t>1,</w:t>
      </w:r>
      <w:r w:rsidRPr="00DD74B7">
        <w:rPr>
          <w:rFonts w:ascii="Calibri" w:hAnsi="Calibri" w:cs="Calibri"/>
          <w:color w:val="000000"/>
          <w:sz w:val="22"/>
          <w:szCs w:val="22"/>
        </w:rPr>
        <w:t>*</w:t>
      </w:r>
    </w:p>
    <w:p w14:paraId="657B75E6" w14:textId="77777777" w:rsidR="005234C4" w:rsidRPr="00DD74B7" w:rsidRDefault="005234C4" w:rsidP="005234C4">
      <w:pPr>
        <w:pStyle w:val="Paragraph"/>
        <w:spacing w:line="480" w:lineRule="auto"/>
        <w:ind w:firstLine="0"/>
        <w:rPr>
          <w:rFonts w:ascii="Calibri" w:hAnsi="Calibri" w:cs="Calibri"/>
          <w:b/>
          <w:sz w:val="28"/>
          <w:szCs w:val="28"/>
        </w:rPr>
      </w:pPr>
      <w:r w:rsidRPr="00DD74B7">
        <w:rPr>
          <w:rFonts w:ascii="Calibri" w:hAnsi="Calibri" w:cs="Calibri"/>
          <w:b/>
          <w:sz w:val="28"/>
          <w:szCs w:val="28"/>
        </w:rPr>
        <w:t>Affiliations:</w:t>
      </w:r>
    </w:p>
    <w:p w14:paraId="4C66EA5F" w14:textId="77777777" w:rsidR="005234C4" w:rsidRPr="00DD74B7" w:rsidRDefault="005234C4" w:rsidP="005234C4">
      <w:pPr>
        <w:pStyle w:val="Standard1"/>
        <w:pBdr>
          <w:top w:val="nil"/>
          <w:left w:val="nil"/>
          <w:bottom w:val="nil"/>
          <w:right w:val="nil"/>
          <w:between w:val="nil"/>
        </w:pBdr>
        <w:spacing w:line="480" w:lineRule="auto"/>
        <w:jc w:val="both"/>
        <w:rPr>
          <w:color w:val="000000"/>
        </w:rPr>
      </w:pPr>
      <w:r w:rsidRPr="00DD74B7">
        <w:rPr>
          <w:color w:val="000000"/>
          <w:vertAlign w:val="superscript"/>
        </w:rPr>
        <w:t>1</w:t>
      </w:r>
      <w:r w:rsidRPr="00DD74B7">
        <w:rPr>
          <w:color w:val="000000"/>
        </w:rPr>
        <w:t xml:space="preserve">Systems Neuroscience and Imaging in Psychiatry, </w:t>
      </w:r>
      <w:bookmarkStart w:id="0" w:name="OLE_LINK2"/>
      <w:r w:rsidRPr="00DD74B7">
        <w:rPr>
          <w:color w:val="000000"/>
        </w:rPr>
        <w:t xml:space="preserve">Department of Psychiatry and Psychotherapy of the University Medical Center Göttingen. </w:t>
      </w:r>
      <w:bookmarkEnd w:id="0"/>
    </w:p>
    <w:p w14:paraId="233A14FB" w14:textId="77777777" w:rsidR="005234C4" w:rsidRPr="00DD74B7" w:rsidRDefault="005234C4" w:rsidP="005234C4">
      <w:pPr>
        <w:pStyle w:val="Standard1"/>
        <w:pBdr>
          <w:top w:val="nil"/>
          <w:left w:val="nil"/>
          <w:bottom w:val="nil"/>
          <w:right w:val="nil"/>
          <w:between w:val="nil"/>
        </w:pBdr>
        <w:spacing w:line="480" w:lineRule="auto"/>
        <w:jc w:val="both"/>
        <w:rPr>
          <w:color w:val="000000"/>
        </w:rPr>
      </w:pPr>
      <w:bookmarkStart w:id="1" w:name="OLE_LINK1"/>
      <w:r w:rsidRPr="00DD74B7">
        <w:rPr>
          <w:color w:val="000000"/>
          <w:vertAlign w:val="superscript"/>
        </w:rPr>
        <w:t>2</w:t>
      </w:r>
      <w:r w:rsidRPr="00DD74B7">
        <w:rPr>
          <w:color w:val="000000"/>
        </w:rPr>
        <w:t>Department of Clinical Neurophysiology of the University Medical Center Göttingen.</w:t>
      </w:r>
    </w:p>
    <w:bookmarkEnd w:id="1"/>
    <w:p w14:paraId="0643AC31" w14:textId="77777777" w:rsidR="005234C4" w:rsidRPr="00DD74B7" w:rsidRDefault="005234C4" w:rsidP="005234C4">
      <w:pPr>
        <w:pStyle w:val="Standard1"/>
        <w:pBdr>
          <w:top w:val="nil"/>
          <w:left w:val="nil"/>
          <w:bottom w:val="nil"/>
          <w:right w:val="nil"/>
          <w:between w:val="nil"/>
        </w:pBdr>
        <w:spacing w:line="480" w:lineRule="auto"/>
      </w:pPr>
      <w:r w:rsidRPr="00DD74B7">
        <w:t>*To whom correspondence should be addressed:  Dr. Roberto Goya-Maldonado (</w:t>
      </w:r>
      <w:hyperlink r:id="rId6" w:history="1">
        <w:r w:rsidRPr="00DD74B7">
          <w:rPr>
            <w:rStyle w:val="Hyperlink"/>
          </w:rPr>
          <w:t>roberto.goya@med.uni-goettingen.de</w:t>
        </w:r>
      </w:hyperlink>
      <w:r w:rsidRPr="00DD74B7">
        <w:t>)</w:t>
      </w:r>
    </w:p>
    <w:p w14:paraId="6D318075" w14:textId="77777777" w:rsidR="007273F7" w:rsidRPr="00DD74B7" w:rsidRDefault="007273F7" w:rsidP="005234C4">
      <w:pPr>
        <w:pStyle w:val="Standard1"/>
        <w:pBdr>
          <w:top w:val="nil"/>
          <w:left w:val="nil"/>
          <w:bottom w:val="nil"/>
          <w:right w:val="nil"/>
          <w:between w:val="nil"/>
        </w:pBdr>
        <w:spacing w:line="480" w:lineRule="auto"/>
        <w:jc w:val="both"/>
        <w:rPr>
          <w:color w:val="000000"/>
        </w:rPr>
      </w:pPr>
      <w:r w:rsidRPr="00DD74B7">
        <w:rPr>
          <w:b/>
          <w:sz w:val="28"/>
          <w:szCs w:val="28"/>
        </w:rPr>
        <w:t xml:space="preserve">Supplementary </w:t>
      </w:r>
      <w:r w:rsidR="006C5ABD" w:rsidRPr="00DD74B7">
        <w:rPr>
          <w:b/>
          <w:sz w:val="28"/>
          <w:szCs w:val="28"/>
        </w:rPr>
        <w:t>Information</w:t>
      </w:r>
    </w:p>
    <w:p w14:paraId="1F19EC3C" w14:textId="77777777" w:rsidR="002E0842" w:rsidRPr="00DD74B7" w:rsidRDefault="00BC541B" w:rsidP="002E0842">
      <w:pPr>
        <w:spacing w:line="480" w:lineRule="auto"/>
        <w:rPr>
          <w:rFonts w:cstheme="minorHAnsi"/>
          <w:b/>
          <w:bCs/>
          <w:color w:val="000000"/>
          <w:sz w:val="28"/>
          <w:szCs w:val="28"/>
        </w:rPr>
      </w:pPr>
      <w:r w:rsidRPr="00DD74B7">
        <w:rPr>
          <w:rFonts w:cstheme="minorHAnsi"/>
          <w:b/>
          <w:bCs/>
          <w:color w:val="000000"/>
          <w:sz w:val="28"/>
          <w:szCs w:val="28"/>
        </w:rPr>
        <w:t>Supplementary figures:</w:t>
      </w:r>
    </w:p>
    <w:p w14:paraId="1E6C743B" w14:textId="143744AD" w:rsidR="004122FC" w:rsidRPr="00DD74B7" w:rsidRDefault="00643D44" w:rsidP="00F70AE4">
      <w:pPr>
        <w:pStyle w:val="Standard1"/>
        <w:pBdr>
          <w:top w:val="nil"/>
          <w:left w:val="nil"/>
          <w:bottom w:val="nil"/>
          <w:right w:val="nil"/>
          <w:between w:val="nil"/>
        </w:pBdr>
        <w:spacing w:line="480" w:lineRule="auto"/>
        <w:rPr>
          <w:rFonts w:cstheme="minorHAnsi"/>
          <w:b/>
          <w:bCs/>
          <w:color w:val="000000"/>
        </w:rPr>
      </w:pPr>
      <w:r w:rsidRPr="00DD74B7">
        <w:rPr>
          <w:rFonts w:cstheme="minorHAnsi"/>
          <w:b/>
          <w:bCs/>
          <w:color w:val="000000"/>
        </w:rPr>
        <w:t xml:space="preserve">Supplementary Figure </w:t>
      </w:r>
      <w:r w:rsidR="002E0842" w:rsidRPr="00DD74B7">
        <w:rPr>
          <w:rFonts w:cstheme="minorHAnsi"/>
          <w:b/>
          <w:bCs/>
          <w:color w:val="000000"/>
        </w:rPr>
        <w:t>1</w:t>
      </w:r>
      <w:r w:rsidRPr="00DD74B7">
        <w:rPr>
          <w:rFonts w:cstheme="minorHAnsi"/>
          <w:color w:val="000000"/>
        </w:rPr>
        <w:t xml:space="preserve">: </w:t>
      </w:r>
      <w:r w:rsidR="00B44D0F" w:rsidRPr="00DD74B7">
        <w:rPr>
          <w:rFonts w:cstheme="minorHAnsi"/>
          <w:b/>
          <w:bCs/>
          <w:color w:val="000000"/>
        </w:rPr>
        <w:t>Scheme</w:t>
      </w:r>
      <w:r w:rsidR="00126394" w:rsidRPr="00DD74B7">
        <w:rPr>
          <w:rFonts w:cstheme="minorHAnsi"/>
          <w:b/>
          <w:bCs/>
          <w:color w:val="000000"/>
        </w:rPr>
        <w:t xml:space="preserve"> </w:t>
      </w:r>
      <w:r w:rsidR="004122FC" w:rsidRPr="00DD74B7">
        <w:rPr>
          <w:rFonts w:cstheme="minorHAnsi"/>
          <w:b/>
          <w:bCs/>
          <w:color w:val="000000"/>
        </w:rPr>
        <w:t xml:space="preserve">detailing </w:t>
      </w:r>
      <w:r w:rsidR="00133DE9" w:rsidRPr="00DD74B7">
        <w:rPr>
          <w:rFonts w:cstheme="minorHAnsi"/>
          <w:b/>
          <w:bCs/>
          <w:color w:val="000000"/>
        </w:rPr>
        <w:t>the target selection process</w:t>
      </w:r>
      <w:r w:rsidR="00126394" w:rsidRPr="00DD74B7">
        <w:rPr>
          <w:rFonts w:cstheme="minorHAnsi"/>
          <w:b/>
          <w:bCs/>
          <w:color w:val="000000"/>
        </w:rPr>
        <w:t xml:space="preserve"> using a single subject as</w:t>
      </w:r>
      <w:r w:rsidR="00C060B3" w:rsidRPr="00DD74B7">
        <w:rPr>
          <w:rFonts w:cstheme="minorHAnsi"/>
          <w:b/>
          <w:bCs/>
          <w:color w:val="000000"/>
        </w:rPr>
        <w:t xml:space="preserve"> an</w:t>
      </w:r>
      <w:r w:rsidR="00126394" w:rsidRPr="00DD74B7">
        <w:rPr>
          <w:rFonts w:cstheme="minorHAnsi"/>
          <w:b/>
          <w:bCs/>
          <w:color w:val="000000"/>
        </w:rPr>
        <w:t xml:space="preserve"> example</w:t>
      </w:r>
      <w:r w:rsidR="00133DE9" w:rsidRPr="00DD74B7">
        <w:rPr>
          <w:rFonts w:cstheme="minorHAnsi"/>
          <w:b/>
          <w:bCs/>
          <w:color w:val="000000"/>
        </w:rPr>
        <w:t xml:space="preserve">. </w:t>
      </w:r>
    </w:p>
    <w:p w14:paraId="40888AA5" w14:textId="0E03CDB5" w:rsidR="00B1108E" w:rsidRPr="00DD74B7" w:rsidRDefault="00314272" w:rsidP="00F70AE4">
      <w:pPr>
        <w:pStyle w:val="Standard1"/>
        <w:pBdr>
          <w:top w:val="nil"/>
          <w:left w:val="nil"/>
          <w:bottom w:val="nil"/>
          <w:right w:val="nil"/>
          <w:between w:val="nil"/>
        </w:pBdr>
        <w:spacing w:line="480" w:lineRule="auto"/>
        <w:rPr>
          <w:color w:val="000000"/>
        </w:rPr>
      </w:pPr>
      <w:r w:rsidRPr="00DD74B7">
        <w:rPr>
          <w:rFonts w:cstheme="minorHAnsi"/>
          <w:i/>
          <w:iCs/>
          <w:color w:val="000000"/>
        </w:rPr>
        <w:t>a. Individual subject rsfMRI preprocessing pipeline</w:t>
      </w:r>
      <w:r w:rsidR="004122FC" w:rsidRPr="00DD74B7">
        <w:rPr>
          <w:rFonts w:cstheme="minorHAnsi"/>
          <w:color w:val="000000"/>
        </w:rPr>
        <w:t>.</w:t>
      </w:r>
      <w:r w:rsidR="00133DE9" w:rsidRPr="00DD74B7">
        <w:rPr>
          <w:rFonts w:cstheme="minorHAnsi"/>
          <w:color w:val="000000"/>
        </w:rPr>
        <w:t xml:space="preserve"> </w:t>
      </w:r>
      <w:r w:rsidR="004122FC" w:rsidRPr="00DD74B7">
        <w:rPr>
          <w:rFonts w:cstheme="minorHAnsi"/>
          <w:color w:val="000000"/>
        </w:rPr>
        <w:t xml:space="preserve">The </w:t>
      </w:r>
      <w:r w:rsidR="001414CD" w:rsidRPr="00DD74B7">
        <w:rPr>
          <w:rFonts w:cstheme="minorHAnsi"/>
          <w:color w:val="000000"/>
        </w:rPr>
        <w:t>resting state functional magnetic resonance imaging (rs</w:t>
      </w:r>
      <w:r w:rsidR="00133DE9" w:rsidRPr="00DD74B7">
        <w:rPr>
          <w:rFonts w:cstheme="minorHAnsi"/>
          <w:color w:val="000000"/>
        </w:rPr>
        <w:t>fMRI</w:t>
      </w:r>
      <w:r w:rsidR="001414CD" w:rsidRPr="00DD74B7">
        <w:rPr>
          <w:rFonts w:cstheme="minorHAnsi"/>
          <w:color w:val="000000"/>
        </w:rPr>
        <w:t>)</w:t>
      </w:r>
      <w:r w:rsidR="00133DE9" w:rsidRPr="00DD74B7">
        <w:rPr>
          <w:rFonts w:cstheme="minorHAnsi"/>
          <w:color w:val="000000"/>
        </w:rPr>
        <w:t xml:space="preserve"> data from the individual subject is pre-processed. </w:t>
      </w:r>
      <w:r w:rsidR="00B1108E" w:rsidRPr="00DD74B7">
        <w:rPr>
          <w:color w:val="000000"/>
        </w:rPr>
        <w:t>Using SPM12 (</w:t>
      </w:r>
      <w:hyperlink r:id="rId7">
        <w:r w:rsidR="00B1108E" w:rsidRPr="00DD74B7">
          <w:rPr>
            <w:color w:val="000000"/>
            <w:u w:val="single"/>
          </w:rPr>
          <w:t>http://www.fil.ion.ucl.ac.uk/spm/software/spm12/</w:t>
        </w:r>
      </w:hyperlink>
      <w:hyperlink r:id="rId8">
        <w:r w:rsidR="00B1108E" w:rsidRPr="00DD74B7">
          <w:rPr>
            <w:color w:val="000000"/>
            <w:u w:val="single"/>
          </w:rPr>
          <w:t>)</w:t>
        </w:r>
      </w:hyperlink>
      <w:r w:rsidR="00B1108E" w:rsidRPr="00DD74B7">
        <w:rPr>
          <w:color w:val="000000"/>
        </w:rPr>
        <w:t xml:space="preserve"> and MATLAB (The MathWorks, Inc., Natick, MA, USA), we </w:t>
      </w:r>
      <w:proofErr w:type="spellStart"/>
      <w:r w:rsidR="00B1108E" w:rsidRPr="00DD74B7">
        <w:rPr>
          <w:color w:val="000000"/>
        </w:rPr>
        <w:t>preprocessed</w:t>
      </w:r>
      <w:proofErr w:type="spellEnd"/>
      <w:r w:rsidR="00B1108E" w:rsidRPr="00DD74B7">
        <w:rPr>
          <w:color w:val="000000"/>
        </w:rPr>
        <w:t xml:space="preserve"> the individual </w:t>
      </w:r>
      <w:r w:rsidR="004122FC" w:rsidRPr="00DD74B7">
        <w:rPr>
          <w:color w:val="000000"/>
        </w:rPr>
        <w:t xml:space="preserve">subject’s </w:t>
      </w:r>
      <w:r w:rsidR="001414CD" w:rsidRPr="00DD74B7">
        <w:rPr>
          <w:color w:val="000000"/>
        </w:rPr>
        <w:t>rsfMRI</w:t>
      </w:r>
      <w:r w:rsidR="00B1108E" w:rsidRPr="00DD74B7">
        <w:rPr>
          <w:color w:val="000000"/>
        </w:rPr>
        <w:t xml:space="preserve"> data using  standard steps: slice time correction, motion correction, individual gradient echo field map unwarping</w:t>
      </w:r>
      <w:r w:rsidR="00043A89" w:rsidRPr="00DD74B7">
        <w:rPr>
          <w:color w:val="000000"/>
        </w:rPr>
        <w:t xml:space="preserve"> (</w:t>
      </w:r>
      <w:r w:rsidR="00043A89" w:rsidRPr="00DD74B7">
        <w:rPr>
          <w:color w:val="000000"/>
          <w:u w:val="single"/>
        </w:rPr>
        <w:t xml:space="preserve">step </w:t>
      </w:r>
      <w:r w:rsidR="00D319CF" w:rsidRPr="00DD74B7">
        <w:rPr>
          <w:color w:val="000000"/>
          <w:u w:val="single"/>
        </w:rPr>
        <w:t>1</w:t>
      </w:r>
      <w:r w:rsidR="00043A89" w:rsidRPr="00DD74B7">
        <w:rPr>
          <w:color w:val="000000"/>
        </w:rPr>
        <w:t>)</w:t>
      </w:r>
      <w:r w:rsidR="00B1108E" w:rsidRPr="00DD74B7">
        <w:rPr>
          <w:color w:val="000000"/>
        </w:rPr>
        <w:t>, normalization</w:t>
      </w:r>
      <w:r w:rsidR="00043A89" w:rsidRPr="00DD74B7">
        <w:rPr>
          <w:color w:val="000000"/>
        </w:rPr>
        <w:t xml:space="preserve"> (</w:t>
      </w:r>
      <w:r w:rsidR="00043A89" w:rsidRPr="00DD74B7">
        <w:rPr>
          <w:color w:val="000000"/>
          <w:u w:val="single"/>
        </w:rPr>
        <w:t xml:space="preserve">step </w:t>
      </w:r>
      <w:r w:rsidR="00D319CF" w:rsidRPr="00DD74B7">
        <w:rPr>
          <w:color w:val="000000"/>
          <w:u w:val="single"/>
        </w:rPr>
        <w:t>2</w:t>
      </w:r>
      <w:r w:rsidR="00043A89" w:rsidRPr="00DD74B7">
        <w:rPr>
          <w:color w:val="000000"/>
          <w:u w:val="single"/>
        </w:rPr>
        <w:t>.2</w:t>
      </w:r>
      <w:r w:rsidR="00043A89" w:rsidRPr="00DD74B7">
        <w:rPr>
          <w:color w:val="000000"/>
        </w:rPr>
        <w:t>)</w:t>
      </w:r>
      <w:r w:rsidR="00B1108E" w:rsidRPr="00DD74B7">
        <w:rPr>
          <w:color w:val="000000"/>
        </w:rPr>
        <w:t>, and regression of white matter, cerebrospinal fluid and motion nuisance parameters (</w:t>
      </w:r>
      <w:r w:rsidR="00043A89" w:rsidRPr="00DD74B7">
        <w:rPr>
          <w:color w:val="000000"/>
          <w:u w:val="single"/>
        </w:rPr>
        <w:t xml:space="preserve">step </w:t>
      </w:r>
      <w:r w:rsidR="00D319CF" w:rsidRPr="00DD74B7">
        <w:rPr>
          <w:color w:val="000000"/>
          <w:u w:val="single"/>
        </w:rPr>
        <w:t>3</w:t>
      </w:r>
      <w:r w:rsidR="00B1108E" w:rsidRPr="00DD74B7">
        <w:rPr>
          <w:color w:val="000000"/>
        </w:rPr>
        <w:t>). We then temporally concatenated the data to perform group independent component analyses</w:t>
      </w:r>
      <w:r w:rsidR="00043A89" w:rsidRPr="00DD74B7">
        <w:rPr>
          <w:color w:val="000000"/>
        </w:rPr>
        <w:t xml:space="preserve"> (ICA) as well as individual ICA</w:t>
      </w:r>
      <w:r w:rsidR="00B1108E" w:rsidRPr="00DD74B7">
        <w:rPr>
          <w:color w:val="000000"/>
        </w:rPr>
        <w:t xml:space="preserve"> </w:t>
      </w:r>
      <w:r w:rsidR="00043A89" w:rsidRPr="00DD74B7">
        <w:rPr>
          <w:color w:val="000000"/>
        </w:rPr>
        <w:t xml:space="preserve">using </w:t>
      </w:r>
      <w:r w:rsidR="00B1108E" w:rsidRPr="00DD74B7">
        <w:rPr>
          <w:color w:val="000000"/>
        </w:rPr>
        <w:t>FSL 5.0.7 software</w:t>
      </w:r>
      <w:r w:rsidR="00B1108E" w:rsidRPr="00DD74B7">
        <w:rPr>
          <w:color w:val="000000"/>
          <w:vertAlign w:val="superscript"/>
        </w:rPr>
        <w:fldChar w:fldCharType="begin" w:fldLock="1"/>
      </w:r>
      <w:r w:rsidR="001414CD" w:rsidRPr="00DD74B7">
        <w:rPr>
          <w:color w:val="000000"/>
          <w:vertAlign w:val="superscript"/>
        </w:rPr>
        <w:instrText>ADDIN CSL_CITATION {"citationItems":[{"id":"ITEM-1","itemData":{"DOI":"10.1016/J.NEUROIMAGE.2011.09.015","ISSN":"1053-8119","abstract":"FSL (the FMRIB Software Library) is a comprehensive library of analysis tools for functional, structural and diffusion MRI brain imaging data, written mainly by members of the Analysis Group, FMRIB, Oxford. For this NeuroImage special issue on “20 years of fMRI” we have been asked to write about the history, developments and current status of FSL. We also include some descriptions of parts of FSL that are not well covered in the existing literature. We hope that some of this content might be of interest to users of FSL, and also maybe to new research groups considering creating, releasing and supporting new software packages for brain image analysis.","author":[{"dropping-particle":"","family":"Jenkinson","given":"Mark","non-dropping-particle":"","parse-names":false,"suffix":""},{"dropping-particle":"","family":"Beckmann","given":"Christian F.","non-dropping-particle":"","parse-names":false,"suffix":""},{"dropping-particle":"","family":"Behrens","given":"Timothy E.J.","non-dropping-particle":"","parse-names":false,"suffix":""},{"dropping-particle":"","family":"Woolrich","given":"Mark W.","non-dropping-particle":"","parse-names":false,"suffix":""},{"dropping-particle":"","family":"Smith","given":"Stephen M.","non-dropping-particle":"","parse-names":false,"suffix":""}],"container-title":"NeuroImage","id":"ITEM-1","issue":"2","issued":{"date-parts":[["2012","8","15"]]},"page":"782-790","publisher":"Academic Press","title":"FSL","type":"article-journal","volume":"62"},"uris":["http://www.mendeley.com/documents/?uuid=7834a4ca-9eb0-3537-998a-3ff2c8ad6608"]}],"mendeley":{"formattedCitation":"&lt;sup&gt;1&lt;/sup&gt;","plainTextFormattedCitation":"1","previouslyFormattedCitation":"&lt;sup&gt;1&lt;/sup&gt;"},"properties":{"noteIndex":0},"schema":"https://github.com/citation-style-language/schema/raw/master/csl-citation.json"}</w:instrText>
      </w:r>
      <w:r w:rsidR="00B1108E" w:rsidRPr="00DD74B7">
        <w:rPr>
          <w:color w:val="000000"/>
          <w:vertAlign w:val="superscript"/>
        </w:rPr>
        <w:fldChar w:fldCharType="separate"/>
      </w:r>
      <w:r w:rsidR="00133DE9" w:rsidRPr="00DD74B7">
        <w:rPr>
          <w:noProof/>
          <w:color w:val="000000"/>
          <w:vertAlign w:val="superscript"/>
        </w:rPr>
        <w:t>1</w:t>
      </w:r>
      <w:r w:rsidR="00B1108E" w:rsidRPr="00DD74B7">
        <w:rPr>
          <w:color w:val="000000"/>
          <w:vertAlign w:val="superscript"/>
        </w:rPr>
        <w:fldChar w:fldCharType="end"/>
      </w:r>
      <w:r w:rsidR="00043A89" w:rsidRPr="00DD74B7">
        <w:rPr>
          <w:color w:val="000000"/>
        </w:rPr>
        <w:t xml:space="preserve"> (</w:t>
      </w:r>
      <w:r w:rsidRPr="00DD74B7">
        <w:rPr>
          <w:color w:val="000000"/>
          <w:u w:val="single"/>
        </w:rPr>
        <w:t>s</w:t>
      </w:r>
      <w:r w:rsidR="00043A89" w:rsidRPr="00DD74B7">
        <w:rPr>
          <w:color w:val="000000"/>
          <w:u w:val="single"/>
        </w:rPr>
        <w:t xml:space="preserve">tep </w:t>
      </w:r>
      <w:r w:rsidR="00D319CF" w:rsidRPr="00DD74B7">
        <w:rPr>
          <w:color w:val="000000"/>
          <w:u w:val="single"/>
        </w:rPr>
        <w:t>4</w:t>
      </w:r>
      <w:r w:rsidR="00043A89" w:rsidRPr="00DD74B7">
        <w:rPr>
          <w:color w:val="000000"/>
        </w:rPr>
        <w:t>)</w:t>
      </w:r>
      <w:r w:rsidR="00B1108E" w:rsidRPr="00DD74B7">
        <w:rPr>
          <w:color w:val="000000"/>
        </w:rPr>
        <w:t xml:space="preserve">. The number of independent </w:t>
      </w:r>
      <w:r w:rsidR="00B1108E" w:rsidRPr="00DD74B7">
        <w:rPr>
          <w:color w:val="000000"/>
        </w:rPr>
        <w:lastRenderedPageBreak/>
        <w:t>components was restricted to 17 based on the literature</w:t>
      </w:r>
      <w:r w:rsidR="00B1108E" w:rsidRPr="00DD74B7">
        <w:rPr>
          <w:color w:val="000000"/>
        </w:rPr>
        <w:fldChar w:fldCharType="begin" w:fldLock="1"/>
      </w:r>
      <w:r w:rsidR="001414CD" w:rsidRPr="00DD74B7">
        <w:rPr>
          <w:color w:val="000000"/>
        </w:rPr>
        <w:instrText>ADDIN CSL_CITATION {"citationItems":[{"id":"ITEM-1","itemData":{"DOI":"10.1152/jn.00338.2011.","ISBN":"1522-1598 (Electronic)\\r0022-3077 (Linking)","ISSN":"1522-1598","PMID":"21653723","abstract":"Information processing in the cerebral cortex involves interactions among distributed areas. Anatomical connectivity suggests that certain areas form local hierarchical relations such as within the visual system. Other connectivity patterns, particularly among association areas, suggest the presence of large-scale circuits without clear hierarchical relations. In this study the organization of networks in the human cerebrum was explored using resting-state functional connectivity MRI. Data from 1,000 subjects were registered using surface-based alignment. A clustering approach was employed to identify and replicate networks of functionally coupled regions across the cerebral cortex. The results revealed local networks confined to sensory and motor cortices as well as distributed networks of association regions. Within the sensory and motor cortices, functional connectivity followed topographic representations across adjacent areas. In association cortex, the connectivity patterns often showed abrupt transitions between network boundaries. Focused analyses were performed to better understand properties of network connectivity. A canonical sensory-motor pathway involving primary visual area, putative middle temporal area complex (MT+), lateral intraparietal area, and frontal eye field was analyzed to explore how interactions might arise within and between networks. Results showed that adjacent regions of the MT+ complex demonstrate differential connectivity consistent with a hierarchical pathway that spans networks. The functional connectivity of parietal and prefrontal association cortices was next explored. Distinct connectivity profiles of neighboring regions suggest they participate in distributed networks that, while showing evidence for interactions, are embedded within largely parallel, interdigitated circuits. We conclude by discussing the organization of these large-scale cerebral networks in relation to monkey anatomy and their potential evolutionary expansion in humans to support cognition.","author":[{"dropping-particle":"","family":"Yeo","given":"B.T. Thomas","non-dropping-particle":"","parse-names":false,"suffix":""},{"dropping-particle":"","family":"Krienen","given":"Fenna M.","non-dropping-particle":"","parse-names":false,"suffix":""},{"dropping-particle":"","family":"Sepulcre","given":"Jorge","non-dropping-particle":"","parse-names":false,"suffix":""},{"dropping-particle":"","family":"Sabuncu","given":"Mert R.","non-dropping-particle":"","parse-names":false,"suffix":""},{"dropping-particle":"","family":"Lashkari","given":"D.","non-dropping-particle":"","parse-names":false,"suffix":""},{"dropping-particle":"","family":"Hollinshead","given":"Marisa","non-dropping-particle":"","parse-names":false,"suffix":""},{"dropping-particle":"","family":"Roffman","given":"Joshua L.","non-dropping-particle":"","parse-names":false,"suffix":""},{"dropping-particle":"","family":"Smoller","given":"Jordan W.","non-dropping-particle":"","parse-names":false,"suffix":""},{"dropping-particle":"","family":"Zollei","given":"Lilla","non-dropping-particle":"","parse-names":false,"suffix":""},{"dropping-particle":"","family":"Polimeni","given":"Jonathan R.","non-dropping-particle":"","parse-names":false,"suffix":""},{"dropping-particle":"","family":"Fischl","given":"Bruce","non-dropping-particle":"","parse-names":false,"suffix":""},{"dropping-particle":"","family":"Liu","given":"Hesheng","non-dropping-particle":"","parse-names":false,"suffix":""},{"dropping-particle":"","family":"Buckner","given":"Randy L.","non-dropping-particle":"","parse-names":false,"suffix":""}],"container-title":"Journal of neurophysiology","id":"ITEM-1","issued":{"date-parts":[["2011"]]},"page":"1125-1165","title":"The organization of the human cerebral cortex estimated by intrinsic functional connectivity","type":"article-journal","volume":"106"},"uris":["http://www.mendeley.com/documents/?uuid=0960a354-5728-43f8-8f78-56c2c051e9aa"]}],"mendeley":{"formattedCitation":"&lt;sup&gt;2&lt;/sup&gt;","plainTextFormattedCitation":"2","previouslyFormattedCitation":"&lt;sup&gt;2&lt;/sup&gt;"},"properties":{"noteIndex":0},"schema":"https://github.com/citation-style-language/schema/raw/master/csl-citation.json"}</w:instrText>
      </w:r>
      <w:r w:rsidR="00B1108E" w:rsidRPr="00DD74B7">
        <w:rPr>
          <w:color w:val="000000"/>
        </w:rPr>
        <w:fldChar w:fldCharType="separate"/>
      </w:r>
      <w:r w:rsidR="00133DE9" w:rsidRPr="00DD74B7">
        <w:rPr>
          <w:noProof/>
          <w:color w:val="000000"/>
          <w:vertAlign w:val="superscript"/>
        </w:rPr>
        <w:t>2</w:t>
      </w:r>
      <w:r w:rsidR="00B1108E" w:rsidRPr="00DD74B7">
        <w:rPr>
          <w:color w:val="000000"/>
        </w:rPr>
        <w:fldChar w:fldCharType="end"/>
      </w:r>
      <w:r w:rsidR="00B1108E" w:rsidRPr="00DD74B7">
        <w:rPr>
          <w:color w:val="000000"/>
        </w:rPr>
        <w:t xml:space="preserve">. We identified the best fitting independent components (IC) covering: 1) the left DLPFC (IC-DLPFC) and 2) the sgACC (IC-ACC). </w:t>
      </w:r>
      <w:r w:rsidR="00133DE9" w:rsidRPr="00DD74B7">
        <w:rPr>
          <w:color w:val="000000"/>
        </w:rPr>
        <w:t xml:space="preserve">These components were identified based on visual inspection of the MELODIC results from FSL 5.0.7. </w:t>
      </w:r>
      <w:r w:rsidR="00B95B88" w:rsidRPr="00DD74B7">
        <w:rPr>
          <w:color w:val="000000"/>
        </w:rPr>
        <w:t>A</w:t>
      </w:r>
      <w:r w:rsidR="00133DE9" w:rsidRPr="00DD74B7">
        <w:rPr>
          <w:color w:val="000000"/>
        </w:rPr>
        <w:t xml:space="preserve">ll </w:t>
      </w:r>
      <w:r w:rsidR="007F2B0C" w:rsidRPr="00DD74B7">
        <w:rPr>
          <w:color w:val="000000"/>
        </w:rPr>
        <w:t xml:space="preserve">relevant </w:t>
      </w:r>
      <w:r w:rsidR="00B95B88" w:rsidRPr="00DD74B7">
        <w:rPr>
          <w:color w:val="000000"/>
        </w:rPr>
        <w:t>ICs that</w:t>
      </w:r>
      <w:r w:rsidR="00133DE9" w:rsidRPr="00DD74B7">
        <w:rPr>
          <w:color w:val="000000"/>
        </w:rPr>
        <w:t xml:space="preserve"> covered the left DLPFC or the ACC in </w:t>
      </w:r>
      <w:r w:rsidR="00FD281B" w:rsidRPr="00DD74B7">
        <w:rPr>
          <w:color w:val="000000"/>
        </w:rPr>
        <w:t xml:space="preserve">a </w:t>
      </w:r>
      <w:r w:rsidR="00133DE9" w:rsidRPr="00DD74B7">
        <w:rPr>
          <w:color w:val="000000"/>
        </w:rPr>
        <w:t>complete or partial manner</w:t>
      </w:r>
      <w:r w:rsidR="00B95B88" w:rsidRPr="00DD74B7">
        <w:rPr>
          <w:color w:val="000000"/>
        </w:rPr>
        <w:t xml:space="preserve"> were identified</w:t>
      </w:r>
      <w:r w:rsidR="00133DE9" w:rsidRPr="00DD74B7">
        <w:rPr>
          <w:color w:val="000000"/>
        </w:rPr>
        <w:t>. Thus, if more than one IC covering the left DLPFC or ACC</w:t>
      </w:r>
      <w:r w:rsidR="00B95B88" w:rsidRPr="00DD74B7">
        <w:rPr>
          <w:color w:val="000000"/>
        </w:rPr>
        <w:t xml:space="preserve"> was identified</w:t>
      </w:r>
      <w:r w:rsidR="00133DE9" w:rsidRPr="00DD74B7">
        <w:rPr>
          <w:color w:val="000000"/>
        </w:rPr>
        <w:t>, all the selected ICs were carried forward to the next step of analysis.</w:t>
      </w:r>
    </w:p>
    <w:p w14:paraId="513BB568" w14:textId="6D9807E8" w:rsidR="00B1108E" w:rsidRPr="00DD74B7" w:rsidRDefault="00314272" w:rsidP="00F70AE4">
      <w:pPr>
        <w:pStyle w:val="Standard1"/>
        <w:pBdr>
          <w:top w:val="nil"/>
          <w:left w:val="nil"/>
          <w:bottom w:val="nil"/>
          <w:right w:val="nil"/>
          <w:between w:val="nil"/>
        </w:pBdr>
        <w:spacing w:line="480" w:lineRule="auto"/>
        <w:rPr>
          <w:color w:val="000000"/>
        </w:rPr>
      </w:pPr>
      <w:r w:rsidRPr="00DD74B7">
        <w:rPr>
          <w:i/>
          <w:iCs/>
          <w:color w:val="000000"/>
        </w:rPr>
        <w:t>b. Individual subject target selection pipeline.</w:t>
      </w:r>
      <w:r w:rsidR="00043A89" w:rsidRPr="00DD74B7">
        <w:rPr>
          <w:color w:val="000000"/>
        </w:rPr>
        <w:t xml:space="preserve"> The </w:t>
      </w:r>
      <w:r w:rsidR="00B1108E" w:rsidRPr="00DD74B7">
        <w:rPr>
          <w:color w:val="000000"/>
        </w:rPr>
        <w:t>ICs obtained</w:t>
      </w:r>
      <w:r w:rsidR="007F2B0C" w:rsidRPr="00DD74B7">
        <w:rPr>
          <w:color w:val="000000"/>
        </w:rPr>
        <w:t xml:space="preserve"> </w:t>
      </w:r>
      <w:r w:rsidR="00B53EAE" w:rsidRPr="00DD74B7">
        <w:rPr>
          <w:color w:val="000000"/>
        </w:rPr>
        <w:t>prior</w:t>
      </w:r>
      <w:r w:rsidR="00B1108E" w:rsidRPr="00DD74B7">
        <w:rPr>
          <w:color w:val="000000"/>
        </w:rPr>
        <w:t xml:space="preserve"> were in standard MNI space. To reconstruct left DLPFC targets in individual brain spaces, we reran the preprocessing pipeline described above without normaliz</w:t>
      </w:r>
      <w:r w:rsidR="00B1108E" w:rsidRPr="00DD74B7">
        <w:t>ing</w:t>
      </w:r>
      <w:r w:rsidR="00B1108E" w:rsidRPr="00DD74B7">
        <w:rPr>
          <w:color w:val="000000"/>
        </w:rPr>
        <w:t xml:space="preserve"> the data, </w:t>
      </w:r>
      <w:r w:rsidR="00B1108E" w:rsidRPr="00DD74B7">
        <w:t xml:space="preserve">but </w:t>
      </w:r>
      <w:r w:rsidR="00B1108E" w:rsidRPr="00DD74B7">
        <w:rPr>
          <w:color w:val="000000"/>
        </w:rPr>
        <w:t>instead co-register</w:t>
      </w:r>
      <w:r w:rsidR="00B1108E" w:rsidRPr="00DD74B7">
        <w:t>ing</w:t>
      </w:r>
      <w:r w:rsidR="00B1108E" w:rsidRPr="00DD74B7">
        <w:rPr>
          <w:color w:val="000000"/>
        </w:rPr>
        <w:t xml:space="preserve"> it to the subject</w:t>
      </w:r>
      <w:r w:rsidR="00B1108E" w:rsidRPr="00DD74B7">
        <w:t>’s</w:t>
      </w:r>
      <w:r w:rsidR="00B1108E" w:rsidRPr="00DD74B7">
        <w:rPr>
          <w:color w:val="000000"/>
        </w:rPr>
        <w:t xml:space="preserve"> T1 image, and additionally smooth</w:t>
      </w:r>
      <w:r w:rsidR="00B1108E" w:rsidRPr="00DD74B7">
        <w:t>ing</w:t>
      </w:r>
      <w:r w:rsidR="00B1108E" w:rsidRPr="00DD74B7">
        <w:rPr>
          <w:color w:val="000000"/>
        </w:rPr>
        <w:t xml:space="preserve"> the data with a FWHM Gaussian kernel size of 8 mm</w:t>
      </w:r>
      <w:r w:rsidR="00133DE9" w:rsidRPr="00DD74B7">
        <w:rPr>
          <w:color w:val="000000"/>
        </w:rPr>
        <w:t xml:space="preserve"> (</w:t>
      </w:r>
      <w:r w:rsidR="00043A89" w:rsidRPr="00DD74B7">
        <w:rPr>
          <w:color w:val="000000"/>
          <w:u w:val="single"/>
        </w:rPr>
        <w:t xml:space="preserve">step </w:t>
      </w:r>
      <w:r w:rsidR="00BF08B7" w:rsidRPr="00DD74B7">
        <w:rPr>
          <w:color w:val="000000"/>
          <w:u w:val="single"/>
        </w:rPr>
        <w:t xml:space="preserve">1 + step </w:t>
      </w:r>
      <w:r w:rsidRPr="00DD74B7">
        <w:rPr>
          <w:color w:val="000000"/>
          <w:u w:val="single"/>
        </w:rPr>
        <w:t>2</w:t>
      </w:r>
      <w:r w:rsidR="00043A89" w:rsidRPr="00DD74B7">
        <w:rPr>
          <w:color w:val="000000"/>
          <w:u w:val="single"/>
        </w:rPr>
        <w:t>.1</w:t>
      </w:r>
      <w:r w:rsidR="00133DE9" w:rsidRPr="00DD74B7">
        <w:rPr>
          <w:color w:val="000000"/>
        </w:rPr>
        <w:t>)</w:t>
      </w:r>
      <w:r w:rsidR="00B1108E" w:rsidRPr="00DD74B7">
        <w:rPr>
          <w:color w:val="000000"/>
        </w:rPr>
        <w:t xml:space="preserve">. </w:t>
      </w:r>
      <w:r w:rsidR="00B1108E" w:rsidRPr="00DD74B7">
        <w:t>N</w:t>
      </w:r>
      <w:r w:rsidR="00B1108E" w:rsidRPr="00DD74B7">
        <w:rPr>
          <w:color w:val="000000"/>
        </w:rPr>
        <w:t>ext, we back reconstructed the IC-DLPFC and IC-ACC in the non-</w:t>
      </w:r>
      <w:r w:rsidR="00B1108E" w:rsidRPr="00DD74B7">
        <w:t>normalized</w:t>
      </w:r>
      <w:r w:rsidR="00B1108E" w:rsidRPr="00DD74B7">
        <w:rPr>
          <w:color w:val="000000"/>
        </w:rPr>
        <w:t xml:space="preserve"> </w:t>
      </w:r>
      <w:r w:rsidR="001414CD" w:rsidRPr="00DD74B7">
        <w:rPr>
          <w:color w:val="000000"/>
        </w:rPr>
        <w:t>rsfMRI</w:t>
      </w:r>
      <w:r w:rsidR="00B1108E" w:rsidRPr="00DD74B7">
        <w:rPr>
          <w:color w:val="000000"/>
        </w:rPr>
        <w:t xml:space="preserve"> data to obtain these components in the individual anatomical space.</w:t>
      </w:r>
      <w:r w:rsidR="00133DE9" w:rsidRPr="00DD74B7">
        <w:rPr>
          <w:color w:val="000000"/>
        </w:rPr>
        <w:t xml:space="preserve"> This was achieved by running a </w:t>
      </w:r>
      <w:r w:rsidR="00B95B88" w:rsidRPr="00DD74B7">
        <w:rPr>
          <w:color w:val="000000"/>
        </w:rPr>
        <w:t xml:space="preserve">linear </w:t>
      </w:r>
      <w:r w:rsidR="00133DE9" w:rsidRPr="00DD74B7">
        <w:rPr>
          <w:color w:val="000000"/>
        </w:rPr>
        <w:t>regression of the time course of the ICs on the non-normalized rsfMRI data</w:t>
      </w:r>
      <w:r w:rsidR="00B95B88" w:rsidRPr="00DD74B7">
        <w:rPr>
          <w:color w:val="000000"/>
        </w:rPr>
        <w:t xml:space="preserve"> using SPM12</w:t>
      </w:r>
      <w:r w:rsidR="00043A89" w:rsidRPr="00DD74B7">
        <w:rPr>
          <w:color w:val="000000"/>
        </w:rPr>
        <w:t xml:space="preserve"> (</w:t>
      </w:r>
      <w:r w:rsidR="00D319CF" w:rsidRPr="00DD74B7">
        <w:rPr>
          <w:color w:val="000000"/>
          <w:u w:val="single"/>
        </w:rPr>
        <w:t>s</w:t>
      </w:r>
      <w:r w:rsidR="00043A89" w:rsidRPr="00DD74B7">
        <w:rPr>
          <w:color w:val="000000"/>
          <w:u w:val="single"/>
        </w:rPr>
        <w:t xml:space="preserve">tep </w:t>
      </w:r>
      <w:r w:rsidR="00D319CF" w:rsidRPr="00DD74B7">
        <w:rPr>
          <w:color w:val="000000"/>
          <w:u w:val="single"/>
        </w:rPr>
        <w:t>5</w:t>
      </w:r>
      <w:r w:rsidR="00043A89" w:rsidRPr="00DD74B7">
        <w:rPr>
          <w:color w:val="000000"/>
        </w:rPr>
        <w:t>)</w:t>
      </w:r>
      <w:r w:rsidR="00133DE9" w:rsidRPr="00DD74B7">
        <w:rPr>
          <w:color w:val="000000"/>
        </w:rPr>
        <w:t>.</w:t>
      </w:r>
    </w:p>
    <w:p w14:paraId="48E28E35" w14:textId="5F91D3AB" w:rsidR="00043A89" w:rsidRPr="00DD74B7" w:rsidRDefault="00B1108E" w:rsidP="00F70AE4">
      <w:pPr>
        <w:pStyle w:val="Standard1"/>
        <w:pBdr>
          <w:top w:val="nil"/>
          <w:left w:val="nil"/>
          <w:bottom w:val="nil"/>
          <w:right w:val="nil"/>
          <w:between w:val="nil"/>
        </w:pBdr>
        <w:spacing w:line="480" w:lineRule="auto"/>
        <w:rPr>
          <w:color w:val="000000"/>
        </w:rPr>
      </w:pPr>
      <w:r w:rsidRPr="00DD74B7">
        <w:rPr>
          <w:color w:val="000000"/>
        </w:rPr>
        <w:t>As previously reported in the literature</w:t>
      </w:r>
      <w:r w:rsidRPr="00DD74B7">
        <w:rPr>
          <w:color w:val="000000"/>
        </w:rPr>
        <w:fldChar w:fldCharType="begin" w:fldLock="1"/>
      </w:r>
      <w:r w:rsidR="001414CD" w:rsidRPr="00DD74B7">
        <w:rPr>
          <w:color w:val="000000"/>
        </w:rPr>
        <w:instrText>ADDIN CSL_CITATION {"citationItems":[{"id":"ITEM-1","itemData":{"DOI":"10.1016/j.biopsych.2012.04.028","ISBN":"1873-2402 (Electronic)\\n0006-3223 (Linking)","ISSN":"00063223","PMID":"22658708","abstract":"Background: Transcranial magnetic stimulation (TMS) to the left dorsolateral prefrontal cortex (DLPFC) is used clinically for the treatment of depression. However, the antidepressant mechanism remains unknown and its therapeutic efficacy remains limited. Recent data suggest that some left DLPFC targets are more effective than others; however, the reasons for this heterogeneity and how to capitalize on this information remain unclear. Methods: Intrinsic (resting state) functional magnetic resonance imaging data from 98 normal subjects were used to compute functional connectivity with various left DLPFC TMS targets employed in the literature. Differences in functional connectivity related to differences in previously reported clinical efficacy were identified. This information was translated into a connectivity-based targeting strategy to identify optimized left DLPFC TMS coordinates. Results in normal subjects were tested for reproducibility in an independent cohort of 13 patients with depression. Results: Differences in functional connectivity were related to previously reported differences in clinical efficacy across a distributed set of cortical and limbic regions. Dorsolateral prefrontal cortex TMS sites with better clinical efficacy were more negatively correlated (anticorrelated) with the subgenual cingulate. Optimum connectivity-based stimulation coordinates were identified in Brodmann area 46. Results were reproducible in patients with depression. Conclusions: Reported antidepressant efficacy of different left DLPFC TMS sites is related to the anticorrelation of each site with the subgenual cingulate, potentially lending insight into the antidepressant mechanism of TMS and suggesting a role for intrinsically anticorrelated networks in depression. These results can be translated into a connectivity-based targeting strategy for focal brain stimulation that might be used to optimize clinical response. © 2012 Society of Biological Psychiatry.","author":[{"dropping-particle":"","family":"Fox","given":"Michael D.","non-dropping-particle":"","parse-names":false,"suffix":""},{"dropping-particle":"","family":"Buckner","given":"Randy L.","non-dropping-particle":"","parse-names":false,"suffix":""},{"dropping-particle":"","family":"White","given":"Matthew P.","non-dropping-particle":"","parse-names":false,"suffix":""},{"dropping-particle":"","family":"Greicius","given":"Michael D.","non-dropping-particle":"","parse-names":false,"suffix":""},{"dropping-particle":"","family":"Pascual-Leone","given":"Alvaro","non-dropping-particle":"","parse-names":false,"suffix":""}],"container-title":"Biological Psychiatry","id":"ITEM-1","issue":"7","issued":{"date-parts":[["2012"]]},"page":"595-603","title":"Efficacy of transcranial magnetic stimulation targets for depression is related to intrinsic functional connectivity with the subgenual cingulate","type":"article-journal","volume":"72"},"uris":["http://www.mendeley.com/documents/?uuid=ebd5d796-628a-4bb7-b969-d2cfed11ad00"]},{"id":"ITEM-2","itemData":{"DOI":"10.1016/j.biopsych.2017.10.028","ISSN":"00063223","abstract":"BACKGROUND The optimal target in the dorsolateral prefrontal cortex for treating depression with repetitive transcranial magnetic stimulation (rTMS) remains unknown. Better efficacy has been associated with stimulation sites that are 1) more anterior and lateral and 2) more functionally connected to the subgenual cingulate. Here we prospectively test whether these factors predict response in individual patients. METHODS A primary cohort (Boston, n = 25) with medication-refractory depression underwent conventional open-label rTMS to the left dorsolateral prefrontal cortex. A secondary cohort (Michigan, n = 16) underwent 4 weeks of sham followed by open-label rTMS for nonresponders (n = 12). In each patient, the location of the stimulation site was recorded with frameless stereotaxy. Connectivity between each patient’s stimulation site and the subgenual cingulate was assessed using resting-state functional connectivity magnetic resonance imaging from a cohort of healthy subjects (n = 1000) and confirmed using connectivity from patients with depression (n = 38). RESULTS In our primary cohort, antidepressant efficacy was predicted by stimulation sites that were both more anterolateral (r = .51, p &lt; .01) and more negatively correlated with the subgenual cingulate (r = −.55, p &lt; .005). However, subgenual connectivity was the only independent predictor of response and the only factor to predict response to active (r = −.52, p &lt; .05) but not sham rTMS in our secondary cohort. CONCLUSIONS This study provides prospective validation that functional connectivity between an individual’s rTMS cortical target and the subgenual cingulate predicts antidepressant response. Implications for improving the cortical rTMS target for depression are discussed.","author":[{"dropping-particle":"","family":"Weigand","given":"Anne","non-dropping-particle":"","parse-names":false,"suffix":""},{"dropping-particle":"","family":"Horn","given":"Andreas","non-dropping-particle":"","parse-names":false,"suffix":""},{"dropping-particle":"","family":"Caballero","given":"Ruth","non-dropping-particle":"","parse-names":false,"suffix":""},{"dropping-particle":"","family":"Cooke","given":"Danielle","non-dropping-particle":"","parse-names":false,"suffix":""},{"dropping-particle":"","family":"Stern","given":"Adam P.","non-dropping-particle":"","parse-names":false,"suffix":""},{"dropping-particle":"","family":"Taylor","given":"Stephan F.","non-dropping-particle":"","parse-names":false,"suffix":""},{"dropping-particle":"","family":"Press","given":"Daniel","non-dropping-particle":"","parse-names":false,"suffix":""},{"dropping-particle":"","family":"Pascual-Leone","given":"Alvaro","non-dropping-particle":"","parse-names":false,"suffix":""},{"dropping-particle":"","family":"Fox","given":"Michael D.","non-dropping-particle":"","parse-names":false,"suffix":""}],"container-title":"Biological Psychiatry","id":"ITEM-2","issue":"1","issued":{"date-parts":[["2018","7","1"]]},"page":"28-37","publisher":"Elsevier","title":"Prospective Validation That Subgenual Connectivity Predicts Antidepressant Efficacy of Transcranial Magnetic Stimulation Sites","type":"article-journal","volume":"84"},"uris":["http://www.mendeley.com/documents/?uuid=69688597-7a37-3703-86a1-0f7e28925f07"]}],"mendeley":{"formattedCitation":"&lt;sup&gt;3,4&lt;/sup&gt;","plainTextFormattedCitation":"3,4","previouslyFormattedCitation":"&lt;sup&gt;3,4&lt;/sup&gt;"},"properties":{"noteIndex":0},"schema":"https://github.com/citation-style-language/schema/raw/master/csl-citation.json"}</w:instrText>
      </w:r>
      <w:r w:rsidRPr="00DD74B7">
        <w:rPr>
          <w:color w:val="000000"/>
        </w:rPr>
        <w:fldChar w:fldCharType="separate"/>
      </w:r>
      <w:r w:rsidR="00133DE9" w:rsidRPr="00DD74B7">
        <w:rPr>
          <w:noProof/>
          <w:color w:val="000000"/>
          <w:vertAlign w:val="superscript"/>
        </w:rPr>
        <w:t>3,4</w:t>
      </w:r>
      <w:r w:rsidRPr="00DD74B7">
        <w:rPr>
          <w:color w:val="000000"/>
        </w:rPr>
        <w:fldChar w:fldCharType="end"/>
      </w:r>
      <w:r w:rsidRPr="00DD74B7">
        <w:rPr>
          <w:color w:val="000000"/>
        </w:rPr>
        <w:t xml:space="preserve">, </w:t>
      </w:r>
      <w:r w:rsidRPr="00DD74B7">
        <w:t>better clinical responses to HF-rTMS in patients with depression are associated with higher negative functional connectivity between the sgACC and stimulation target in the left DLPFC</w:t>
      </w:r>
      <w:r w:rsidRPr="00DD74B7">
        <w:rPr>
          <w:color w:val="000000"/>
        </w:rPr>
        <w:t xml:space="preserve">. To incorporate this feature into our personalized target selection for HF-rTMS, we </w:t>
      </w:r>
      <w:r w:rsidRPr="00DD74B7">
        <w:t xml:space="preserve">overlaid </w:t>
      </w:r>
      <w:r w:rsidRPr="00DD74B7">
        <w:rPr>
          <w:color w:val="000000"/>
        </w:rPr>
        <w:t xml:space="preserve">individual negative correlation maps of the IC-ACC with the positive correlation maps of the IC-DLPFC (p&lt;0.001) using Chris </w:t>
      </w:r>
      <w:proofErr w:type="spellStart"/>
      <w:r w:rsidRPr="00DD74B7">
        <w:rPr>
          <w:color w:val="000000"/>
        </w:rPr>
        <w:t>Rorden’s</w:t>
      </w:r>
      <w:proofErr w:type="spellEnd"/>
      <w:r w:rsidRPr="00DD74B7">
        <w:rPr>
          <w:color w:val="000000"/>
        </w:rPr>
        <w:t xml:space="preserve"> </w:t>
      </w:r>
      <w:proofErr w:type="spellStart"/>
      <w:r w:rsidRPr="00DD74B7">
        <w:rPr>
          <w:color w:val="000000"/>
        </w:rPr>
        <w:t>MRIcron</w:t>
      </w:r>
      <w:proofErr w:type="spellEnd"/>
      <w:r w:rsidR="00043A89" w:rsidRPr="00DD74B7">
        <w:rPr>
          <w:color w:val="000000"/>
        </w:rPr>
        <w:t xml:space="preserve"> (</w:t>
      </w:r>
      <w:r w:rsidR="00043A89" w:rsidRPr="00DD74B7">
        <w:rPr>
          <w:color w:val="000000"/>
          <w:u w:val="single"/>
        </w:rPr>
        <w:t xml:space="preserve">step </w:t>
      </w:r>
      <w:r w:rsidR="00D319CF" w:rsidRPr="00DD74B7">
        <w:rPr>
          <w:color w:val="000000"/>
          <w:u w:val="single"/>
        </w:rPr>
        <w:t>6</w:t>
      </w:r>
      <w:r w:rsidR="00043A89" w:rsidRPr="00DD74B7">
        <w:rPr>
          <w:color w:val="000000"/>
        </w:rPr>
        <w:t>)</w:t>
      </w:r>
      <w:r w:rsidRPr="00DD74B7">
        <w:rPr>
          <w:color w:val="000000"/>
        </w:rPr>
        <w:t xml:space="preserve">. The negative correlation map of the IC-ACC was </w:t>
      </w:r>
      <w:proofErr w:type="spellStart"/>
      <w:r w:rsidRPr="00DD74B7">
        <w:rPr>
          <w:color w:val="000000"/>
        </w:rPr>
        <w:t>thresholded</w:t>
      </w:r>
      <w:proofErr w:type="spellEnd"/>
      <w:r w:rsidRPr="00DD74B7">
        <w:rPr>
          <w:color w:val="000000"/>
        </w:rPr>
        <w:t xml:space="preserve"> leniently (p&lt;0.01) to allow </w:t>
      </w:r>
      <w:r w:rsidRPr="00DD74B7">
        <w:t>the detection of</w:t>
      </w:r>
      <w:r w:rsidRPr="00DD74B7">
        <w:rPr>
          <w:color w:val="000000"/>
        </w:rPr>
        <w:t xml:space="preserve"> viable overlaps. </w:t>
      </w:r>
      <w:r w:rsidR="00133DE9" w:rsidRPr="00DD74B7">
        <w:rPr>
          <w:color w:val="000000"/>
        </w:rPr>
        <w:t xml:space="preserve">The positive correlation map of the IC-DLPFC was obtained by saving the contrast file of the corresponding IC-DLPFC with the contrast set to +1 in SPM 12. Similarly, we obtained the negative correlation map of IC-ACC by saving the contrast file with the contrast set to -1 in SPM 12. </w:t>
      </w:r>
      <w:r w:rsidR="006F30AB" w:rsidRPr="00DD74B7">
        <w:rPr>
          <w:color w:val="000000"/>
        </w:rPr>
        <w:t>Next,</w:t>
      </w:r>
      <w:r w:rsidR="00133DE9" w:rsidRPr="00DD74B7">
        <w:rPr>
          <w:color w:val="000000"/>
        </w:rPr>
        <w:t xml:space="preserve"> we </w:t>
      </w:r>
      <w:r w:rsidRPr="00DD74B7">
        <w:rPr>
          <w:color w:val="000000"/>
        </w:rPr>
        <w:t xml:space="preserve">located a point within </w:t>
      </w:r>
      <w:r w:rsidRPr="00DD74B7">
        <w:t xml:space="preserve">the </w:t>
      </w:r>
      <w:r w:rsidRPr="00DD74B7">
        <w:rPr>
          <w:color w:val="000000"/>
        </w:rPr>
        <w:t>overlap of the</w:t>
      </w:r>
      <w:r w:rsidRPr="00DD74B7">
        <w:t>se two maps</w:t>
      </w:r>
      <w:r w:rsidRPr="00DD74B7">
        <w:rPr>
          <w:color w:val="000000"/>
        </w:rPr>
        <w:t xml:space="preserve"> and then identified the closest </w:t>
      </w:r>
      <w:r w:rsidR="00043A89" w:rsidRPr="00DD74B7">
        <w:rPr>
          <w:color w:val="000000"/>
        </w:rPr>
        <w:t xml:space="preserve">local </w:t>
      </w:r>
      <w:r w:rsidRPr="00DD74B7">
        <w:rPr>
          <w:color w:val="000000"/>
        </w:rPr>
        <w:t xml:space="preserve">maximum nodes (strongest node) of the </w:t>
      </w:r>
      <w:r w:rsidRPr="00DD74B7">
        <w:t xml:space="preserve">IC-DLPFC </w:t>
      </w:r>
      <w:r w:rsidRPr="00DD74B7">
        <w:rPr>
          <w:color w:val="000000"/>
        </w:rPr>
        <w:t>to this point using SPM12</w:t>
      </w:r>
      <w:r w:rsidR="00043A89" w:rsidRPr="00DD74B7">
        <w:rPr>
          <w:color w:val="000000"/>
        </w:rPr>
        <w:t xml:space="preserve"> (</w:t>
      </w:r>
      <w:r w:rsidR="00043A89" w:rsidRPr="00DD74B7">
        <w:rPr>
          <w:color w:val="000000"/>
          <w:u w:val="single"/>
        </w:rPr>
        <w:t xml:space="preserve">step </w:t>
      </w:r>
      <w:r w:rsidR="00D319CF" w:rsidRPr="00DD74B7">
        <w:rPr>
          <w:color w:val="000000"/>
          <w:u w:val="single"/>
        </w:rPr>
        <w:t>7</w:t>
      </w:r>
      <w:r w:rsidR="00043A89" w:rsidRPr="00DD74B7">
        <w:rPr>
          <w:color w:val="000000"/>
        </w:rPr>
        <w:t>)</w:t>
      </w:r>
      <w:r w:rsidRPr="00DD74B7">
        <w:rPr>
          <w:color w:val="000000"/>
        </w:rPr>
        <w:t xml:space="preserve">. </w:t>
      </w:r>
      <w:r w:rsidR="00043A89" w:rsidRPr="00DD74B7">
        <w:rPr>
          <w:color w:val="000000"/>
        </w:rPr>
        <w:t xml:space="preserve">As the last </w:t>
      </w:r>
      <w:r w:rsidR="00043A89" w:rsidRPr="00DD74B7">
        <w:rPr>
          <w:color w:val="000000"/>
        </w:rPr>
        <w:lastRenderedPageBreak/>
        <w:t>step</w:t>
      </w:r>
      <w:r w:rsidR="00C81CA5" w:rsidRPr="00DD74B7">
        <w:rPr>
          <w:color w:val="000000"/>
        </w:rPr>
        <w:t>,</w:t>
      </w:r>
      <w:r w:rsidR="00043A89" w:rsidRPr="00DD74B7">
        <w:rPr>
          <w:color w:val="000000"/>
        </w:rPr>
        <w:t xml:space="preserve"> we confirmed that the local maxima still laid within the overlap and was designated as target of stimulation (</w:t>
      </w:r>
      <w:r w:rsidR="00043A89" w:rsidRPr="00DD74B7">
        <w:rPr>
          <w:color w:val="000000"/>
          <w:u w:val="single"/>
        </w:rPr>
        <w:t xml:space="preserve">step </w:t>
      </w:r>
      <w:r w:rsidR="00D319CF" w:rsidRPr="00DD74B7">
        <w:rPr>
          <w:color w:val="000000"/>
          <w:u w:val="single"/>
        </w:rPr>
        <w:t>8</w:t>
      </w:r>
      <w:r w:rsidR="00043A89" w:rsidRPr="00DD74B7">
        <w:rPr>
          <w:color w:val="000000"/>
        </w:rPr>
        <w:t xml:space="preserve">). </w:t>
      </w:r>
      <w:r w:rsidR="00133DE9" w:rsidRPr="00DD74B7">
        <w:rPr>
          <w:color w:val="000000"/>
        </w:rPr>
        <w:t xml:space="preserve">In cases of subjects for whom multiple IC-DLPFC or IC-ACC were identified, we identified </w:t>
      </w:r>
      <w:r w:rsidR="00B95B88" w:rsidRPr="00DD74B7">
        <w:rPr>
          <w:color w:val="000000"/>
        </w:rPr>
        <w:t>all</w:t>
      </w:r>
      <w:r w:rsidR="00133DE9" w:rsidRPr="00DD74B7">
        <w:rPr>
          <w:color w:val="000000"/>
        </w:rPr>
        <w:t xml:space="preserve"> </w:t>
      </w:r>
      <w:r w:rsidR="00B95B88" w:rsidRPr="00DD74B7">
        <w:rPr>
          <w:color w:val="000000"/>
        </w:rPr>
        <w:t>nodes</w:t>
      </w:r>
      <w:r w:rsidR="00133DE9" w:rsidRPr="00DD74B7">
        <w:rPr>
          <w:color w:val="000000"/>
        </w:rPr>
        <w:t xml:space="preserve"> that lay within the overlap of the positive correlation map of IC-DLPFC and the negative correlation map of IC-ACC. In such cases</w:t>
      </w:r>
      <w:r w:rsidRPr="00DD74B7">
        <w:rPr>
          <w:color w:val="000000"/>
        </w:rPr>
        <w:t xml:space="preserve">, the </w:t>
      </w:r>
      <w:r w:rsidR="00B95B88" w:rsidRPr="00DD74B7">
        <w:rPr>
          <w:color w:val="000000"/>
        </w:rPr>
        <w:t xml:space="preserve">strongest </w:t>
      </w:r>
      <w:r w:rsidRPr="00DD74B7">
        <w:rPr>
          <w:color w:val="000000"/>
        </w:rPr>
        <w:t>connectivity</w:t>
      </w:r>
      <w:r w:rsidR="00B95B88" w:rsidRPr="00DD74B7">
        <w:rPr>
          <w:color w:val="000000"/>
        </w:rPr>
        <w:t xml:space="preserve"> node</w:t>
      </w:r>
      <w:r w:rsidRPr="00DD74B7">
        <w:rPr>
          <w:color w:val="000000"/>
        </w:rPr>
        <w:t xml:space="preserve"> within the IC-DLPFC </w:t>
      </w:r>
      <w:r w:rsidR="007F2B0C" w:rsidRPr="00DD74B7">
        <w:rPr>
          <w:color w:val="000000"/>
        </w:rPr>
        <w:t>(maximum t-value)</w:t>
      </w:r>
      <w:r w:rsidR="00043A89" w:rsidRPr="00DD74B7">
        <w:rPr>
          <w:color w:val="000000"/>
        </w:rPr>
        <w:t>,</w:t>
      </w:r>
      <w:r w:rsidR="007F2B0C" w:rsidRPr="00DD74B7">
        <w:rPr>
          <w:color w:val="000000"/>
        </w:rPr>
        <w:t xml:space="preserve"> </w:t>
      </w:r>
      <w:r w:rsidR="00043A89" w:rsidRPr="00DD74B7">
        <w:rPr>
          <w:color w:val="000000"/>
        </w:rPr>
        <w:t>that still la</w:t>
      </w:r>
      <w:r w:rsidR="00C81CA5" w:rsidRPr="00DD74B7">
        <w:rPr>
          <w:color w:val="000000"/>
        </w:rPr>
        <w:t>y</w:t>
      </w:r>
      <w:r w:rsidR="00043A89" w:rsidRPr="00DD74B7">
        <w:rPr>
          <w:color w:val="000000"/>
        </w:rPr>
        <w:t xml:space="preserve"> within the overlap, </w:t>
      </w:r>
      <w:r w:rsidRPr="00DD74B7">
        <w:t xml:space="preserve">was selected as </w:t>
      </w:r>
      <w:r w:rsidRPr="00DD74B7">
        <w:rPr>
          <w:color w:val="000000"/>
        </w:rPr>
        <w:t xml:space="preserve">the target for rTMS stimulation. </w:t>
      </w:r>
    </w:p>
    <w:p w14:paraId="7AAB2BF9" w14:textId="08B6B07D" w:rsidR="00B1108E" w:rsidRPr="00DD74B7" w:rsidRDefault="00043A89" w:rsidP="00F70AE4">
      <w:pPr>
        <w:pStyle w:val="Standard1"/>
        <w:pBdr>
          <w:top w:val="nil"/>
          <w:left w:val="nil"/>
          <w:bottom w:val="nil"/>
          <w:right w:val="nil"/>
          <w:between w:val="nil"/>
        </w:pBdr>
        <w:spacing w:line="480" w:lineRule="auto"/>
        <w:rPr>
          <w:color w:val="000000"/>
        </w:rPr>
      </w:pPr>
      <w:r w:rsidRPr="00DD74B7">
        <w:rPr>
          <w:color w:val="000000"/>
        </w:rPr>
        <w:t>W</w:t>
      </w:r>
      <w:r w:rsidR="00B1108E" w:rsidRPr="00DD74B7">
        <w:rPr>
          <w:color w:val="000000"/>
        </w:rPr>
        <w:t xml:space="preserve">e </w:t>
      </w:r>
      <w:r w:rsidRPr="00DD74B7">
        <w:rPr>
          <w:color w:val="000000"/>
        </w:rPr>
        <w:t xml:space="preserve">thus </w:t>
      </w:r>
      <w:r w:rsidR="00B1108E" w:rsidRPr="00DD74B7">
        <w:rPr>
          <w:color w:val="000000"/>
        </w:rPr>
        <w:t xml:space="preserve">incorporated two features that define an optimal target: the target is based on individual </w:t>
      </w:r>
      <w:r w:rsidR="001414CD" w:rsidRPr="00DD74B7">
        <w:rPr>
          <w:color w:val="000000"/>
        </w:rPr>
        <w:t>rsfMRI</w:t>
      </w:r>
      <w:r w:rsidR="00B1108E" w:rsidRPr="00DD74B7">
        <w:rPr>
          <w:color w:val="000000"/>
        </w:rPr>
        <w:t xml:space="preserve"> data</w:t>
      </w:r>
      <w:r w:rsidR="00B1108E" w:rsidRPr="00DD74B7">
        <w:rPr>
          <w:color w:val="000000"/>
        </w:rPr>
        <w:fldChar w:fldCharType="begin" w:fldLock="1"/>
      </w:r>
      <w:r w:rsidR="001414CD" w:rsidRPr="00DD74B7">
        <w:rPr>
          <w:color w:val="000000"/>
        </w:rPr>
        <w:instrText>ADDIN CSL_CITATION {"citationItems":[{"id":"ITEM-1","itemData":{"DOI":"10.1016/j.neuroimage.2012.10.082","ISBN":"1053-8119","ISSN":"10538119","PMID":"23142067","abstract":"Transcranial magnetic stimulation (TMS) to the left dorsolateral prefrontal cortex (DLPFC) is used clinically for the treatment of depression however outcomes vary greatly between patients. We have shown that average clinical efficacy of different left DLPFC TMS sites is related to intrinsic functional connectivity with remote regions including the subgenual cingulate and suggested that functional connectivity with these remote regions might be used to identify optimized left DLPFC targets for TMS. However it remains unclear if and how this connectivity-based targeting approach should be applied at the single-subject level to potentially individualize therapy to specific patients. In this article we show that individual differences in DLPFC connectivity are large, reproducible across sessions, and can be used to generate individualized DLPFC TMS targets that may prove clinically superior to those selected on the basis of group-average connectivity. Factors likely to improve individualized targeting including the use of seed maps and the focality of stimulation are investigated and discussed. The techniques presented here may be applicable to individualized targeting of focal brain stimulation across a range of diseases and stimulation modalities and can be experimentally tested in clinical trials. ?? 2012 Elsevier Inc.","author":[{"dropping-particle":"","family":"Fox","given":"Michael D.","non-dropping-particle":"","parse-names":false,"suffix":""},{"dropping-particle":"","family":"Liu","given":"Hesheng","non-dropping-particle":"","parse-names":false,"suffix":""},{"dropping-particle":"","family":"Pascual-Leone","given":"Alvaro","non-dropping-particle":"","parse-names":false,"suffix":""}],"container-title":"NeuroImage","id":"ITEM-1","issued":{"date-parts":[["2013"]]},"page":"151-160","publisher":"Elsevier Inc.","title":"Identification of reproducible individualized targets for treatment of depression with TMS based on intrinsic connectivity","type":"article-journal","volume":"66"},"uris":["http://www.mendeley.com/documents/?uuid=01c2d63e-3ade-414a-95b8-fc970f4a05d4"]}],"mendeley":{"formattedCitation":"&lt;sup&gt;5&lt;/sup&gt;","plainTextFormattedCitation":"5","previouslyFormattedCitation":"&lt;sup&gt;5&lt;/sup&gt;"},"properties":{"noteIndex":0},"schema":"https://github.com/citation-style-language/schema/raw/master/csl-citation.json"}</w:instrText>
      </w:r>
      <w:r w:rsidR="00B1108E" w:rsidRPr="00DD74B7">
        <w:rPr>
          <w:color w:val="000000"/>
        </w:rPr>
        <w:fldChar w:fldCharType="separate"/>
      </w:r>
      <w:r w:rsidR="00133DE9" w:rsidRPr="00DD74B7">
        <w:rPr>
          <w:noProof/>
          <w:color w:val="000000"/>
          <w:vertAlign w:val="superscript"/>
        </w:rPr>
        <w:t>5</w:t>
      </w:r>
      <w:r w:rsidR="00B1108E" w:rsidRPr="00DD74B7">
        <w:rPr>
          <w:color w:val="000000"/>
        </w:rPr>
        <w:fldChar w:fldCharType="end"/>
      </w:r>
      <w:r w:rsidR="00B1108E" w:rsidRPr="00DD74B7">
        <w:rPr>
          <w:color w:val="000000"/>
        </w:rPr>
        <w:t xml:space="preserve"> rather than a group average and the target has a negative correlation to sgACC</w:t>
      </w:r>
      <w:r w:rsidR="00B1108E" w:rsidRPr="00DD74B7">
        <w:rPr>
          <w:color w:val="000000"/>
        </w:rPr>
        <w:fldChar w:fldCharType="begin" w:fldLock="1"/>
      </w:r>
      <w:r w:rsidR="001414CD" w:rsidRPr="00DD74B7">
        <w:rPr>
          <w:color w:val="000000"/>
        </w:rPr>
        <w:instrText>ADDIN CSL_CITATION {"citationItems":[{"id":"ITEM-1","itemData":{"DOI":"10.1016/j.biopsych.2012.04.028","ISBN":"1873-2402 (Electronic)\\n0006-3223 (Linking)","ISSN":"00063223","PMID":"22658708","abstract":"Background: Transcranial magnetic stimulation (TMS) to the left dorsolateral prefrontal cortex (DLPFC) is used clinically for the treatment of depression. However, the antidepressant mechanism remains unknown and its therapeutic efficacy remains limited. Recent data suggest that some left DLPFC targets are more effective than others; however, the reasons for this heterogeneity and how to capitalize on this information remain unclear. Methods: Intrinsic (resting state) functional magnetic resonance imaging data from 98 normal subjects were used to compute functional connectivity with various left DLPFC TMS targets employed in the literature. Differences in functional connectivity related to differences in previously reported clinical efficacy were identified. This information was translated into a connectivity-based targeting strategy to identify optimized left DLPFC TMS coordinates. Results in normal subjects were tested for reproducibility in an independent cohort of 13 patients with depression. Results: Differences in functional connectivity were related to previously reported differences in clinical efficacy across a distributed set of cortical and limbic regions. Dorsolateral prefrontal cortex TMS sites with better clinical efficacy were more negatively correlated (anticorrelated) with the subgenual cingulate. Optimum connectivity-based stimulation coordinates were identified in Brodmann area 46. Results were reproducible in patients with depression. Conclusions: Reported antidepressant efficacy of different left DLPFC TMS sites is related to the anticorrelation of each site with the subgenual cingulate, potentially lending insight into the antidepressant mechanism of TMS and suggesting a role for intrinsically anticorrelated networks in depression. These results can be translated into a connectivity-based targeting strategy for focal brain stimulation that might be used to optimize clinical response. © 2012 Society of Biological Psychiatry.","author":[{"dropping-particle":"","family":"Fox","given":"Michael D.","non-dropping-particle":"","parse-names":false,"suffix":""},{"dropping-particle":"","family":"Buckner","given":"Randy L.","non-dropping-particle":"","parse-names":false,"suffix":""},{"dropping-particle":"","family":"White","given":"Matthew P.","non-dropping-particle":"","parse-names":false,"suffix":""},{"dropping-particle":"","family":"Greicius","given":"Michael D.","non-dropping-particle":"","parse-names":false,"suffix":""},{"dropping-particle":"","family":"Pascual-Leone","given":"Alvaro","non-dropping-particle":"","parse-names":false,"suffix":""}],"container-title":"Biological Psychiatry","id":"ITEM-1","issue":"7","issued":{"date-parts":[["2012"]]},"page":"595-603","title":"Efficacy of transcranial magnetic stimulation targets for depression is related to intrinsic functional connectivity with the subgenual cingulate","type":"article-journal","volume":"72"},"uris":["http://www.mendeley.com/documents/?uuid=ebd5d796-628a-4bb7-b969-d2cfed11ad00"]},{"id":"ITEM-2","itemData":{"DOI":"10.1016/j.biopsych.2017.10.028","ISSN":"00063223","abstract":"BACKGROUND The optimal target in the dorsolateral prefrontal cortex for treating depression with repetitive transcranial magnetic stimulation (rTMS) remains unknown. Better efficacy has been associated with stimulation sites that are 1) more anterior and lateral and 2) more functionally connected to the subgenual cingulate. Here we prospectively test whether these factors predict response in individual patients. METHODS A primary cohort (Boston, n = 25) with medication-refractory depression underwent conventional open-label rTMS to the left dorsolateral prefrontal cortex. A secondary cohort (Michigan, n = 16) underwent 4 weeks of sham followed by open-label rTMS for nonresponders (n = 12). In each patient, the location of the stimulation site was recorded with frameless stereotaxy. Connectivity between each patient’s stimulation site and the subgenual cingulate was assessed using resting-state functional connectivity magnetic resonance imaging from a cohort of healthy subjects (n = 1000) and confirmed using connectivity from patients with depression (n = 38). RESULTS In our primary cohort, antidepressant efficacy was predicted by stimulation sites that were both more anterolateral (r = .51, p &lt; .01) and more negatively correlated with the subgenual cingulate (r = −.55, p &lt; .005). However, subgenual connectivity was the only independent predictor of response and the only factor to predict response to active (r = −.52, p &lt; .05) but not sham rTMS in our secondary cohort. CONCLUSIONS This study provides prospective validation that functional connectivity between an individual’s rTMS cortical target and the subgenual cingulate predicts antidepressant response. Implications for improving the cortical rTMS target for depression are discussed.","author":[{"dropping-particle":"","family":"Weigand","given":"Anne","non-dropping-particle":"","parse-names":false,"suffix":""},{"dropping-particle":"","family":"Horn","given":"Andreas","non-dropping-particle":"","parse-names":false,"suffix":""},{"dropping-particle":"","family":"Caballero","given":"Ruth","non-dropping-particle":"","parse-names":false,"suffix":""},{"dropping-particle":"","family":"Cooke","given":"Danielle","non-dropping-particle":"","parse-names":false,"suffix":""},{"dropping-particle":"","family":"Stern","given":"Adam P.","non-dropping-particle":"","parse-names":false,"suffix":""},{"dropping-particle":"","family":"Taylor","given":"Stephan F.","non-dropping-particle":"","parse-names":false,"suffix":""},{"dropping-particle":"","family":"Press","given":"Daniel","non-dropping-particle":"","parse-names":false,"suffix":""},{"dropping-particle":"","family":"Pascual-Leone","given":"Alvaro","non-dropping-particle":"","parse-names":false,"suffix":""},{"dropping-particle":"","family":"Fox","given":"Michael D.","non-dropping-particle":"","parse-names":false,"suffix":""}],"container-title":"Biological Psychiatry","id":"ITEM-2","issue":"1","issued":{"date-parts":[["2018","7","1"]]},"page":"28-37","publisher":"Elsevier","title":"Prospective Validation That Subgenual Connectivity Predicts Antidepressant Efficacy of Transcranial Magnetic Stimulation Sites","type":"article-journal","volume":"84"},"uris":["http://www.mendeley.com/documents/?uuid=69688597-7a37-3703-86a1-0f7e28925f07"]}],"mendeley":{"formattedCitation":"&lt;sup&gt;3,4&lt;/sup&gt;","plainTextFormattedCitation":"3,4","previouslyFormattedCitation":"&lt;sup&gt;3,4&lt;/sup&gt;"},"properties":{"noteIndex":0},"schema":"https://github.com/citation-style-language/schema/raw/master/csl-citation.json"}</w:instrText>
      </w:r>
      <w:r w:rsidR="00B1108E" w:rsidRPr="00DD74B7">
        <w:rPr>
          <w:color w:val="000000"/>
        </w:rPr>
        <w:fldChar w:fldCharType="separate"/>
      </w:r>
      <w:r w:rsidR="00133DE9" w:rsidRPr="00DD74B7">
        <w:rPr>
          <w:noProof/>
          <w:color w:val="000000"/>
          <w:vertAlign w:val="superscript"/>
        </w:rPr>
        <w:t>3,4</w:t>
      </w:r>
      <w:r w:rsidR="00B1108E" w:rsidRPr="00DD74B7">
        <w:rPr>
          <w:color w:val="000000"/>
        </w:rPr>
        <w:fldChar w:fldCharType="end"/>
      </w:r>
      <w:r w:rsidR="00B1108E" w:rsidRPr="00DD74B7">
        <w:rPr>
          <w:color w:val="000000"/>
        </w:rPr>
        <w:t xml:space="preserve">. </w:t>
      </w:r>
    </w:p>
    <w:p w14:paraId="13C2DD74" w14:textId="7632C905" w:rsidR="00B1108E" w:rsidRPr="00DD74B7" w:rsidRDefault="00B1108E" w:rsidP="00F70AE4">
      <w:pPr>
        <w:pStyle w:val="Standard1"/>
        <w:pBdr>
          <w:top w:val="nil"/>
          <w:left w:val="nil"/>
          <w:bottom w:val="nil"/>
          <w:right w:val="nil"/>
          <w:between w:val="nil"/>
        </w:pBdr>
        <w:spacing w:line="480" w:lineRule="auto"/>
        <w:rPr>
          <w:color w:val="000000"/>
        </w:rPr>
      </w:pPr>
      <w:r w:rsidRPr="00DD74B7">
        <w:rPr>
          <w:color w:val="000000"/>
        </w:rPr>
        <w:t>Also, note that even though we ran a temporally concatenated ICA (</w:t>
      </w:r>
      <w:proofErr w:type="spellStart"/>
      <w:r w:rsidRPr="00DD74B7">
        <w:rPr>
          <w:color w:val="000000"/>
        </w:rPr>
        <w:t>tc</w:t>
      </w:r>
      <w:proofErr w:type="spellEnd"/>
      <w:r w:rsidRPr="00DD74B7">
        <w:rPr>
          <w:color w:val="000000"/>
        </w:rPr>
        <w:t xml:space="preserve">-ICA) on a group of </w:t>
      </w:r>
      <w:r w:rsidR="001414CD" w:rsidRPr="00DD74B7">
        <w:rPr>
          <w:color w:val="000000"/>
        </w:rPr>
        <w:t>rsfMRI</w:t>
      </w:r>
      <w:r w:rsidRPr="00DD74B7">
        <w:rPr>
          <w:color w:val="000000"/>
        </w:rPr>
        <w:t xml:space="preserve"> data </w:t>
      </w:r>
      <w:r w:rsidRPr="00DD74B7">
        <w:t>that</w:t>
      </w:r>
      <w:r w:rsidRPr="00DD74B7">
        <w:rPr>
          <w:color w:val="000000"/>
        </w:rPr>
        <w:t xml:space="preserve"> included the subject for which the target was sought, we used the ICs obtained from individual ICA results </w:t>
      </w:r>
      <w:r w:rsidRPr="00DD74B7">
        <w:t>for target selection</w:t>
      </w:r>
      <w:r w:rsidRPr="00DD74B7">
        <w:rPr>
          <w:color w:val="000000"/>
        </w:rPr>
        <w:t xml:space="preserve">. We used the ICs from </w:t>
      </w:r>
      <w:proofErr w:type="spellStart"/>
      <w:r w:rsidRPr="00DD74B7">
        <w:rPr>
          <w:color w:val="000000"/>
        </w:rPr>
        <w:t>tc</w:t>
      </w:r>
      <w:proofErr w:type="spellEnd"/>
      <w:r w:rsidRPr="00DD74B7">
        <w:rPr>
          <w:color w:val="000000"/>
        </w:rPr>
        <w:t xml:space="preserve">-ICA only in cases when ICs from individual ICA failed to </w:t>
      </w:r>
      <w:r w:rsidRPr="00DD74B7">
        <w:t xml:space="preserve">yield </w:t>
      </w:r>
      <w:r w:rsidRPr="00DD74B7">
        <w:rPr>
          <w:color w:val="000000"/>
        </w:rPr>
        <w:t xml:space="preserve">any viable points, due to lack of an overlap. In the cases that we </w:t>
      </w:r>
      <w:r w:rsidRPr="00DD74B7">
        <w:t xml:space="preserve">were unable </w:t>
      </w:r>
      <w:r w:rsidRPr="00DD74B7">
        <w:rPr>
          <w:color w:val="000000"/>
        </w:rPr>
        <w:t xml:space="preserve">to obtain an overlap using </w:t>
      </w:r>
      <w:proofErr w:type="spellStart"/>
      <w:r w:rsidRPr="00DD74B7">
        <w:rPr>
          <w:color w:val="000000"/>
        </w:rPr>
        <w:t>tc</w:t>
      </w:r>
      <w:proofErr w:type="spellEnd"/>
      <w:r w:rsidRPr="00DD74B7">
        <w:rPr>
          <w:color w:val="000000"/>
        </w:rPr>
        <w:t xml:space="preserve">-ICA ICs, we repeated the day 1 </w:t>
      </w:r>
      <w:r w:rsidR="001414CD" w:rsidRPr="00DD74B7">
        <w:rPr>
          <w:color w:val="000000"/>
        </w:rPr>
        <w:t>rsfMRI</w:t>
      </w:r>
      <w:r w:rsidRPr="00DD74B7">
        <w:rPr>
          <w:color w:val="000000"/>
        </w:rPr>
        <w:t xml:space="preserve"> measurement and applied target selection to the new data. For cases in which this was necessary</w:t>
      </w:r>
      <w:r w:rsidR="007F2B0C" w:rsidRPr="00DD74B7">
        <w:rPr>
          <w:color w:val="000000"/>
        </w:rPr>
        <w:t xml:space="preserve"> (n = 3)</w:t>
      </w:r>
      <w:r w:rsidRPr="00DD74B7">
        <w:rPr>
          <w:color w:val="000000"/>
        </w:rPr>
        <w:t xml:space="preserve">, we successfully identified targets with repeated </w:t>
      </w:r>
      <w:r w:rsidR="001414CD" w:rsidRPr="00DD74B7">
        <w:rPr>
          <w:color w:val="000000"/>
        </w:rPr>
        <w:t>rsfMRI</w:t>
      </w:r>
      <w:r w:rsidRPr="00DD74B7">
        <w:rPr>
          <w:color w:val="000000"/>
        </w:rPr>
        <w:t xml:space="preserve"> measurement </w:t>
      </w:r>
      <w:r w:rsidRPr="00DD74B7">
        <w:t>for</w:t>
      </w:r>
      <w:r w:rsidRPr="00DD74B7">
        <w:rPr>
          <w:color w:val="000000"/>
        </w:rPr>
        <w:t xml:space="preserve"> all subject</w:t>
      </w:r>
      <w:r w:rsidR="007F2B0C" w:rsidRPr="00DD74B7">
        <w:rPr>
          <w:color w:val="000000"/>
        </w:rPr>
        <w:t>s</w:t>
      </w:r>
      <w:r w:rsidRPr="00DD74B7">
        <w:rPr>
          <w:color w:val="000000"/>
        </w:rPr>
        <w:t xml:space="preserve">. </w:t>
      </w:r>
    </w:p>
    <w:p w14:paraId="09D4E6F6" w14:textId="76B34A0D" w:rsidR="001414CD" w:rsidRPr="00DD74B7" w:rsidRDefault="001414CD" w:rsidP="00643D44">
      <w:pPr>
        <w:spacing w:line="480" w:lineRule="auto"/>
        <w:rPr>
          <w:rFonts w:cstheme="minorHAnsi"/>
          <w:b/>
          <w:bCs/>
          <w:color w:val="000000"/>
        </w:rPr>
      </w:pPr>
      <w:r w:rsidRPr="00DD74B7">
        <w:rPr>
          <w:rFonts w:cstheme="minorHAnsi"/>
          <w:b/>
          <w:bCs/>
          <w:color w:val="000000"/>
        </w:rPr>
        <w:t>References</w:t>
      </w:r>
    </w:p>
    <w:p w14:paraId="302BE130" w14:textId="1B7F66DF" w:rsidR="001414CD" w:rsidRPr="00DD74B7" w:rsidRDefault="001414CD" w:rsidP="001414CD">
      <w:pPr>
        <w:widowControl w:val="0"/>
        <w:autoSpaceDE w:val="0"/>
        <w:autoSpaceDN w:val="0"/>
        <w:adjustRightInd w:val="0"/>
        <w:spacing w:line="480" w:lineRule="auto"/>
        <w:ind w:left="640" w:hanging="640"/>
        <w:rPr>
          <w:rFonts w:ascii="Calibri" w:hAnsi="Calibri" w:cs="Calibri"/>
          <w:noProof/>
          <w:szCs w:val="24"/>
        </w:rPr>
      </w:pPr>
      <w:r w:rsidRPr="00DD74B7">
        <w:rPr>
          <w:rFonts w:cstheme="minorHAnsi"/>
          <w:b/>
          <w:bCs/>
          <w:color w:val="000000"/>
        </w:rPr>
        <w:fldChar w:fldCharType="begin" w:fldLock="1"/>
      </w:r>
      <w:r w:rsidRPr="00DD74B7">
        <w:rPr>
          <w:rFonts w:cstheme="minorHAnsi"/>
          <w:b/>
          <w:bCs/>
          <w:color w:val="000000"/>
        </w:rPr>
        <w:instrText xml:space="preserve">ADDIN Mendeley Bibliography CSL_BIBLIOGRAPHY </w:instrText>
      </w:r>
      <w:r w:rsidRPr="00DD74B7">
        <w:rPr>
          <w:rFonts w:cstheme="minorHAnsi"/>
          <w:b/>
          <w:bCs/>
          <w:color w:val="000000"/>
        </w:rPr>
        <w:fldChar w:fldCharType="separate"/>
      </w:r>
      <w:r w:rsidRPr="00DD74B7">
        <w:rPr>
          <w:rFonts w:ascii="Calibri" w:hAnsi="Calibri" w:cs="Calibri"/>
          <w:noProof/>
          <w:szCs w:val="24"/>
        </w:rPr>
        <w:t>1.</w:t>
      </w:r>
      <w:r w:rsidRPr="00DD74B7">
        <w:rPr>
          <w:rFonts w:ascii="Calibri" w:hAnsi="Calibri" w:cs="Calibri"/>
          <w:noProof/>
          <w:szCs w:val="24"/>
        </w:rPr>
        <w:tab/>
        <w:t xml:space="preserve">Jenkinson, M., Beckmann, C. F., Behrens, T. E. J., Woolrich, M. W. &amp; Smith, S. M. FSL. </w:t>
      </w:r>
      <w:r w:rsidRPr="00DD74B7">
        <w:rPr>
          <w:rFonts w:ascii="Calibri" w:hAnsi="Calibri" w:cs="Calibri"/>
          <w:i/>
          <w:iCs/>
          <w:noProof/>
          <w:szCs w:val="24"/>
        </w:rPr>
        <w:t>Neuroimage</w:t>
      </w:r>
      <w:r w:rsidRPr="00DD74B7">
        <w:rPr>
          <w:rFonts w:ascii="Calibri" w:hAnsi="Calibri" w:cs="Calibri"/>
          <w:noProof/>
          <w:szCs w:val="24"/>
        </w:rPr>
        <w:t xml:space="preserve"> </w:t>
      </w:r>
      <w:r w:rsidRPr="00DD74B7">
        <w:rPr>
          <w:rFonts w:ascii="Calibri" w:hAnsi="Calibri" w:cs="Calibri"/>
          <w:b/>
          <w:bCs/>
          <w:noProof/>
          <w:szCs w:val="24"/>
        </w:rPr>
        <w:t>62,</w:t>
      </w:r>
      <w:r w:rsidRPr="00DD74B7">
        <w:rPr>
          <w:rFonts w:ascii="Calibri" w:hAnsi="Calibri" w:cs="Calibri"/>
          <w:noProof/>
          <w:szCs w:val="24"/>
        </w:rPr>
        <w:t xml:space="preserve"> 782–790 (2012).</w:t>
      </w:r>
    </w:p>
    <w:p w14:paraId="1E6AA8E2" w14:textId="77777777" w:rsidR="001414CD" w:rsidRPr="00DD74B7" w:rsidRDefault="001414CD" w:rsidP="001414CD">
      <w:pPr>
        <w:widowControl w:val="0"/>
        <w:autoSpaceDE w:val="0"/>
        <w:autoSpaceDN w:val="0"/>
        <w:adjustRightInd w:val="0"/>
        <w:spacing w:line="480" w:lineRule="auto"/>
        <w:ind w:left="640" w:hanging="640"/>
        <w:rPr>
          <w:rFonts w:ascii="Calibri" w:hAnsi="Calibri" w:cs="Calibri"/>
          <w:noProof/>
          <w:szCs w:val="24"/>
        </w:rPr>
      </w:pPr>
      <w:r w:rsidRPr="00DD74B7">
        <w:rPr>
          <w:rFonts w:ascii="Calibri" w:hAnsi="Calibri" w:cs="Calibri"/>
          <w:noProof/>
          <w:szCs w:val="24"/>
        </w:rPr>
        <w:t>2.</w:t>
      </w:r>
      <w:r w:rsidRPr="00DD74B7">
        <w:rPr>
          <w:rFonts w:ascii="Calibri" w:hAnsi="Calibri" w:cs="Calibri"/>
          <w:noProof/>
          <w:szCs w:val="24"/>
        </w:rPr>
        <w:tab/>
        <w:t xml:space="preserve">Yeo, B. T. T. </w:t>
      </w:r>
      <w:r w:rsidRPr="00DD74B7">
        <w:rPr>
          <w:rFonts w:ascii="Calibri" w:hAnsi="Calibri" w:cs="Calibri"/>
          <w:i/>
          <w:iCs/>
          <w:noProof/>
          <w:szCs w:val="24"/>
        </w:rPr>
        <w:t>et al.</w:t>
      </w:r>
      <w:r w:rsidRPr="00DD74B7">
        <w:rPr>
          <w:rFonts w:ascii="Calibri" w:hAnsi="Calibri" w:cs="Calibri"/>
          <w:noProof/>
          <w:szCs w:val="24"/>
        </w:rPr>
        <w:t xml:space="preserve"> The organization of the human cerebral cortex estimated by intrinsic functional connectivity. </w:t>
      </w:r>
      <w:r w:rsidRPr="00DD74B7">
        <w:rPr>
          <w:rFonts w:ascii="Calibri" w:hAnsi="Calibri" w:cs="Calibri"/>
          <w:i/>
          <w:iCs/>
          <w:noProof/>
          <w:szCs w:val="24"/>
        </w:rPr>
        <w:t>J. Neurophysiol.</w:t>
      </w:r>
      <w:r w:rsidRPr="00DD74B7">
        <w:rPr>
          <w:rFonts w:ascii="Calibri" w:hAnsi="Calibri" w:cs="Calibri"/>
          <w:noProof/>
          <w:szCs w:val="24"/>
        </w:rPr>
        <w:t xml:space="preserve"> </w:t>
      </w:r>
      <w:r w:rsidRPr="00DD74B7">
        <w:rPr>
          <w:rFonts w:ascii="Calibri" w:hAnsi="Calibri" w:cs="Calibri"/>
          <w:b/>
          <w:bCs/>
          <w:noProof/>
          <w:szCs w:val="24"/>
        </w:rPr>
        <w:t>106,</w:t>
      </w:r>
      <w:r w:rsidRPr="00DD74B7">
        <w:rPr>
          <w:rFonts w:ascii="Calibri" w:hAnsi="Calibri" w:cs="Calibri"/>
          <w:noProof/>
          <w:szCs w:val="24"/>
        </w:rPr>
        <w:t xml:space="preserve"> 1125–1165 (2011).</w:t>
      </w:r>
    </w:p>
    <w:p w14:paraId="7CDDB3A6" w14:textId="77777777" w:rsidR="001414CD" w:rsidRPr="00DD74B7" w:rsidRDefault="001414CD" w:rsidP="001414CD">
      <w:pPr>
        <w:widowControl w:val="0"/>
        <w:autoSpaceDE w:val="0"/>
        <w:autoSpaceDN w:val="0"/>
        <w:adjustRightInd w:val="0"/>
        <w:spacing w:line="480" w:lineRule="auto"/>
        <w:ind w:left="640" w:hanging="640"/>
        <w:rPr>
          <w:rFonts w:ascii="Calibri" w:hAnsi="Calibri" w:cs="Calibri"/>
          <w:noProof/>
          <w:szCs w:val="24"/>
        </w:rPr>
      </w:pPr>
      <w:r w:rsidRPr="00DD74B7">
        <w:rPr>
          <w:rFonts w:ascii="Calibri" w:hAnsi="Calibri" w:cs="Calibri"/>
          <w:noProof/>
          <w:szCs w:val="24"/>
        </w:rPr>
        <w:t>3.</w:t>
      </w:r>
      <w:r w:rsidRPr="00DD74B7">
        <w:rPr>
          <w:rFonts w:ascii="Calibri" w:hAnsi="Calibri" w:cs="Calibri"/>
          <w:noProof/>
          <w:szCs w:val="24"/>
        </w:rPr>
        <w:tab/>
        <w:t xml:space="preserve">Fox, M. D., Buckner, R. L., White, M. P., Greicius, M. D. &amp; Pascual-Leone, A. Efficacy of transcranial magnetic stimulation targets for depression is related to intrinsic functional connectivity with the subgenual cingulate. </w:t>
      </w:r>
      <w:r w:rsidRPr="00DD74B7">
        <w:rPr>
          <w:rFonts w:ascii="Calibri" w:hAnsi="Calibri" w:cs="Calibri"/>
          <w:i/>
          <w:iCs/>
          <w:noProof/>
          <w:szCs w:val="24"/>
        </w:rPr>
        <w:t>Biol. Psychiatry</w:t>
      </w:r>
      <w:r w:rsidRPr="00DD74B7">
        <w:rPr>
          <w:rFonts w:ascii="Calibri" w:hAnsi="Calibri" w:cs="Calibri"/>
          <w:noProof/>
          <w:szCs w:val="24"/>
        </w:rPr>
        <w:t xml:space="preserve"> </w:t>
      </w:r>
      <w:r w:rsidRPr="00DD74B7">
        <w:rPr>
          <w:rFonts w:ascii="Calibri" w:hAnsi="Calibri" w:cs="Calibri"/>
          <w:b/>
          <w:bCs/>
          <w:noProof/>
          <w:szCs w:val="24"/>
        </w:rPr>
        <w:t>72,</w:t>
      </w:r>
      <w:r w:rsidRPr="00DD74B7">
        <w:rPr>
          <w:rFonts w:ascii="Calibri" w:hAnsi="Calibri" w:cs="Calibri"/>
          <w:noProof/>
          <w:szCs w:val="24"/>
        </w:rPr>
        <w:t xml:space="preserve"> 595–603 (2012).</w:t>
      </w:r>
    </w:p>
    <w:p w14:paraId="6041E76E" w14:textId="77777777" w:rsidR="001414CD" w:rsidRPr="00DD74B7" w:rsidRDefault="001414CD" w:rsidP="001414CD">
      <w:pPr>
        <w:widowControl w:val="0"/>
        <w:autoSpaceDE w:val="0"/>
        <w:autoSpaceDN w:val="0"/>
        <w:adjustRightInd w:val="0"/>
        <w:spacing w:line="480" w:lineRule="auto"/>
        <w:ind w:left="640" w:hanging="640"/>
        <w:rPr>
          <w:rFonts w:ascii="Calibri" w:hAnsi="Calibri" w:cs="Calibri"/>
          <w:noProof/>
          <w:szCs w:val="24"/>
        </w:rPr>
      </w:pPr>
      <w:r w:rsidRPr="00DD74B7">
        <w:rPr>
          <w:rFonts w:ascii="Calibri" w:hAnsi="Calibri" w:cs="Calibri"/>
          <w:noProof/>
          <w:szCs w:val="24"/>
        </w:rPr>
        <w:lastRenderedPageBreak/>
        <w:t>4.</w:t>
      </w:r>
      <w:r w:rsidRPr="00DD74B7">
        <w:rPr>
          <w:rFonts w:ascii="Calibri" w:hAnsi="Calibri" w:cs="Calibri"/>
          <w:noProof/>
          <w:szCs w:val="24"/>
        </w:rPr>
        <w:tab/>
        <w:t xml:space="preserve">Weigand, A. </w:t>
      </w:r>
      <w:r w:rsidRPr="00DD74B7">
        <w:rPr>
          <w:rFonts w:ascii="Calibri" w:hAnsi="Calibri" w:cs="Calibri"/>
          <w:i/>
          <w:iCs/>
          <w:noProof/>
          <w:szCs w:val="24"/>
        </w:rPr>
        <w:t>et al.</w:t>
      </w:r>
      <w:r w:rsidRPr="00DD74B7">
        <w:rPr>
          <w:rFonts w:ascii="Calibri" w:hAnsi="Calibri" w:cs="Calibri"/>
          <w:noProof/>
          <w:szCs w:val="24"/>
        </w:rPr>
        <w:t xml:space="preserve"> Prospective Validation That Subgenual Connectivity Predicts Antidepressant Efficacy of Transcranial Magnetic Stimulation Sites. </w:t>
      </w:r>
      <w:r w:rsidRPr="00DD74B7">
        <w:rPr>
          <w:rFonts w:ascii="Calibri" w:hAnsi="Calibri" w:cs="Calibri"/>
          <w:i/>
          <w:iCs/>
          <w:noProof/>
          <w:szCs w:val="24"/>
        </w:rPr>
        <w:t>Biol. Psychiatry</w:t>
      </w:r>
      <w:r w:rsidRPr="00DD74B7">
        <w:rPr>
          <w:rFonts w:ascii="Calibri" w:hAnsi="Calibri" w:cs="Calibri"/>
          <w:noProof/>
          <w:szCs w:val="24"/>
        </w:rPr>
        <w:t xml:space="preserve"> </w:t>
      </w:r>
      <w:r w:rsidRPr="00DD74B7">
        <w:rPr>
          <w:rFonts w:ascii="Calibri" w:hAnsi="Calibri" w:cs="Calibri"/>
          <w:b/>
          <w:bCs/>
          <w:noProof/>
          <w:szCs w:val="24"/>
        </w:rPr>
        <w:t>84,</w:t>
      </w:r>
      <w:r w:rsidRPr="00DD74B7">
        <w:rPr>
          <w:rFonts w:ascii="Calibri" w:hAnsi="Calibri" w:cs="Calibri"/>
          <w:noProof/>
          <w:szCs w:val="24"/>
        </w:rPr>
        <w:t xml:space="preserve"> 28–37 (2018).</w:t>
      </w:r>
    </w:p>
    <w:p w14:paraId="08558AA1" w14:textId="76A1D01B" w:rsidR="00946C63" w:rsidRDefault="001414CD" w:rsidP="00946C63">
      <w:pPr>
        <w:widowControl w:val="0"/>
        <w:autoSpaceDE w:val="0"/>
        <w:autoSpaceDN w:val="0"/>
        <w:adjustRightInd w:val="0"/>
        <w:spacing w:line="480" w:lineRule="auto"/>
        <w:ind w:left="640" w:hanging="640"/>
        <w:rPr>
          <w:rFonts w:ascii="Calibri" w:hAnsi="Calibri" w:cs="Calibri"/>
          <w:noProof/>
          <w:szCs w:val="24"/>
        </w:rPr>
      </w:pPr>
      <w:r w:rsidRPr="00DD74B7">
        <w:rPr>
          <w:rFonts w:ascii="Calibri" w:hAnsi="Calibri" w:cs="Calibri"/>
          <w:noProof/>
          <w:szCs w:val="24"/>
        </w:rPr>
        <w:t>5.</w:t>
      </w:r>
      <w:r w:rsidRPr="00DD74B7">
        <w:rPr>
          <w:rFonts w:ascii="Calibri" w:hAnsi="Calibri" w:cs="Calibri"/>
          <w:noProof/>
          <w:szCs w:val="24"/>
        </w:rPr>
        <w:tab/>
        <w:t xml:space="preserve">Fox, M. D., Liu, H. &amp; Pascual-Leone, A. Identification of reproducible individualized targets for treatment of depression with TMS based on intrinsic connectivity. </w:t>
      </w:r>
      <w:r w:rsidRPr="00DD74B7">
        <w:rPr>
          <w:rFonts w:ascii="Calibri" w:hAnsi="Calibri" w:cs="Calibri"/>
          <w:i/>
          <w:iCs/>
          <w:noProof/>
          <w:szCs w:val="24"/>
        </w:rPr>
        <w:t>Neuroimage</w:t>
      </w:r>
      <w:r w:rsidRPr="00DD74B7">
        <w:rPr>
          <w:rFonts w:ascii="Calibri" w:hAnsi="Calibri" w:cs="Calibri"/>
          <w:noProof/>
          <w:szCs w:val="24"/>
        </w:rPr>
        <w:t xml:space="preserve"> </w:t>
      </w:r>
      <w:r w:rsidRPr="00DD74B7">
        <w:rPr>
          <w:rFonts w:ascii="Calibri" w:hAnsi="Calibri" w:cs="Calibri"/>
          <w:b/>
          <w:bCs/>
          <w:noProof/>
          <w:szCs w:val="24"/>
        </w:rPr>
        <w:t>66,</w:t>
      </w:r>
      <w:r w:rsidRPr="00DD74B7">
        <w:rPr>
          <w:rFonts w:ascii="Calibri" w:hAnsi="Calibri" w:cs="Calibri"/>
          <w:noProof/>
          <w:szCs w:val="24"/>
        </w:rPr>
        <w:t xml:space="preserve"> 151–160 (2013).</w:t>
      </w:r>
    </w:p>
    <w:p w14:paraId="38B99CFC" w14:textId="0D8876D6"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4743A192" w14:textId="721D6FFB"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6E5DD52F" w14:textId="6771A5E5"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0DF63117" w14:textId="14793920"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0991306F" w14:textId="03257AD0"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4FE536F5" w14:textId="4F6C871F"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118884B6" w14:textId="791815E2"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2C0C7989" w14:textId="4A7E5ACF"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6C6E9B14" w14:textId="46F8ACFF"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4D11947E" w14:textId="19D473F8"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0671B9EE" w14:textId="0096A687"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2E7F3E78" w14:textId="3FB7D07E"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09C64925" w14:textId="4484357C"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1F04A0E7" w14:textId="7FDA8F67" w:rsidR="004B559E" w:rsidRDefault="004B559E" w:rsidP="00946C63">
      <w:pPr>
        <w:widowControl w:val="0"/>
        <w:autoSpaceDE w:val="0"/>
        <w:autoSpaceDN w:val="0"/>
        <w:adjustRightInd w:val="0"/>
        <w:spacing w:line="480" w:lineRule="auto"/>
        <w:ind w:left="640" w:hanging="640"/>
        <w:rPr>
          <w:rFonts w:ascii="Calibri" w:hAnsi="Calibri" w:cs="Calibri"/>
          <w:noProof/>
          <w:szCs w:val="24"/>
        </w:rPr>
      </w:pPr>
    </w:p>
    <w:p w14:paraId="2121E61F" w14:textId="48F840D8" w:rsidR="007E309B" w:rsidRPr="00946C63" w:rsidRDefault="00B245C6" w:rsidP="00946C63">
      <w:pPr>
        <w:spacing w:line="480" w:lineRule="auto"/>
        <w:rPr>
          <w:rFonts w:cstheme="minorHAnsi"/>
          <w:b/>
          <w:bCs/>
          <w:color w:val="000000"/>
        </w:rPr>
      </w:pPr>
      <w:r w:rsidRPr="00DD74B7">
        <w:rPr>
          <w:rFonts w:cstheme="minorHAnsi"/>
          <w:b/>
          <w:bCs/>
          <w:noProof/>
          <w:color w:val="000000"/>
          <w:lang w:val="de-DE" w:eastAsia="de-DE"/>
        </w:rPr>
        <w:lastRenderedPageBreak/>
        <w:drawing>
          <wp:anchor distT="0" distB="0" distL="114300" distR="114300" simplePos="0" relativeHeight="251658240" behindDoc="1" locked="0" layoutInCell="1" allowOverlap="1" wp14:anchorId="2D851D48" wp14:editId="656C36AC">
            <wp:simplePos x="0" y="0"/>
            <wp:positionH relativeFrom="margin">
              <wp:posOffset>-2336800</wp:posOffset>
            </wp:positionH>
            <wp:positionV relativeFrom="margin">
              <wp:posOffset>2451100</wp:posOffset>
            </wp:positionV>
            <wp:extent cx="9585325" cy="3966210"/>
            <wp:effectExtent l="9208" t="0" r="6032" b="6033"/>
            <wp:wrapTight wrapText="bothSides">
              <wp:wrapPolygon edited="0">
                <wp:start x="21579" y="-50"/>
                <wp:lineTo x="29" y="-50"/>
                <wp:lineTo x="29" y="21529"/>
                <wp:lineTo x="21579" y="21529"/>
                <wp:lineTo x="21579" y="-5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_Figure_1.tif"/>
                    <pic:cNvPicPr/>
                  </pic:nvPicPr>
                  <pic:blipFill rotWithShape="1">
                    <a:blip r:embed="rId9">
                      <a:extLst>
                        <a:ext uri="{28A0092B-C50C-407E-A947-70E740481C1C}">
                          <a14:useLocalDpi xmlns:a14="http://schemas.microsoft.com/office/drawing/2010/main" val="0"/>
                        </a:ext>
                      </a:extLst>
                    </a:blip>
                    <a:srcRect b="17239"/>
                    <a:stretch/>
                  </pic:blipFill>
                  <pic:spPr bwMode="auto">
                    <a:xfrm rot="16200000">
                      <a:off x="0" y="0"/>
                      <a:ext cx="9585325" cy="3966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14CD" w:rsidRPr="00DD74B7">
        <w:rPr>
          <w:rFonts w:cstheme="minorHAnsi"/>
          <w:b/>
          <w:bCs/>
          <w:color w:val="000000"/>
        </w:rPr>
        <w:fldChar w:fldCharType="end"/>
      </w:r>
      <w:bookmarkStart w:id="2" w:name="_GoBack"/>
      <w:bookmarkEnd w:id="2"/>
    </w:p>
    <w:sectPr w:rsidR="007E309B" w:rsidRPr="00946C63" w:rsidSect="00946C63">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97710"/>
    <w:multiLevelType w:val="hybridMultilevel"/>
    <w:tmpl w:val="2A402AC6"/>
    <w:lvl w:ilvl="0" w:tplc="4FBC775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9CE61FA"/>
    <w:multiLevelType w:val="hybridMultilevel"/>
    <w:tmpl w:val="2A402AC6"/>
    <w:lvl w:ilvl="0" w:tplc="4FBC775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755"/>
    <w:rsid w:val="000070AD"/>
    <w:rsid w:val="0001010E"/>
    <w:rsid w:val="00013E0D"/>
    <w:rsid w:val="00043A89"/>
    <w:rsid w:val="000C3D27"/>
    <w:rsid w:val="000E1DD2"/>
    <w:rsid w:val="000E4E81"/>
    <w:rsid w:val="00126394"/>
    <w:rsid w:val="00133DE9"/>
    <w:rsid w:val="001414CD"/>
    <w:rsid w:val="00161B97"/>
    <w:rsid w:val="001B0A71"/>
    <w:rsid w:val="001C1755"/>
    <w:rsid w:val="001C4FDB"/>
    <w:rsid w:val="001F1BE7"/>
    <w:rsid w:val="001F41AA"/>
    <w:rsid w:val="0023608B"/>
    <w:rsid w:val="002C06F9"/>
    <w:rsid w:val="002C0811"/>
    <w:rsid w:val="002E0842"/>
    <w:rsid w:val="00314272"/>
    <w:rsid w:val="003665E5"/>
    <w:rsid w:val="003728CB"/>
    <w:rsid w:val="00376B37"/>
    <w:rsid w:val="003A079C"/>
    <w:rsid w:val="004122FC"/>
    <w:rsid w:val="004734E9"/>
    <w:rsid w:val="004B559E"/>
    <w:rsid w:val="005234C4"/>
    <w:rsid w:val="00540C1D"/>
    <w:rsid w:val="00561251"/>
    <w:rsid w:val="005C14E7"/>
    <w:rsid w:val="006368E6"/>
    <w:rsid w:val="00643D44"/>
    <w:rsid w:val="00692683"/>
    <w:rsid w:val="006C5ABD"/>
    <w:rsid w:val="006F30AB"/>
    <w:rsid w:val="007273F7"/>
    <w:rsid w:val="00752A66"/>
    <w:rsid w:val="007543A4"/>
    <w:rsid w:val="00763129"/>
    <w:rsid w:val="007C0235"/>
    <w:rsid w:val="007E309B"/>
    <w:rsid w:val="007F2B0C"/>
    <w:rsid w:val="008108DB"/>
    <w:rsid w:val="008771AD"/>
    <w:rsid w:val="00946C63"/>
    <w:rsid w:val="009C5340"/>
    <w:rsid w:val="009D5FCB"/>
    <w:rsid w:val="00A10047"/>
    <w:rsid w:val="00A108FF"/>
    <w:rsid w:val="00A75A21"/>
    <w:rsid w:val="00B1108E"/>
    <w:rsid w:val="00B1178E"/>
    <w:rsid w:val="00B245C6"/>
    <w:rsid w:val="00B344AF"/>
    <w:rsid w:val="00B415F1"/>
    <w:rsid w:val="00B44D0F"/>
    <w:rsid w:val="00B53EAE"/>
    <w:rsid w:val="00B95B88"/>
    <w:rsid w:val="00B96B79"/>
    <w:rsid w:val="00BC541B"/>
    <w:rsid w:val="00BF08B7"/>
    <w:rsid w:val="00C060B3"/>
    <w:rsid w:val="00C17DA7"/>
    <w:rsid w:val="00C44EF1"/>
    <w:rsid w:val="00C7073B"/>
    <w:rsid w:val="00C74FF5"/>
    <w:rsid w:val="00C7748E"/>
    <w:rsid w:val="00C81CA5"/>
    <w:rsid w:val="00D319CF"/>
    <w:rsid w:val="00D33507"/>
    <w:rsid w:val="00D82D2F"/>
    <w:rsid w:val="00D85FB2"/>
    <w:rsid w:val="00DB5970"/>
    <w:rsid w:val="00DD74B7"/>
    <w:rsid w:val="00E96A87"/>
    <w:rsid w:val="00ED5507"/>
    <w:rsid w:val="00F42BC3"/>
    <w:rsid w:val="00F53ECE"/>
    <w:rsid w:val="00F70AE4"/>
    <w:rsid w:val="00FD281B"/>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C118"/>
  <w15:docId w15:val="{7E285AED-67B5-4A4C-A868-00B6A283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70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1">
    <w:name w:val="Standard1"/>
    <w:rsid w:val="001C1755"/>
    <w:rPr>
      <w:rFonts w:ascii="Calibri" w:eastAsia="Calibri" w:hAnsi="Calibri" w:cs="Calibri"/>
      <w:lang w:eastAsia="en-GB" w:bidi="hi-IN"/>
    </w:rPr>
  </w:style>
  <w:style w:type="paragraph" w:styleId="Subtitle">
    <w:name w:val="Subtitle"/>
    <w:basedOn w:val="Standard1"/>
    <w:next w:val="Standard1"/>
    <w:link w:val="SubtitleChar"/>
    <w:rsid w:val="001C1755"/>
    <w:pPr>
      <w:pBdr>
        <w:top w:val="nil"/>
        <w:left w:val="nil"/>
        <w:bottom w:val="nil"/>
        <w:right w:val="nil"/>
        <w:between w:val="nil"/>
      </w:pBdr>
    </w:pPr>
    <w:rPr>
      <w:rFonts w:ascii="Cambria" w:eastAsia="Cambria" w:hAnsi="Cambria" w:cs="Mangal"/>
      <w:i/>
      <w:color w:val="4F81BD"/>
      <w:sz w:val="24"/>
      <w:szCs w:val="24"/>
    </w:rPr>
  </w:style>
  <w:style w:type="character" w:customStyle="1" w:styleId="SubtitleChar">
    <w:name w:val="Subtitle Char"/>
    <w:basedOn w:val="DefaultParagraphFont"/>
    <w:link w:val="Subtitle"/>
    <w:rsid w:val="001C1755"/>
    <w:rPr>
      <w:rFonts w:ascii="Cambria" w:eastAsia="Cambria" w:hAnsi="Cambria" w:cs="Mangal"/>
      <w:i/>
      <w:color w:val="4F81BD"/>
      <w:sz w:val="24"/>
      <w:szCs w:val="24"/>
      <w:lang w:bidi="hi-IN"/>
    </w:rPr>
  </w:style>
  <w:style w:type="paragraph" w:styleId="BalloonText">
    <w:name w:val="Balloon Text"/>
    <w:basedOn w:val="Normal"/>
    <w:link w:val="BalloonTextChar"/>
    <w:uiPriority w:val="99"/>
    <w:semiHidden/>
    <w:unhideWhenUsed/>
    <w:rsid w:val="002C0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6F9"/>
    <w:rPr>
      <w:rFonts w:ascii="Tahoma" w:hAnsi="Tahoma" w:cs="Tahoma"/>
      <w:sz w:val="16"/>
      <w:szCs w:val="16"/>
    </w:rPr>
  </w:style>
  <w:style w:type="paragraph" w:customStyle="1" w:styleId="SOMHead">
    <w:name w:val="SOMHead"/>
    <w:basedOn w:val="Normal"/>
    <w:rsid w:val="002C06F9"/>
    <w:pPr>
      <w:keepNext/>
      <w:spacing w:before="240" w:after="0" w:line="240" w:lineRule="auto"/>
      <w:outlineLvl w:val="0"/>
    </w:pPr>
    <w:rPr>
      <w:rFonts w:ascii="Times New Roman" w:eastAsia="Times New Roman" w:hAnsi="Times New Roman" w:cs="Times New Roman"/>
      <w:b/>
      <w:kern w:val="28"/>
      <w:sz w:val="24"/>
      <w:szCs w:val="24"/>
      <w:lang w:val="en-US"/>
    </w:rPr>
  </w:style>
  <w:style w:type="paragraph" w:customStyle="1" w:styleId="BaseText">
    <w:name w:val="Base_Text"/>
    <w:rsid w:val="00C44EF1"/>
    <w:pPr>
      <w:spacing w:before="120" w:after="0" w:line="240" w:lineRule="auto"/>
    </w:pPr>
    <w:rPr>
      <w:rFonts w:ascii="Times New Roman" w:eastAsia="Times New Roman" w:hAnsi="Times New Roman" w:cs="Times New Roman"/>
      <w:sz w:val="24"/>
      <w:szCs w:val="24"/>
      <w:lang w:val="en-US"/>
    </w:rPr>
  </w:style>
  <w:style w:type="paragraph" w:customStyle="1" w:styleId="Paragraph">
    <w:name w:val="Paragraph"/>
    <w:basedOn w:val="BaseText"/>
    <w:rsid w:val="007273F7"/>
    <w:pPr>
      <w:ind w:firstLine="720"/>
    </w:pPr>
  </w:style>
  <w:style w:type="paragraph" w:styleId="CommentText">
    <w:name w:val="annotation text"/>
    <w:basedOn w:val="Normal"/>
    <w:link w:val="CommentTextChar"/>
    <w:uiPriority w:val="99"/>
    <w:semiHidden/>
    <w:rsid w:val="007273F7"/>
    <w:pPr>
      <w:spacing w:after="0" w:line="240" w:lineRule="auto"/>
    </w:pPr>
    <w:rPr>
      <w:rFonts w:ascii="Times New Roman" w:eastAsia="Times New Roman" w:hAnsi="Times New Roman" w:cs="Mangal"/>
      <w:sz w:val="20"/>
      <w:szCs w:val="20"/>
      <w:lang w:bidi="hi-IN"/>
    </w:rPr>
  </w:style>
  <w:style w:type="character" w:customStyle="1" w:styleId="CommentTextChar">
    <w:name w:val="Comment Text Char"/>
    <w:basedOn w:val="DefaultParagraphFont"/>
    <w:link w:val="CommentText"/>
    <w:uiPriority w:val="99"/>
    <w:semiHidden/>
    <w:rsid w:val="007273F7"/>
    <w:rPr>
      <w:rFonts w:ascii="Times New Roman" w:eastAsia="Times New Roman" w:hAnsi="Times New Roman" w:cs="Mangal"/>
      <w:sz w:val="20"/>
      <w:szCs w:val="20"/>
      <w:lang w:bidi="hi-IN"/>
    </w:rPr>
  </w:style>
  <w:style w:type="paragraph" w:customStyle="1" w:styleId="Teaser">
    <w:name w:val="Teaser"/>
    <w:basedOn w:val="BaseText"/>
    <w:rsid w:val="007273F7"/>
  </w:style>
  <w:style w:type="character" w:styleId="CommentReference">
    <w:name w:val="annotation reference"/>
    <w:rsid w:val="008771AD"/>
    <w:rPr>
      <w:sz w:val="18"/>
      <w:szCs w:val="18"/>
    </w:rPr>
  </w:style>
  <w:style w:type="character" w:styleId="Hyperlink">
    <w:name w:val="Hyperlink"/>
    <w:rsid w:val="00D33507"/>
    <w:rPr>
      <w:color w:val="0000FF"/>
      <w:u w:val="single"/>
    </w:rPr>
  </w:style>
  <w:style w:type="paragraph" w:styleId="CommentSubject">
    <w:name w:val="annotation subject"/>
    <w:basedOn w:val="CommentText"/>
    <w:next w:val="CommentText"/>
    <w:link w:val="CommentSubjectChar"/>
    <w:uiPriority w:val="99"/>
    <w:semiHidden/>
    <w:unhideWhenUsed/>
    <w:rsid w:val="00FD281B"/>
    <w:pPr>
      <w:spacing w:after="20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FD281B"/>
    <w:rPr>
      <w:rFonts w:ascii="Times New Roman" w:eastAsia="Times New Roman" w:hAnsi="Times New Roman" w:cs="Mangal"/>
      <w:b/>
      <w:bCs/>
      <w:sz w:val="20"/>
      <w:szCs w:val="20"/>
      <w:lang w:bidi="hi-IN"/>
    </w:rPr>
  </w:style>
  <w:style w:type="character" w:styleId="LineNumber">
    <w:name w:val="line number"/>
    <w:basedOn w:val="DefaultParagraphFont"/>
    <w:uiPriority w:val="99"/>
    <w:semiHidden/>
    <w:unhideWhenUsed/>
    <w:rsid w:val="007F2B0C"/>
  </w:style>
  <w:style w:type="paragraph" w:styleId="ListParagraph">
    <w:name w:val="List Paragraph"/>
    <w:basedOn w:val="Normal"/>
    <w:uiPriority w:val="34"/>
    <w:qFormat/>
    <w:rsid w:val="00F42B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173646">
      <w:bodyDiv w:val="1"/>
      <w:marLeft w:val="0"/>
      <w:marRight w:val="0"/>
      <w:marTop w:val="0"/>
      <w:marBottom w:val="0"/>
      <w:divBdr>
        <w:top w:val="none" w:sz="0" w:space="0" w:color="auto"/>
        <w:left w:val="none" w:sz="0" w:space="0" w:color="auto"/>
        <w:bottom w:val="none" w:sz="0" w:space="0" w:color="auto"/>
        <w:right w:val="none" w:sz="0" w:space="0" w:color="auto"/>
      </w:divBdr>
    </w:div>
    <w:div w:id="17214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l.ion.ucl.ac.uk/spm5)" TargetMode="External"/><Relationship Id="rId3" Type="http://schemas.openxmlformats.org/officeDocument/2006/relationships/styles" Target="styles.xml"/><Relationship Id="rId7" Type="http://schemas.openxmlformats.org/officeDocument/2006/relationships/hyperlink" Target="http://www.fil.ion.ucl.ac.uk/spm/software/spm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berto.goya@med.uni-goettingen.d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37680-BF27-40FB-94F6-42854C645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4318</Words>
  <Characters>24614</Characters>
  <Application>Microsoft Office Word</Application>
  <DocSecurity>0</DocSecurity>
  <Lines>205</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dc:creator>
  <cp:keywords/>
  <dc:description/>
  <cp:lastModifiedBy>4F2E49D94299E945B86C57DA7E48F1777C026749</cp:lastModifiedBy>
  <cp:revision>10</cp:revision>
  <cp:lastPrinted>2019-03-15T18:14:00Z</cp:lastPrinted>
  <dcterms:created xsi:type="dcterms:W3CDTF">2019-03-15T12:32:00Z</dcterms:created>
  <dcterms:modified xsi:type="dcterms:W3CDTF">2019-03-15T18:53:00Z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http://www.zotero.org/styles/biological-psychiatry</vt:lpwstr>
  </property>
  <property fmtid="{D5CDD505-2E9C-101B-9397-08002B2CF9AE}" pid="7" name="Mendeley Recent Style Name 2_1">
    <vt:lpwstr>Biological Psychiatry</vt:lpwstr>
  </property>
  <property fmtid="{D5CDD505-2E9C-101B-9397-08002B2CF9AE}" pid="8" name="Mendeley Recent Style Id 3_1">
    <vt:lpwstr>http://www.zotero.org/styles/brain-stimulation</vt:lpwstr>
  </property>
  <property fmtid="{D5CDD505-2E9C-101B-9397-08002B2CF9AE}" pid="9" name="Mendeley Recent Style Name 3_1">
    <vt:lpwstr>Brain Stimulation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7th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http://www.zotero.org/styles/sage-vancouver-brackets</vt:lpwstr>
  </property>
  <property fmtid="{D5CDD505-2E9C-101B-9397-08002B2CF9AE}" pid="17" name="Mendeley Recent Style Name 7_1">
    <vt:lpwstr>SAGE - Vancouver (brackets)</vt:lpwstr>
  </property>
  <property fmtid="{D5CDD505-2E9C-101B-9397-08002B2CF9AE}" pid="18" name="Mendeley Recent Style Id 8_1">
    <vt:lpwstr>http://www.zotero.org/styles/scientific-reports</vt:lpwstr>
  </property>
  <property fmtid="{D5CDD505-2E9C-101B-9397-08002B2CF9AE}" pid="19" name="Mendeley Recent Style Name 8_1">
    <vt:lpwstr>Scientific Reports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5a13480d-d262-3b91-83fa-294ef1f3c62c</vt:lpwstr>
  </property>
  <property fmtid="{D5CDD505-2E9C-101B-9397-08002B2CF9AE}" pid="24" name="Mendeley Citation Style_1">
    <vt:lpwstr>http://www.zotero.org/styles/scientific-reports</vt:lpwstr>
  </property>
</Properties>
</file>