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3EDE" w:rsidRDefault="00416BEA" w:rsidP="00416BEA">
      <w:pPr>
        <w:suppressLineNumbers/>
        <w:spacing w:line="240" w:lineRule="auto"/>
      </w:pPr>
      <w:r>
        <w:rPr>
          <w:b/>
          <w:sz w:val="28"/>
        </w:rPr>
        <w:t xml:space="preserve">Appendix S1. </w:t>
      </w:r>
      <w:r w:rsidR="001D3EDE" w:rsidRPr="00AA2E54">
        <w:rPr>
          <w:b/>
          <w:sz w:val="28"/>
        </w:rPr>
        <w:t xml:space="preserve">Online Supplement for </w:t>
      </w:r>
      <w:r w:rsidR="001D3EDE" w:rsidRPr="00C37BDA">
        <w:t>“</w:t>
      </w:r>
      <w:r w:rsidR="00137436">
        <w:rPr>
          <w:i/>
        </w:rPr>
        <w:t>Distinguishing between sea turtle foraging areas using stable isotopes from commensal barnacle shells</w:t>
      </w:r>
      <w:bookmarkStart w:id="0" w:name="_GoBack"/>
      <w:bookmarkEnd w:id="0"/>
      <w:r w:rsidR="001D3EDE">
        <w:t>”</w:t>
      </w:r>
    </w:p>
    <w:p w:rsidR="001D3EDE" w:rsidRDefault="001D3EDE" w:rsidP="001D3EDE">
      <w:pPr>
        <w:suppressLineNumbers/>
        <w:spacing w:after="0" w:line="240" w:lineRule="auto"/>
      </w:pPr>
      <w:r>
        <w:t>Ryan M. Pearson*</w:t>
      </w:r>
      <w:r w:rsidRPr="00680AC3">
        <w:rPr>
          <w:vertAlign w:val="superscript"/>
        </w:rPr>
        <w:t>1</w:t>
      </w:r>
      <w:r>
        <w:t>, Jason P. van de Merwe</w:t>
      </w:r>
      <w:r w:rsidRPr="009E0022">
        <w:rPr>
          <w:vertAlign w:val="superscript"/>
        </w:rPr>
        <w:t>1</w:t>
      </w:r>
      <w:r>
        <w:t>, Michael K. Gagan</w:t>
      </w:r>
      <w:r w:rsidRPr="00B14D0C">
        <w:rPr>
          <w:vertAlign w:val="superscript"/>
        </w:rPr>
        <w:t>2</w:t>
      </w:r>
      <w:r>
        <w:t>, Colin J. Limpus</w:t>
      </w:r>
      <w:r>
        <w:rPr>
          <w:vertAlign w:val="superscript"/>
        </w:rPr>
        <w:t>3</w:t>
      </w:r>
      <w:r>
        <w:t>, Rod M. Connolly</w:t>
      </w:r>
      <w:r w:rsidRPr="009E0022">
        <w:rPr>
          <w:vertAlign w:val="superscript"/>
        </w:rPr>
        <w:t>1</w:t>
      </w:r>
    </w:p>
    <w:p w:rsidR="00416BEA" w:rsidRDefault="00416BEA" w:rsidP="001D3EDE">
      <w:pPr>
        <w:spacing w:after="0"/>
        <w:rPr>
          <w:b/>
          <w:sz w:val="28"/>
        </w:rPr>
      </w:pPr>
    </w:p>
    <w:p w:rsidR="001D3EDE" w:rsidRPr="001D3EDE" w:rsidRDefault="001D3EDE" w:rsidP="001D3EDE">
      <w:pPr>
        <w:spacing w:after="0"/>
        <w:rPr>
          <w:b/>
          <w:sz w:val="28"/>
        </w:rPr>
      </w:pPr>
      <w:r w:rsidRPr="001D3EDE">
        <w:rPr>
          <w:b/>
          <w:sz w:val="28"/>
        </w:rPr>
        <w:t>Equations for calculating barnacle age and sample age</w:t>
      </w:r>
    </w:p>
    <w:p w:rsidR="001D3EDE" w:rsidRPr="001D3EDE" w:rsidRDefault="00416BEA" w:rsidP="001D3EDE">
      <w:pPr>
        <w:rPr>
          <w:b/>
        </w:rPr>
      </w:pPr>
      <w:r>
        <w:rPr>
          <w:b/>
        </w:rPr>
        <w:t xml:space="preserve">Equation S1. </w:t>
      </w:r>
      <w:r w:rsidR="001D3EDE" w:rsidRPr="001D3EDE">
        <w:rPr>
          <w:b/>
        </w:rPr>
        <w:t xml:space="preserve">von </w:t>
      </w:r>
      <w:proofErr w:type="spellStart"/>
      <w:r w:rsidR="001D3EDE" w:rsidRPr="001D3EDE">
        <w:rPr>
          <w:b/>
        </w:rPr>
        <w:t>Bertalanffy</w:t>
      </w:r>
      <w:proofErr w:type="spellEnd"/>
      <w:r w:rsidR="001D3EDE" w:rsidRPr="001D3EDE">
        <w:rPr>
          <w:b/>
        </w:rPr>
        <w:t xml:space="preserve"> growth equation for </w:t>
      </w:r>
      <w:r w:rsidR="001D3EDE" w:rsidRPr="001D3EDE">
        <w:rPr>
          <w:b/>
          <w:i/>
        </w:rPr>
        <w:t xml:space="preserve">Chelonibia testudinaria </w:t>
      </w:r>
      <w:r w:rsidR="001D3EDE" w:rsidRPr="001D3EDE">
        <w:rPr>
          <w:b/>
        </w:rPr>
        <w:t xml:space="preserve">presented by </w:t>
      </w:r>
      <w:r w:rsidR="001D3EDE" w:rsidRPr="001D3EDE">
        <w:rPr>
          <w:b/>
        </w:rPr>
        <w:fldChar w:fldCharType="begin"/>
      </w:r>
      <w:r w:rsidR="001D3EDE" w:rsidRPr="001D3EDE">
        <w:rPr>
          <w:b/>
        </w:rPr>
        <w:instrText xml:space="preserve"> ADDIN EN.CITE &lt;EndNote&gt;&lt;Cite AuthorYear="1"&gt;&lt;Author&gt;Doell&lt;/Author&gt;&lt;Year&gt;2017&lt;/Year&gt;&lt;RecNum&gt;747&lt;/RecNum&gt;&lt;DisplayText&gt;Doell&lt;style face="italic"&gt; et al.&lt;/style&gt; (2017)&lt;/DisplayText&gt;&lt;record&gt;&lt;rec-number&gt;747&lt;/rec-number&gt;&lt;foreign-keys&gt;&lt;key app="EN" db-id="zwvtfvf0gaapvfeazzppsz0tfpt0fx2wvd59" timestamp="1507589001"&gt;747&lt;/key&gt;&lt;/foreign-keys&gt;&lt;ref-type name="Journal Article"&gt;17&lt;/ref-type&gt;&lt;contributors&gt;&lt;authors&gt;&lt;author&gt;Doell, Sophie A.&lt;/author&gt;&lt;author&gt;Connolly, Rod M.&lt;/author&gt;&lt;author&gt;Limpus, Colin J.&lt;/author&gt;&lt;author&gt;Pearson, Ryan M.&lt;/author&gt;&lt;author&gt;van de Merwe, Jason P.&lt;/author&gt;&lt;/authors&gt;&lt;/contributors&gt;&lt;titles&gt;&lt;title&gt;&lt;style face="normal" font="default" size="100%"&gt;Using growth rates to estimate age of the sea turtle barnacle &lt;/style&gt;&lt;style face="italic" font="default" size="100%"&gt;Chelonibia testudinaria&lt;/style&gt;&lt;/title&gt;&lt;secondary-title&gt;Marine Biology&lt;/secondary-title&gt;&lt;/titles&gt;&lt;periodical&gt;&lt;full-title&gt;Marine Biology&lt;/full-title&gt;&lt;abbr-1&gt;Mar. Biol.&lt;/abbr-1&gt;&lt;abbr-2&gt;Mar Biol&lt;/abbr-2&gt;&lt;/periodical&gt;&lt;pages&gt;222&lt;/pages&gt;&lt;volume&gt;164&lt;/volume&gt;&lt;edition&gt;04-Nov-2017&lt;/edition&gt;&lt;section&gt;222&lt;/section&gt;&lt;dates&gt;&lt;year&gt;2017&lt;/year&gt;&lt;pub-dates&gt;&lt;date&gt;12-2017&lt;/date&gt;&lt;/pub-dates&gt;&lt;/dates&gt;&lt;work-type&gt;Short Note&lt;/work-type&gt;&lt;urls&gt;&lt;related-urls&gt;&lt;url&gt;https://doi.org/10.1007/s00227-017-3251-5&lt;/url&gt;&lt;/related-urls&gt;&lt;/urls&gt;&lt;electronic-resource-num&gt;10.1007/s00227-017-3251-5&lt;/electronic-resource-num&gt;&lt;/record&gt;&lt;/Cite&gt;&lt;/EndNote&gt;</w:instrText>
      </w:r>
      <w:r w:rsidR="001D3EDE" w:rsidRPr="001D3EDE">
        <w:rPr>
          <w:b/>
        </w:rPr>
        <w:fldChar w:fldCharType="separate"/>
      </w:r>
      <w:r w:rsidR="001D3EDE" w:rsidRPr="001D3EDE">
        <w:rPr>
          <w:b/>
          <w:noProof/>
        </w:rPr>
        <w:t>Doell</w:t>
      </w:r>
      <w:r w:rsidR="001D3EDE" w:rsidRPr="001D3EDE">
        <w:rPr>
          <w:b/>
          <w:i/>
          <w:noProof/>
        </w:rPr>
        <w:t xml:space="preserve"> et al.</w:t>
      </w:r>
      <w:r w:rsidR="001D3EDE" w:rsidRPr="001D3EDE">
        <w:rPr>
          <w:b/>
          <w:noProof/>
        </w:rPr>
        <w:t xml:space="preserve"> (2017)</w:t>
      </w:r>
      <w:r w:rsidR="001D3EDE" w:rsidRPr="001D3EDE">
        <w:rPr>
          <w:b/>
        </w:rPr>
        <w:fldChar w:fldCharType="end"/>
      </w:r>
    </w:p>
    <w:p w:rsidR="001D3EDE" w:rsidRPr="004B7677" w:rsidRDefault="001D3EDE" w:rsidP="001D3EDE">
      <w:pPr>
        <w:rPr>
          <w:b/>
        </w:rPr>
      </w:pPr>
      <m:oMathPara>
        <m:oMath>
          <m:r>
            <w:rPr>
              <w:rFonts w:ascii="Cambria Math" w:hAnsi="Cambria Math" w:cs="Times New Roman"/>
            </w:rPr>
            <m:t>L=69.26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1-0.9907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-0.003678t</m:t>
                  </m:r>
                </m:sup>
              </m:sSup>
            </m:e>
          </m:d>
        </m:oMath>
      </m:oMathPara>
    </w:p>
    <w:p w:rsidR="001D3EDE" w:rsidRPr="001D3EDE" w:rsidRDefault="00416BEA" w:rsidP="001D3EDE">
      <w:pPr>
        <w:rPr>
          <w:b/>
        </w:rPr>
      </w:pPr>
      <w:r>
        <w:rPr>
          <w:b/>
        </w:rPr>
        <w:t xml:space="preserve">Equation S2. </w:t>
      </w:r>
      <w:proofErr w:type="spellStart"/>
      <w:r w:rsidR="001D3EDE" w:rsidRPr="001D3EDE">
        <w:rPr>
          <w:b/>
        </w:rPr>
        <w:t>Rostrum:Length</w:t>
      </w:r>
      <w:proofErr w:type="spellEnd"/>
      <w:r w:rsidR="001D3EDE" w:rsidRPr="001D3EDE">
        <w:rPr>
          <w:b/>
        </w:rPr>
        <w:t xml:space="preserve"> ratio</w:t>
      </w:r>
    </w:p>
    <w:p w:rsidR="001D3EDE" w:rsidRPr="00F55BD3" w:rsidRDefault="001D3EDE" w:rsidP="001D3EDE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 xml:space="preserve">R:L=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Rostrum</m:t>
              </m:r>
            </m:num>
            <m:den>
              <m:r>
                <w:rPr>
                  <w:rFonts w:ascii="Cambria Math" w:hAnsi="Cambria Math"/>
                </w:rPr>
                <m:t>Length</m:t>
              </m:r>
            </m:den>
          </m:f>
        </m:oMath>
      </m:oMathPara>
    </w:p>
    <w:p w:rsidR="001D3EDE" w:rsidRPr="001D3EDE" w:rsidRDefault="00416BEA" w:rsidP="001D3EDE">
      <w:pPr>
        <w:rPr>
          <w:b/>
        </w:rPr>
      </w:pPr>
      <w:r>
        <w:rPr>
          <w:b/>
        </w:rPr>
        <w:t xml:space="preserve">Equation S3. </w:t>
      </w:r>
      <w:r w:rsidR="001D3EDE" w:rsidRPr="001D3EDE">
        <w:rPr>
          <w:b/>
        </w:rPr>
        <w:t>Length at sample</w:t>
      </w:r>
    </w:p>
    <w:p w:rsidR="001D3EDE" w:rsidRPr="00DE02D0" w:rsidRDefault="001D3EDE" w:rsidP="001D3EDE">
      <m:oMathPara>
        <m:oMath>
          <m:r>
            <w:rPr>
              <w:rFonts w:ascii="Cambria Math" w:hAnsi="Cambria Math"/>
            </w:rPr>
            <m:t xml:space="preserve">Length at sample (Ls)=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Rostrum length-distance from base</m:t>
              </m:r>
            </m:num>
            <m:den>
              <m:r>
                <w:rPr>
                  <w:rFonts w:ascii="Cambria Math" w:hAnsi="Cambria Math"/>
                </w:rPr>
                <m:t>R:L</m:t>
              </m:r>
            </m:den>
          </m:f>
        </m:oMath>
      </m:oMathPara>
    </w:p>
    <w:p w:rsidR="001D3EDE" w:rsidRDefault="001D3EDE" w:rsidP="001D3EDE">
      <w:pPr>
        <w:rPr>
          <w:b/>
        </w:rPr>
      </w:pPr>
    </w:p>
    <w:p w:rsidR="001D3EDE" w:rsidRPr="001D3EDE" w:rsidRDefault="00416BEA" w:rsidP="001D3EDE">
      <w:pPr>
        <w:rPr>
          <w:b/>
        </w:rPr>
      </w:pPr>
      <w:r>
        <w:rPr>
          <w:b/>
        </w:rPr>
        <w:t xml:space="preserve">Equation S4. </w:t>
      </w:r>
      <w:r w:rsidR="001D3EDE" w:rsidRPr="001D3EDE">
        <w:rPr>
          <w:b/>
        </w:rPr>
        <w:t>Barnacle age at capture (in days) from length; Note: substituting length (L) with calculated length at sample (Ls) gives ‘Age at sample’.</w:t>
      </w:r>
    </w:p>
    <w:p w:rsidR="001D3EDE" w:rsidRDefault="001D3EDE" w:rsidP="001D3EDE">
      <m:oMathPara>
        <m:oMath>
          <m:r>
            <w:rPr>
              <w:rFonts w:ascii="Cambria Math" w:hAnsi="Cambria Math"/>
            </w:rPr>
            <m:t xml:space="preserve">Age 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days</m:t>
              </m:r>
            </m:e>
          </m:d>
          <m:r>
            <w:rPr>
              <w:rFonts w:ascii="Cambria Math" w:hAns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ln⁡</m:t>
              </m:r>
              <m:r>
                <w:rPr>
                  <w:rFonts w:ascii="Cambria Math" w:hAnsi="Cambria Math"/>
                </w:rPr>
                <m:t>(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-69.26*0.9907</m:t>
                  </m:r>
                </m:num>
                <m:den>
                  <m:r>
                    <w:rPr>
                      <w:rFonts w:ascii="Cambria Math" w:hAnsi="Cambria Math"/>
                    </w:rPr>
                    <m:t>L-69.26</m:t>
                  </m:r>
                </m:den>
              </m:f>
              <m:r>
                <w:rPr>
                  <w:rFonts w:ascii="Cambria Math" w:hAnsi="Cambria Math"/>
                </w:rPr>
                <m:t>)</m:t>
              </m:r>
            </m:num>
            <m:den>
              <m:r>
                <w:rPr>
                  <w:rFonts w:ascii="Cambria Math" w:hAnsi="Cambria Math"/>
                </w:rPr>
                <m:t>0.003678</m:t>
              </m:r>
            </m:den>
          </m:f>
        </m:oMath>
      </m:oMathPara>
    </w:p>
    <w:p w:rsidR="001D3EDE" w:rsidRDefault="001D3EDE" w:rsidP="001D3EDE">
      <w:pPr>
        <w:rPr>
          <w:b/>
        </w:rPr>
      </w:pPr>
    </w:p>
    <w:p w:rsidR="001D3EDE" w:rsidRPr="001D3EDE" w:rsidRDefault="00416BEA" w:rsidP="001D3EDE">
      <w:pPr>
        <w:rPr>
          <w:b/>
        </w:rPr>
      </w:pPr>
      <w:r>
        <w:rPr>
          <w:b/>
        </w:rPr>
        <w:t xml:space="preserve">Equation S5. </w:t>
      </w:r>
      <w:r w:rsidR="001D3EDE" w:rsidRPr="001D3EDE">
        <w:rPr>
          <w:b/>
        </w:rPr>
        <w:t>Sample days before capture</w:t>
      </w:r>
    </w:p>
    <w:p w:rsidR="001D3EDE" w:rsidRPr="004E0EC8" w:rsidRDefault="001D3EDE" w:rsidP="001D3EDE">
      <m:oMathPara>
        <m:oMath>
          <m:r>
            <w:rPr>
              <w:rFonts w:ascii="Cambria Math" w:hAnsi="Cambria Math"/>
            </w:rPr>
            <m:t>Sample days before capture=(age at capture)-(age at sample)</m:t>
          </m:r>
        </m:oMath>
      </m:oMathPara>
    </w:p>
    <w:p w:rsidR="001D3EDE" w:rsidRPr="00416BEA" w:rsidRDefault="00416BEA" w:rsidP="001D3EDE">
      <w:pPr>
        <w:rPr>
          <w:b/>
        </w:rPr>
      </w:pPr>
      <w:r>
        <w:rPr>
          <w:b/>
        </w:rPr>
        <w:t xml:space="preserve">Equation S6. </w:t>
      </w:r>
      <w:r w:rsidR="001D3EDE" w:rsidRPr="00416BEA">
        <w:rPr>
          <w:b/>
        </w:rPr>
        <w:t>Date at sample (median)</w:t>
      </w:r>
    </w:p>
    <w:p w:rsidR="001D3EDE" w:rsidRPr="00DE02D0" w:rsidRDefault="001D3EDE" w:rsidP="001D3EDE">
      <m:oMathPara>
        <m:oMath>
          <m:r>
            <w:rPr>
              <w:rFonts w:ascii="Cambria Math" w:hAnsi="Cambria Math"/>
            </w:rPr>
            <m:t>Date=Capture date-Age at sample</m:t>
          </m:r>
        </m:oMath>
      </m:oMathPara>
    </w:p>
    <w:p w:rsidR="001D3EDE" w:rsidRPr="001D3EDE" w:rsidRDefault="00416BEA" w:rsidP="001D3EDE">
      <w:pPr>
        <w:spacing w:after="0"/>
        <w:rPr>
          <w:b/>
          <w:sz w:val="24"/>
        </w:rPr>
      </w:pPr>
      <w:r>
        <w:rPr>
          <w:b/>
          <w:sz w:val="24"/>
        </w:rPr>
        <w:t xml:space="preserve">Example S1. </w:t>
      </w:r>
      <w:r w:rsidR="001D3EDE" w:rsidRPr="001D3EDE">
        <w:rPr>
          <w:b/>
          <w:sz w:val="24"/>
        </w:rPr>
        <w:t>Worked example:</w:t>
      </w:r>
    </w:p>
    <w:p w:rsidR="001D3EDE" w:rsidRDefault="001D3EDE" w:rsidP="001D3EDE">
      <w:r>
        <w:rPr>
          <w:b/>
        </w:rPr>
        <w:t xml:space="preserve">Capture date: </w:t>
      </w:r>
      <w:r w:rsidRPr="00DE02D0">
        <w:t>11-Jul-2015</w:t>
      </w:r>
      <w:r>
        <w:t xml:space="preserve">; </w:t>
      </w:r>
      <w:r>
        <w:rPr>
          <w:b/>
        </w:rPr>
        <w:t xml:space="preserve">Length: </w:t>
      </w:r>
      <w:r w:rsidRPr="00DE02D0">
        <w:t>32.72 mm</w:t>
      </w:r>
      <w:r>
        <w:t xml:space="preserve">; </w:t>
      </w:r>
    </w:p>
    <w:p w:rsidR="001D3EDE" w:rsidRDefault="001D3EDE" w:rsidP="001D3EDE">
      <w:pPr>
        <w:spacing w:after="0"/>
      </w:pPr>
      <w:r>
        <w:rPr>
          <w:b/>
        </w:rPr>
        <w:t xml:space="preserve">Rostrum: </w:t>
      </w:r>
      <w:r w:rsidRPr="00DE02D0">
        <w:t>12</w:t>
      </w:r>
      <w:r>
        <w:t>.0</w:t>
      </w:r>
      <w:r w:rsidRPr="00DE02D0">
        <w:t xml:space="preserve"> mm</w:t>
      </w:r>
      <w:r>
        <w:t xml:space="preserve">; </w:t>
      </w:r>
      <w:r>
        <w:rPr>
          <w:b/>
        </w:rPr>
        <w:t xml:space="preserve">Sample distance from base: </w:t>
      </w:r>
      <w:r>
        <w:t>2.51 mm</w:t>
      </w:r>
    </w:p>
    <w:p w:rsidR="008B3D1A" w:rsidRDefault="008B3D1A" w:rsidP="008B3D1A">
      <w:pPr>
        <w:pStyle w:val="ListParagraph"/>
        <w:numPr>
          <w:ilvl w:val="0"/>
          <w:numId w:val="1"/>
        </w:numPr>
      </w:pPr>
      <w:r w:rsidRPr="000C2E7F">
        <w:rPr>
          <w:b/>
        </w:rPr>
        <w:t>R:L</w:t>
      </w:r>
      <w:r>
        <w:t xml:space="preserve"> =</w:t>
      </w:r>
      <w:r>
        <w:tab/>
        <w:t xml:space="preserve">12.0/32.72 </w:t>
      </w:r>
      <w:r>
        <w:tab/>
        <w:t>= 0.36675</w:t>
      </w:r>
    </w:p>
    <w:p w:rsidR="008B3D1A" w:rsidRDefault="008B3D1A" w:rsidP="008B3D1A">
      <w:pPr>
        <w:pStyle w:val="ListParagraph"/>
        <w:numPr>
          <w:ilvl w:val="0"/>
          <w:numId w:val="1"/>
        </w:numPr>
      </w:pPr>
      <w:r w:rsidRPr="000C2E7F">
        <w:rPr>
          <w:b/>
        </w:rPr>
        <w:t>Ls</w:t>
      </w:r>
      <w:r>
        <w:t xml:space="preserve"> = </w:t>
      </w:r>
      <w:r>
        <w:tab/>
        <w:t>(12.0 – 2.51)/0.36675</w:t>
      </w:r>
      <w:r>
        <w:tab/>
        <w:t xml:space="preserve"> = 25.876</w:t>
      </w:r>
    </w:p>
    <w:p w:rsidR="008B3D1A" w:rsidRDefault="008B3D1A" w:rsidP="008B3D1A">
      <w:pPr>
        <w:pStyle w:val="ListParagraph"/>
        <w:numPr>
          <w:ilvl w:val="0"/>
          <w:numId w:val="1"/>
        </w:numPr>
      </w:pPr>
      <w:r w:rsidRPr="000C2E7F">
        <w:rPr>
          <w:b/>
        </w:rPr>
        <w:t>Age at capture</w:t>
      </w:r>
      <w:r>
        <w:t xml:space="preserve"> = </w:t>
      </w:r>
      <w:r>
        <w:tab/>
        <w:t xml:space="preserve">ln((-69.26*0.9907)/(32.72-69.26))/0.003678 </w:t>
      </w:r>
      <w:r>
        <w:tab/>
        <w:t>= 171.3 days</w:t>
      </w:r>
    </w:p>
    <w:p w:rsidR="008B3D1A" w:rsidRDefault="008B3D1A" w:rsidP="008B3D1A">
      <w:pPr>
        <w:pStyle w:val="ListParagraph"/>
        <w:numPr>
          <w:ilvl w:val="0"/>
          <w:numId w:val="1"/>
        </w:numPr>
      </w:pPr>
      <w:r w:rsidRPr="000C2E7F">
        <w:rPr>
          <w:b/>
        </w:rPr>
        <w:t>Age at sample</w:t>
      </w:r>
      <w:r>
        <w:t xml:space="preserve"> = </w:t>
      </w:r>
      <w:r>
        <w:tab/>
        <w:t xml:space="preserve">ln((-69.26*0.9907)/(25.876-69.26))/0.003678 </w:t>
      </w:r>
      <w:r>
        <w:tab/>
        <w:t>= 124.7 days</w:t>
      </w:r>
    </w:p>
    <w:p w:rsidR="008B3D1A" w:rsidRDefault="008B3D1A" w:rsidP="008B3D1A">
      <w:pPr>
        <w:pStyle w:val="ListParagraph"/>
        <w:numPr>
          <w:ilvl w:val="0"/>
          <w:numId w:val="1"/>
        </w:numPr>
      </w:pPr>
      <w:r w:rsidRPr="000C2E7F">
        <w:rPr>
          <w:b/>
        </w:rPr>
        <w:t>Sample days before capture</w:t>
      </w:r>
      <w:r>
        <w:t xml:space="preserve"> = </w:t>
      </w:r>
      <w:r>
        <w:tab/>
        <w:t xml:space="preserve">171.3 – 124.7 </w:t>
      </w:r>
      <w:r>
        <w:tab/>
        <w:t>= 46.7 days</w:t>
      </w:r>
    </w:p>
    <w:p w:rsidR="008B3D1A" w:rsidRDefault="008B3D1A" w:rsidP="008B3D1A">
      <w:pPr>
        <w:pStyle w:val="ListParagraph"/>
        <w:numPr>
          <w:ilvl w:val="0"/>
          <w:numId w:val="1"/>
        </w:numPr>
      </w:pPr>
      <w:r w:rsidRPr="000C2E7F">
        <w:rPr>
          <w:b/>
        </w:rPr>
        <w:t>Date at sample</w:t>
      </w:r>
      <w:r>
        <w:t xml:space="preserve"> = </w:t>
      </w:r>
      <w:r>
        <w:tab/>
        <w:t xml:space="preserve">11/Jul/2015 – 47 days </w:t>
      </w:r>
      <w:r>
        <w:tab/>
        <w:t>= 25/May/2015</w:t>
      </w:r>
    </w:p>
    <w:p w:rsidR="001D3EDE" w:rsidRDefault="001D3EDE" w:rsidP="00C37BDA">
      <w:pPr>
        <w:suppressLineNumbers/>
        <w:spacing w:line="480" w:lineRule="auto"/>
        <w:rPr>
          <w:b/>
        </w:rPr>
        <w:sectPr w:rsidR="001D3EDE" w:rsidSect="001D3EDE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:rsidR="00E51082" w:rsidRDefault="00416BEA" w:rsidP="00E51082">
      <w:pPr>
        <w:pStyle w:val="Caption"/>
        <w:keepNext/>
      </w:pPr>
      <w:r>
        <w:lastRenderedPageBreak/>
        <w:t xml:space="preserve">Table S1. </w:t>
      </w:r>
      <w:r w:rsidRPr="002E5F4D">
        <w:t xml:space="preserve">Results </w:t>
      </w:r>
      <w:r>
        <w:t xml:space="preserve">of </w:t>
      </w:r>
      <w:r w:rsidRPr="002E5F4D">
        <w:t xml:space="preserve">Linear Discriminant Analyses </w:t>
      </w:r>
      <w:r>
        <w:t xml:space="preserve">(reverse iterations only) </w:t>
      </w:r>
      <w:r w:rsidRPr="002E5F4D">
        <w:t>using multiple methods to define calibration and validation datasets.</w:t>
      </w:r>
      <w:r>
        <w:t xml:space="preserve"> </w:t>
      </w:r>
      <w:r w:rsidRPr="002E5F4D">
        <w:rPr>
          <w:b w:val="0"/>
        </w:rPr>
        <w:t>Split method defines how each sample was selected for the calibratio</w:t>
      </w:r>
      <w:r>
        <w:rPr>
          <w:b w:val="0"/>
        </w:rPr>
        <w:t xml:space="preserve">n or validation datasets. Areas: </w:t>
      </w:r>
      <w:r w:rsidRPr="002E5F4D">
        <w:rPr>
          <w:b w:val="0"/>
        </w:rPr>
        <w:t xml:space="preserve">the number of regions which were used as the grouping variable. </w:t>
      </w:r>
      <w:r>
        <w:rPr>
          <w:b w:val="0"/>
        </w:rPr>
        <w:t xml:space="preserve">Cal: </w:t>
      </w:r>
      <w:r w:rsidRPr="002E5F4D">
        <w:rPr>
          <w:b w:val="0"/>
        </w:rPr>
        <w:t>The number of turtles and samples used in the calibration</w:t>
      </w:r>
      <w:r>
        <w:rPr>
          <w:b w:val="0"/>
        </w:rPr>
        <w:t xml:space="preserve"> subset </w:t>
      </w:r>
      <w:r w:rsidRPr="002E5F4D">
        <w:rPr>
          <w:b w:val="0"/>
        </w:rPr>
        <w:t>and</w:t>
      </w:r>
      <w:r>
        <w:rPr>
          <w:b w:val="0"/>
        </w:rPr>
        <w:t>;</w:t>
      </w:r>
      <w:r w:rsidRPr="002E5F4D">
        <w:rPr>
          <w:b w:val="0"/>
        </w:rPr>
        <w:t xml:space="preserve"> </w:t>
      </w:r>
      <w:r>
        <w:rPr>
          <w:b w:val="0"/>
        </w:rPr>
        <w:t xml:space="preserve">Val: in the </w:t>
      </w:r>
      <w:r w:rsidRPr="002E5F4D">
        <w:rPr>
          <w:b w:val="0"/>
        </w:rPr>
        <w:t xml:space="preserve">validation </w:t>
      </w:r>
      <w:r>
        <w:rPr>
          <w:b w:val="0"/>
        </w:rPr>
        <w:t>subset</w:t>
      </w:r>
      <w:r w:rsidRPr="002E5F4D">
        <w:rPr>
          <w:b w:val="0"/>
        </w:rPr>
        <w:t>. Assignment success per area is defined as the number of samples (S) and turtles (T) that were correctly assigned to the areas they were from. Overall Accuracy: the percentage of samples (S) and turtles (T) correctly assigned to their home area across all areas used. Mean Accuracy: the average percentage of samples (S) and turtles (T) that were assigned correctly across both directions.</w:t>
      </w:r>
      <w:r>
        <w:rPr>
          <w:b w:val="0"/>
        </w:rPr>
        <w:t xml:space="preserve"> South &amp; North groupings used where only two areas are included. Gladstone, Moreton, and Howick used in three area tests.</w:t>
      </w:r>
    </w:p>
    <w:tbl>
      <w:tblPr>
        <w:tblW w:w="13371" w:type="dxa"/>
        <w:tblInd w:w="93" w:type="dxa"/>
        <w:tblLook w:val="04A0" w:firstRow="1" w:lastRow="0" w:firstColumn="1" w:lastColumn="0" w:noHBand="0" w:noVBand="1"/>
      </w:tblPr>
      <w:tblGrid>
        <w:gridCol w:w="1248"/>
        <w:gridCol w:w="735"/>
        <w:gridCol w:w="683"/>
        <w:gridCol w:w="684"/>
        <w:gridCol w:w="641"/>
        <w:gridCol w:w="683"/>
        <w:gridCol w:w="684"/>
        <w:gridCol w:w="641"/>
        <w:gridCol w:w="580"/>
        <w:gridCol w:w="580"/>
        <w:gridCol w:w="73"/>
        <w:gridCol w:w="440"/>
        <w:gridCol w:w="480"/>
        <w:gridCol w:w="105"/>
        <w:gridCol w:w="440"/>
        <w:gridCol w:w="759"/>
        <w:gridCol w:w="781"/>
        <w:gridCol w:w="551"/>
        <w:gridCol w:w="981"/>
        <w:gridCol w:w="440"/>
        <w:gridCol w:w="662"/>
        <w:gridCol w:w="500"/>
      </w:tblGrid>
      <w:tr w:rsidR="00E51082" w:rsidRPr="002B6BAB" w:rsidTr="00A47A2B">
        <w:trPr>
          <w:trHeight w:hRule="exact" w:val="397"/>
        </w:trPr>
        <w:tc>
          <w:tcPr>
            <w:tcW w:w="1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2B6BAB"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  <w:t>Split method</w:t>
            </w:r>
          </w:p>
        </w:tc>
        <w:tc>
          <w:tcPr>
            <w:tcW w:w="735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2B6BAB"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  <w:t>Areas</w:t>
            </w:r>
          </w:p>
        </w:tc>
        <w:tc>
          <w:tcPr>
            <w:tcW w:w="401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AU"/>
              </w:rPr>
            </w:pPr>
            <w:r w:rsidRPr="002B6BAB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AU"/>
              </w:rPr>
              <w:t>Sample Sizes (N)</w:t>
            </w:r>
          </w:p>
        </w:tc>
        <w:tc>
          <w:tcPr>
            <w:tcW w:w="4789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en-AU"/>
              </w:rPr>
            </w:pPr>
            <w:r w:rsidRPr="002B6BAB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en-AU"/>
              </w:rPr>
              <w:t>Assignment success per area (%)</w:t>
            </w:r>
          </w:p>
        </w:tc>
        <w:tc>
          <w:tcPr>
            <w:tcW w:w="142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2B6BAB"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  <w:t>Overall Accuracy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  <w:t xml:space="preserve"> (%)</w:t>
            </w:r>
          </w:p>
        </w:tc>
        <w:tc>
          <w:tcPr>
            <w:tcW w:w="1162" w:type="dxa"/>
            <w:gridSpan w:val="2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2B6BAB"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  <w:t xml:space="preserve">Mean accuracy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  <w:t>(%)</w:t>
            </w:r>
          </w:p>
        </w:tc>
      </w:tr>
      <w:tr w:rsidR="00E51082" w:rsidRPr="002B6BAB" w:rsidTr="00A47A2B">
        <w:trPr>
          <w:trHeight w:hRule="exact" w:val="397"/>
        </w:trPr>
        <w:tc>
          <w:tcPr>
            <w:tcW w:w="124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</w:p>
        </w:tc>
        <w:tc>
          <w:tcPr>
            <w:tcW w:w="735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</w:p>
        </w:tc>
        <w:tc>
          <w:tcPr>
            <w:tcW w:w="2008" w:type="dxa"/>
            <w:gridSpan w:val="3"/>
            <w:vMerge w:val="restar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  <w:r w:rsidRPr="002B6BAB"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  <w:t>Turtles</w:t>
            </w:r>
          </w:p>
        </w:tc>
        <w:tc>
          <w:tcPr>
            <w:tcW w:w="2008" w:type="dxa"/>
            <w:gridSpan w:val="3"/>
            <w:vMerge w:val="restar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  <w:r w:rsidRPr="002B6BAB"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  <w:t>Samples</w:t>
            </w:r>
          </w:p>
        </w:tc>
        <w:tc>
          <w:tcPr>
            <w:tcW w:w="3457" w:type="dxa"/>
            <w:gridSpan w:val="8"/>
            <w:tcBorders>
              <w:left w:val="single" w:sz="12" w:space="0" w:color="auto"/>
              <w:bottom w:val="dotDash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  <w:r w:rsidRPr="00DD438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AU"/>
              </w:rPr>
              <w:t>South</w:t>
            </w:r>
          </w:p>
        </w:tc>
        <w:tc>
          <w:tcPr>
            <w:tcW w:w="1332" w:type="dxa"/>
            <w:gridSpan w:val="2"/>
            <w:tcBorders>
              <w:left w:val="single" w:sz="12" w:space="0" w:color="auto"/>
              <w:bottom w:val="dotDash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  <w:r w:rsidRPr="00DD438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AU"/>
              </w:rPr>
              <w:t>North</w:t>
            </w:r>
          </w:p>
        </w:tc>
        <w:tc>
          <w:tcPr>
            <w:tcW w:w="1421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</w:p>
        </w:tc>
        <w:tc>
          <w:tcPr>
            <w:tcW w:w="1162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</w:p>
        </w:tc>
      </w:tr>
      <w:tr w:rsidR="00E51082" w:rsidRPr="002B6BAB" w:rsidTr="00A47A2B">
        <w:trPr>
          <w:trHeight w:hRule="exact" w:val="397"/>
        </w:trPr>
        <w:tc>
          <w:tcPr>
            <w:tcW w:w="124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</w:p>
        </w:tc>
        <w:tc>
          <w:tcPr>
            <w:tcW w:w="735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</w:p>
        </w:tc>
        <w:tc>
          <w:tcPr>
            <w:tcW w:w="2008" w:type="dxa"/>
            <w:gridSpan w:val="3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</w:p>
        </w:tc>
        <w:tc>
          <w:tcPr>
            <w:tcW w:w="2008" w:type="dxa"/>
            <w:gridSpan w:val="3"/>
            <w:vMerge/>
            <w:tcBorders>
              <w:top w:val="dotDash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</w:p>
        </w:tc>
        <w:tc>
          <w:tcPr>
            <w:tcW w:w="1233" w:type="dxa"/>
            <w:gridSpan w:val="3"/>
            <w:tcBorders>
              <w:top w:val="dotDash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  <w:r w:rsidRPr="002B6BAB"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  <w:t>Gladstone</w:t>
            </w:r>
          </w:p>
        </w:tc>
        <w:tc>
          <w:tcPr>
            <w:tcW w:w="1025" w:type="dxa"/>
            <w:gridSpan w:val="3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  <w:t>Hervey</w:t>
            </w:r>
          </w:p>
        </w:tc>
        <w:tc>
          <w:tcPr>
            <w:tcW w:w="1199" w:type="dxa"/>
            <w:gridSpan w:val="2"/>
            <w:tcBorders>
              <w:top w:val="dotDash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  <w:r w:rsidRPr="002B6BAB"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  <w:t>Moreton</w:t>
            </w:r>
          </w:p>
        </w:tc>
        <w:tc>
          <w:tcPr>
            <w:tcW w:w="1332" w:type="dxa"/>
            <w:gridSpan w:val="2"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  <w:t>Howick</w:t>
            </w:r>
          </w:p>
        </w:tc>
        <w:tc>
          <w:tcPr>
            <w:tcW w:w="1421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</w:p>
        </w:tc>
        <w:tc>
          <w:tcPr>
            <w:tcW w:w="1162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</w:p>
        </w:tc>
      </w:tr>
      <w:tr w:rsidR="00E51082" w:rsidRPr="002B6BAB" w:rsidTr="00A47A2B">
        <w:trPr>
          <w:trHeight w:hRule="exact" w:val="397"/>
        </w:trPr>
        <w:tc>
          <w:tcPr>
            <w:tcW w:w="1248" w:type="dxa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single" w:sz="12" w:space="0" w:color="auto"/>
              <w:bottom w:val="dotDash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  <w:r w:rsidRPr="002B6BAB"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  <w:t>Total</w:t>
            </w:r>
          </w:p>
        </w:tc>
        <w:tc>
          <w:tcPr>
            <w:tcW w:w="684" w:type="dxa"/>
            <w:tcBorders>
              <w:top w:val="single" w:sz="12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  <w:t>Cal</w:t>
            </w:r>
          </w:p>
        </w:tc>
        <w:tc>
          <w:tcPr>
            <w:tcW w:w="641" w:type="dxa"/>
            <w:tcBorders>
              <w:top w:val="single" w:sz="12" w:space="0" w:color="auto"/>
              <w:left w:val="nil"/>
              <w:bottom w:val="dotDash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  <w:t>Val</w:t>
            </w:r>
          </w:p>
        </w:tc>
        <w:tc>
          <w:tcPr>
            <w:tcW w:w="683" w:type="dxa"/>
            <w:tcBorders>
              <w:top w:val="single" w:sz="12" w:space="0" w:color="auto"/>
              <w:left w:val="single" w:sz="2" w:space="0" w:color="auto"/>
              <w:bottom w:val="dotDash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  <w:r w:rsidRPr="002B6BAB"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  <w:t>Total</w:t>
            </w:r>
          </w:p>
        </w:tc>
        <w:tc>
          <w:tcPr>
            <w:tcW w:w="684" w:type="dxa"/>
            <w:tcBorders>
              <w:top w:val="single" w:sz="12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  <w:t>Cal</w:t>
            </w:r>
          </w:p>
        </w:tc>
        <w:tc>
          <w:tcPr>
            <w:tcW w:w="641" w:type="dxa"/>
            <w:tcBorders>
              <w:top w:val="single" w:sz="12" w:space="0" w:color="auto"/>
              <w:left w:val="nil"/>
              <w:bottom w:val="dotDash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  <w:t>Val</w:t>
            </w:r>
          </w:p>
        </w:tc>
        <w:tc>
          <w:tcPr>
            <w:tcW w:w="580" w:type="dxa"/>
            <w:tcBorders>
              <w:top w:val="single" w:sz="12" w:space="0" w:color="auto"/>
              <w:left w:val="single" w:sz="12" w:space="0" w:color="auto"/>
              <w:bottom w:val="dotDash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  <w:r w:rsidRPr="002B6BAB"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  <w:t>S</w:t>
            </w:r>
          </w:p>
        </w:tc>
        <w:tc>
          <w:tcPr>
            <w:tcW w:w="653" w:type="dxa"/>
            <w:gridSpan w:val="2"/>
            <w:tcBorders>
              <w:top w:val="single" w:sz="12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  <w:r w:rsidRPr="002B6BAB"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  <w:t>T</w:t>
            </w:r>
          </w:p>
        </w:tc>
        <w:tc>
          <w:tcPr>
            <w:tcW w:w="440" w:type="dxa"/>
            <w:tcBorders>
              <w:top w:val="single" w:sz="12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  <w:r w:rsidRPr="002B6BAB"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  <w:t>S</w:t>
            </w:r>
          </w:p>
        </w:tc>
        <w:tc>
          <w:tcPr>
            <w:tcW w:w="585" w:type="dxa"/>
            <w:gridSpan w:val="2"/>
            <w:tcBorders>
              <w:top w:val="single" w:sz="12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  <w:r w:rsidRPr="002B6BAB"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  <w:t>T</w:t>
            </w:r>
          </w:p>
        </w:tc>
        <w:tc>
          <w:tcPr>
            <w:tcW w:w="440" w:type="dxa"/>
            <w:tcBorders>
              <w:top w:val="single" w:sz="12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  <w:r w:rsidRPr="002B6BAB"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  <w:t>S</w:t>
            </w:r>
          </w:p>
        </w:tc>
        <w:tc>
          <w:tcPr>
            <w:tcW w:w="759" w:type="dxa"/>
            <w:tcBorders>
              <w:top w:val="single" w:sz="12" w:space="0" w:color="auto"/>
              <w:left w:val="nil"/>
              <w:bottom w:val="dotDash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  <w:r w:rsidRPr="002B6BAB"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  <w:t>T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12" w:space="0" w:color="auto"/>
              <w:bottom w:val="dotDash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  <w:r w:rsidRPr="002B6BAB"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  <w:t>S</w:t>
            </w:r>
          </w:p>
        </w:tc>
        <w:tc>
          <w:tcPr>
            <w:tcW w:w="551" w:type="dxa"/>
            <w:tcBorders>
              <w:top w:val="single" w:sz="12" w:space="0" w:color="auto"/>
              <w:left w:val="nil"/>
              <w:bottom w:val="dotDash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  <w:r w:rsidRPr="002B6BAB"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  <w:t>T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12" w:space="0" w:color="auto"/>
              <w:bottom w:val="dotDash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  <w:r w:rsidRPr="002B6BAB"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  <w:t>S</w:t>
            </w:r>
          </w:p>
        </w:tc>
        <w:tc>
          <w:tcPr>
            <w:tcW w:w="440" w:type="dxa"/>
            <w:tcBorders>
              <w:top w:val="single" w:sz="12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  <w:r w:rsidRPr="002B6BAB"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  <w:t>T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51082" w:rsidRPr="00B149EA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  <w:r w:rsidRPr="00B149EA"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  <w:t>S</w:t>
            </w:r>
          </w:p>
        </w:tc>
        <w:tc>
          <w:tcPr>
            <w:tcW w:w="500" w:type="dxa"/>
            <w:tcBorders>
              <w:top w:val="single" w:sz="12" w:space="0" w:color="auto"/>
              <w:left w:val="nil"/>
              <w:bottom w:val="dotDash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  <w:r w:rsidRPr="002B6BAB"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  <w:t>T</w:t>
            </w:r>
          </w:p>
        </w:tc>
      </w:tr>
      <w:tr w:rsidR="00E51082" w:rsidRPr="002B6BAB" w:rsidTr="00A47A2B">
        <w:trPr>
          <w:trHeight w:hRule="exact" w:val="397"/>
        </w:trPr>
        <w:tc>
          <w:tcPr>
            <w:tcW w:w="1248" w:type="dxa"/>
            <w:vMerge w:val="restart"/>
            <w:tcBorders>
              <w:left w:val="single" w:sz="12" w:space="0" w:color="auto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  <w:t xml:space="preserve">Alternating </w:t>
            </w:r>
            <w:r w:rsidRPr="002B6BAB"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  <w:t>sample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  <w:t>s (AS)</w:t>
            </w:r>
          </w:p>
        </w:tc>
        <w:tc>
          <w:tcPr>
            <w:tcW w:w="735" w:type="dxa"/>
            <w:tcBorders>
              <w:left w:val="nil"/>
              <w:bottom w:val="dotDash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  <w:r w:rsidRPr="002B6BAB"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  <w:t>4</w:t>
            </w:r>
          </w:p>
        </w:tc>
        <w:tc>
          <w:tcPr>
            <w:tcW w:w="683" w:type="dxa"/>
            <w:tcBorders>
              <w:top w:val="nil"/>
              <w:left w:val="single" w:sz="12" w:space="0" w:color="auto"/>
              <w:bottom w:val="dotDash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2B6BAB">
              <w:rPr>
                <w:rFonts w:ascii="Calibri" w:eastAsia="Times New Roman" w:hAnsi="Calibri" w:cs="Times New Roman"/>
                <w:color w:val="000000"/>
                <w:lang w:eastAsia="en-AU"/>
              </w:rPr>
              <w:t>27</w:t>
            </w:r>
          </w:p>
        </w:tc>
        <w:tc>
          <w:tcPr>
            <w:tcW w:w="684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hAnsi="Calibri"/>
                <w:color w:val="000000"/>
              </w:rPr>
              <w:t>26</w:t>
            </w:r>
          </w:p>
        </w:tc>
        <w:tc>
          <w:tcPr>
            <w:tcW w:w="641" w:type="dxa"/>
            <w:tcBorders>
              <w:top w:val="nil"/>
              <w:left w:val="nil"/>
              <w:bottom w:val="dotDash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hAnsi="Calibri"/>
                <w:color w:val="000000"/>
              </w:rPr>
              <w:t>25</w:t>
            </w:r>
          </w:p>
        </w:tc>
        <w:tc>
          <w:tcPr>
            <w:tcW w:w="683" w:type="dxa"/>
            <w:tcBorders>
              <w:top w:val="nil"/>
              <w:left w:val="single" w:sz="2" w:space="0" w:color="auto"/>
              <w:bottom w:val="dotDash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2B6BAB">
              <w:rPr>
                <w:rFonts w:ascii="Calibri" w:eastAsia="Times New Roman" w:hAnsi="Calibri" w:cs="Times New Roman"/>
                <w:color w:val="000000"/>
                <w:lang w:eastAsia="en-AU"/>
              </w:rPr>
              <w:t>93</w:t>
            </w:r>
          </w:p>
        </w:tc>
        <w:tc>
          <w:tcPr>
            <w:tcW w:w="684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noWrap/>
            <w:vAlign w:val="center"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46</w:t>
            </w:r>
          </w:p>
        </w:tc>
        <w:tc>
          <w:tcPr>
            <w:tcW w:w="641" w:type="dxa"/>
            <w:tcBorders>
              <w:top w:val="nil"/>
              <w:left w:val="nil"/>
              <w:bottom w:val="dotDash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47</w:t>
            </w:r>
          </w:p>
        </w:tc>
        <w:tc>
          <w:tcPr>
            <w:tcW w:w="580" w:type="dxa"/>
            <w:tcBorders>
              <w:top w:val="nil"/>
              <w:left w:val="single" w:sz="12" w:space="0" w:color="auto"/>
              <w:bottom w:val="dotDash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hAnsi="Calibri"/>
                <w:color w:val="000000"/>
              </w:rPr>
              <w:t>50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hAnsi="Calibri"/>
                <w:color w:val="000000"/>
              </w:rPr>
              <w:t>50</w:t>
            </w:r>
          </w:p>
        </w:tc>
        <w:tc>
          <w:tcPr>
            <w:tcW w:w="440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noWrap/>
            <w:vAlign w:val="center"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67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noWrap/>
            <w:vAlign w:val="center"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75</w:t>
            </w:r>
          </w:p>
        </w:tc>
        <w:tc>
          <w:tcPr>
            <w:tcW w:w="440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noWrap/>
            <w:vAlign w:val="center"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71</w:t>
            </w:r>
          </w:p>
        </w:tc>
        <w:tc>
          <w:tcPr>
            <w:tcW w:w="759" w:type="dxa"/>
            <w:tcBorders>
              <w:top w:val="nil"/>
              <w:left w:val="nil"/>
              <w:bottom w:val="dotDash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80</w:t>
            </w:r>
          </w:p>
        </w:tc>
        <w:tc>
          <w:tcPr>
            <w:tcW w:w="781" w:type="dxa"/>
            <w:tcBorders>
              <w:top w:val="nil"/>
              <w:left w:val="single" w:sz="12" w:space="0" w:color="auto"/>
              <w:bottom w:val="dotDash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2B6BAB">
              <w:rPr>
                <w:rFonts w:ascii="Calibri" w:eastAsia="Times New Roman" w:hAnsi="Calibri" w:cs="Times New Roman"/>
                <w:color w:val="000000"/>
                <w:lang w:eastAsia="en-AU"/>
              </w:rPr>
              <w:t>100</w:t>
            </w:r>
          </w:p>
        </w:tc>
        <w:tc>
          <w:tcPr>
            <w:tcW w:w="551" w:type="dxa"/>
            <w:tcBorders>
              <w:top w:val="nil"/>
              <w:left w:val="nil"/>
              <w:bottom w:val="dotDash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2B6BAB">
              <w:rPr>
                <w:rFonts w:ascii="Calibri" w:eastAsia="Times New Roman" w:hAnsi="Calibri" w:cs="Times New Roman"/>
                <w:color w:val="000000"/>
                <w:lang w:eastAsia="en-AU"/>
              </w:rPr>
              <w:t>100</w:t>
            </w:r>
          </w:p>
        </w:tc>
        <w:tc>
          <w:tcPr>
            <w:tcW w:w="981" w:type="dxa"/>
            <w:tcBorders>
              <w:top w:val="nil"/>
              <w:left w:val="single" w:sz="12" w:space="0" w:color="auto"/>
              <w:bottom w:val="dotDash" w:sz="4" w:space="0" w:color="auto"/>
              <w:right w:val="nil"/>
            </w:tcBorders>
            <w:shd w:val="clear" w:color="auto" w:fill="auto"/>
            <w:noWrap/>
            <w:vAlign w:val="center"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72</w:t>
            </w:r>
          </w:p>
        </w:tc>
        <w:tc>
          <w:tcPr>
            <w:tcW w:w="440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noWrap/>
            <w:vAlign w:val="center"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76</w:t>
            </w:r>
          </w:p>
        </w:tc>
        <w:tc>
          <w:tcPr>
            <w:tcW w:w="662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1082" w:rsidRPr="00B149EA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AU"/>
              </w:rPr>
            </w:pPr>
            <w:r w:rsidRPr="00B149EA">
              <w:rPr>
                <w:rFonts w:ascii="Calibri" w:eastAsia="Times New Roman" w:hAnsi="Calibri" w:cs="Times New Roman"/>
                <w:b/>
                <w:color w:val="000000"/>
                <w:lang w:eastAsia="en-AU"/>
              </w:rPr>
              <w:t>71</w:t>
            </w:r>
          </w:p>
        </w:tc>
        <w:tc>
          <w:tcPr>
            <w:tcW w:w="500" w:type="dxa"/>
            <w:tcBorders>
              <w:top w:val="nil"/>
              <w:left w:val="nil"/>
              <w:bottom w:val="dotDash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AU"/>
              </w:rPr>
            </w:pPr>
            <w:r w:rsidRPr="002B6BAB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AU"/>
              </w:rPr>
              <w:t>78</w:t>
            </w:r>
          </w:p>
        </w:tc>
      </w:tr>
      <w:tr w:rsidR="00E51082" w:rsidRPr="002B6BAB" w:rsidTr="00A47A2B">
        <w:trPr>
          <w:trHeight w:hRule="exact" w:val="397"/>
        </w:trPr>
        <w:tc>
          <w:tcPr>
            <w:tcW w:w="1248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nil"/>
            </w:tcBorders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dotDash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  <w:r w:rsidRPr="002B6BAB"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  <w:t>3</w:t>
            </w:r>
          </w:p>
        </w:tc>
        <w:tc>
          <w:tcPr>
            <w:tcW w:w="683" w:type="dxa"/>
            <w:tcBorders>
              <w:top w:val="nil"/>
              <w:left w:val="single" w:sz="12" w:space="0" w:color="auto"/>
              <w:bottom w:val="dotDash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2B6BAB">
              <w:rPr>
                <w:rFonts w:ascii="Calibri" w:eastAsia="Times New Roman" w:hAnsi="Calibri" w:cs="Times New Roman"/>
                <w:color w:val="000000"/>
                <w:lang w:eastAsia="en-AU"/>
              </w:rPr>
              <w:t>23</w:t>
            </w:r>
          </w:p>
        </w:tc>
        <w:tc>
          <w:tcPr>
            <w:tcW w:w="684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641" w:type="dxa"/>
            <w:tcBorders>
              <w:top w:val="nil"/>
              <w:left w:val="nil"/>
              <w:bottom w:val="dotDash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683" w:type="dxa"/>
            <w:tcBorders>
              <w:top w:val="nil"/>
              <w:left w:val="single" w:sz="2" w:space="0" w:color="auto"/>
              <w:bottom w:val="dotDash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2B6BAB">
              <w:rPr>
                <w:rFonts w:ascii="Calibri" w:eastAsia="Times New Roman" w:hAnsi="Calibri" w:cs="Times New Roman"/>
                <w:color w:val="000000"/>
                <w:lang w:eastAsia="en-AU"/>
              </w:rPr>
              <w:t>70</w:t>
            </w:r>
          </w:p>
        </w:tc>
        <w:tc>
          <w:tcPr>
            <w:tcW w:w="684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noWrap/>
            <w:vAlign w:val="center"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35</w:t>
            </w:r>
          </w:p>
        </w:tc>
        <w:tc>
          <w:tcPr>
            <w:tcW w:w="641" w:type="dxa"/>
            <w:tcBorders>
              <w:top w:val="nil"/>
              <w:left w:val="nil"/>
              <w:bottom w:val="dotDash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35</w:t>
            </w:r>
          </w:p>
        </w:tc>
        <w:tc>
          <w:tcPr>
            <w:tcW w:w="580" w:type="dxa"/>
            <w:tcBorders>
              <w:top w:val="nil"/>
              <w:left w:val="single" w:sz="12" w:space="0" w:color="auto"/>
              <w:bottom w:val="dotDash" w:sz="4" w:space="0" w:color="auto"/>
              <w:right w:val="nil"/>
            </w:tcBorders>
            <w:shd w:val="clear" w:color="auto" w:fill="auto"/>
            <w:noWrap/>
            <w:vAlign w:val="center"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63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noWrap/>
            <w:vAlign w:val="center"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67</w:t>
            </w:r>
          </w:p>
        </w:tc>
        <w:tc>
          <w:tcPr>
            <w:tcW w:w="1025" w:type="dxa"/>
            <w:gridSpan w:val="3"/>
            <w:tcBorders>
              <w:top w:val="dotDash" w:sz="4" w:space="0" w:color="auto"/>
              <w:left w:val="nil"/>
              <w:bottom w:val="dotDash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2B6BAB">
              <w:rPr>
                <w:rFonts w:ascii="Calibri" w:eastAsia="Times New Roman" w:hAnsi="Calibri" w:cs="Times New Roman"/>
                <w:color w:val="000000"/>
                <w:lang w:eastAsia="en-AU"/>
              </w:rPr>
              <w:t>NA</w:t>
            </w:r>
          </w:p>
        </w:tc>
        <w:tc>
          <w:tcPr>
            <w:tcW w:w="440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noWrap/>
            <w:vAlign w:val="center"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92</w:t>
            </w:r>
          </w:p>
        </w:tc>
        <w:tc>
          <w:tcPr>
            <w:tcW w:w="759" w:type="dxa"/>
            <w:tcBorders>
              <w:top w:val="nil"/>
              <w:left w:val="nil"/>
              <w:bottom w:val="dotDash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89</w:t>
            </w:r>
          </w:p>
        </w:tc>
        <w:tc>
          <w:tcPr>
            <w:tcW w:w="781" w:type="dxa"/>
            <w:tcBorders>
              <w:top w:val="nil"/>
              <w:left w:val="single" w:sz="12" w:space="0" w:color="auto"/>
              <w:bottom w:val="dotDash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93</w:t>
            </w:r>
          </w:p>
        </w:tc>
        <w:tc>
          <w:tcPr>
            <w:tcW w:w="551" w:type="dxa"/>
            <w:tcBorders>
              <w:top w:val="nil"/>
              <w:left w:val="nil"/>
              <w:bottom w:val="dotDash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2B6BAB">
              <w:rPr>
                <w:rFonts w:ascii="Calibri" w:eastAsia="Times New Roman" w:hAnsi="Calibri" w:cs="Times New Roman"/>
                <w:color w:val="000000"/>
                <w:lang w:eastAsia="en-AU"/>
              </w:rPr>
              <w:t>100</w:t>
            </w:r>
          </w:p>
        </w:tc>
        <w:tc>
          <w:tcPr>
            <w:tcW w:w="981" w:type="dxa"/>
            <w:tcBorders>
              <w:top w:val="nil"/>
              <w:left w:val="single" w:sz="12" w:space="0" w:color="auto"/>
              <w:bottom w:val="dotDash" w:sz="4" w:space="0" w:color="auto"/>
              <w:right w:val="nil"/>
            </w:tcBorders>
            <w:shd w:val="clear" w:color="auto" w:fill="auto"/>
            <w:noWrap/>
            <w:vAlign w:val="center"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83</w:t>
            </w:r>
          </w:p>
        </w:tc>
        <w:tc>
          <w:tcPr>
            <w:tcW w:w="440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noWrap/>
            <w:vAlign w:val="center"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90</w:t>
            </w:r>
          </w:p>
        </w:tc>
        <w:tc>
          <w:tcPr>
            <w:tcW w:w="662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1082" w:rsidRPr="00B149EA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AU"/>
              </w:rPr>
            </w:pPr>
            <w:r w:rsidRPr="00B149EA">
              <w:rPr>
                <w:rFonts w:ascii="Calibri" w:eastAsia="Times New Roman" w:hAnsi="Calibri" w:cs="Times New Roman"/>
                <w:b/>
                <w:color w:val="000000"/>
                <w:lang w:eastAsia="en-AU"/>
              </w:rPr>
              <w:t>85</w:t>
            </w:r>
          </w:p>
        </w:tc>
        <w:tc>
          <w:tcPr>
            <w:tcW w:w="500" w:type="dxa"/>
            <w:tcBorders>
              <w:top w:val="nil"/>
              <w:left w:val="nil"/>
              <w:bottom w:val="dotDash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AU"/>
              </w:rPr>
            </w:pPr>
            <w:r w:rsidRPr="002B6BAB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AU"/>
              </w:rPr>
              <w:t>86</w:t>
            </w:r>
          </w:p>
        </w:tc>
      </w:tr>
      <w:tr w:rsidR="00E51082" w:rsidRPr="002B6BAB" w:rsidTr="00A47A2B">
        <w:trPr>
          <w:trHeight w:hRule="exact" w:val="397"/>
        </w:trPr>
        <w:tc>
          <w:tcPr>
            <w:tcW w:w="1248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nil"/>
            </w:tcBorders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  <w:r w:rsidRPr="002B6BAB"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  <w:t>2</w:t>
            </w:r>
          </w:p>
        </w:tc>
        <w:tc>
          <w:tcPr>
            <w:tcW w:w="68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2B6BAB">
              <w:rPr>
                <w:rFonts w:ascii="Calibri" w:eastAsia="Times New Roman" w:hAnsi="Calibri" w:cs="Times New Roman"/>
                <w:color w:val="000000"/>
                <w:lang w:eastAsia="en-AU"/>
              </w:rPr>
              <w:t>27</w:t>
            </w:r>
          </w:p>
        </w:tc>
        <w:tc>
          <w:tcPr>
            <w:tcW w:w="6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hAnsi="Calibri"/>
                <w:color w:val="000000"/>
              </w:rPr>
              <w:t>26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hAnsi="Calibri"/>
                <w:color w:val="000000"/>
              </w:rPr>
              <w:t>25</w:t>
            </w:r>
          </w:p>
        </w:tc>
        <w:tc>
          <w:tcPr>
            <w:tcW w:w="683" w:type="dxa"/>
            <w:tcBorders>
              <w:top w:val="nil"/>
              <w:left w:val="single" w:sz="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2B6BAB">
              <w:rPr>
                <w:rFonts w:ascii="Calibri" w:eastAsia="Times New Roman" w:hAnsi="Calibri" w:cs="Times New Roman"/>
                <w:color w:val="000000"/>
                <w:lang w:eastAsia="en-AU"/>
              </w:rPr>
              <w:t>93</w:t>
            </w:r>
          </w:p>
        </w:tc>
        <w:tc>
          <w:tcPr>
            <w:tcW w:w="6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46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47</w:t>
            </w:r>
          </w:p>
        </w:tc>
        <w:tc>
          <w:tcPr>
            <w:tcW w:w="3457" w:type="dxa"/>
            <w:gridSpan w:val="8"/>
            <w:tcBorders>
              <w:top w:val="dotDash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51082" w:rsidRDefault="00E51082" w:rsidP="00A47A2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</w:t>
            </w:r>
            <w:r>
              <w:rPr>
                <w:rFonts w:ascii="Calibri" w:hAnsi="Calibri"/>
                <w:color w:val="000000"/>
              </w:rPr>
              <w:t xml:space="preserve"> = 94; </w:t>
            </w:r>
            <w:r>
              <w:rPr>
                <w:rFonts w:ascii="Calibri" w:hAnsi="Calibri"/>
                <w:b/>
                <w:bCs/>
                <w:color w:val="000000"/>
              </w:rPr>
              <w:t>T</w:t>
            </w:r>
            <w:r>
              <w:rPr>
                <w:rFonts w:ascii="Calibri" w:hAnsi="Calibri"/>
                <w:color w:val="000000"/>
              </w:rPr>
              <w:t xml:space="preserve"> = 92</w:t>
            </w:r>
          </w:p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  <w:tc>
          <w:tcPr>
            <w:tcW w:w="7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2B6BAB">
              <w:rPr>
                <w:rFonts w:ascii="Calibri" w:eastAsia="Times New Roman" w:hAnsi="Calibri" w:cs="Times New Roman"/>
                <w:color w:val="000000"/>
                <w:lang w:eastAsia="en-AU"/>
              </w:rPr>
              <w:t>100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2B6BAB">
              <w:rPr>
                <w:rFonts w:ascii="Calibri" w:eastAsia="Times New Roman" w:hAnsi="Calibri" w:cs="Times New Roman"/>
                <w:color w:val="000000"/>
                <w:lang w:eastAsia="en-AU"/>
              </w:rPr>
              <w:t>100</w:t>
            </w:r>
          </w:p>
        </w:tc>
        <w:tc>
          <w:tcPr>
            <w:tcW w:w="9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97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92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1082" w:rsidRPr="00B149EA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AU"/>
              </w:rPr>
            </w:pPr>
            <w:r w:rsidRPr="00B149EA">
              <w:rPr>
                <w:rFonts w:ascii="Calibri" w:eastAsia="Times New Roman" w:hAnsi="Calibri" w:cs="Times New Roman"/>
                <w:b/>
                <w:color w:val="000000"/>
                <w:lang w:eastAsia="en-AU"/>
              </w:rPr>
              <w:t>97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AU"/>
              </w:rPr>
            </w:pPr>
            <w:r w:rsidRPr="002B6BAB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AU"/>
              </w:rPr>
              <w:t>9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AU"/>
              </w:rPr>
              <w:t>4</w:t>
            </w:r>
          </w:p>
        </w:tc>
      </w:tr>
      <w:tr w:rsidR="00E51082" w:rsidRPr="002B6BAB" w:rsidTr="00A47A2B">
        <w:trPr>
          <w:trHeight w:hRule="exact" w:val="397"/>
        </w:trPr>
        <w:tc>
          <w:tcPr>
            <w:tcW w:w="1248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  <w:t>Alternating</w:t>
            </w:r>
            <w:r w:rsidRPr="002B6BAB"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  <w:t xml:space="preserve"> turtle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  <w:t>s (AT)</w:t>
            </w:r>
          </w:p>
        </w:tc>
        <w:tc>
          <w:tcPr>
            <w:tcW w:w="735" w:type="dxa"/>
            <w:tcBorders>
              <w:top w:val="nil"/>
              <w:left w:val="nil"/>
              <w:bottom w:val="dotDash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  <w:r w:rsidRPr="002B6BAB"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  <w:t>4</w:t>
            </w:r>
          </w:p>
        </w:tc>
        <w:tc>
          <w:tcPr>
            <w:tcW w:w="683" w:type="dxa"/>
            <w:tcBorders>
              <w:top w:val="single" w:sz="12" w:space="0" w:color="auto"/>
              <w:left w:val="single" w:sz="12" w:space="0" w:color="auto"/>
              <w:bottom w:val="dotDash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2B6BAB">
              <w:rPr>
                <w:rFonts w:ascii="Calibri" w:eastAsia="Times New Roman" w:hAnsi="Calibri" w:cs="Times New Roman"/>
                <w:color w:val="000000"/>
                <w:lang w:eastAsia="en-AU"/>
              </w:rPr>
              <w:t>27</w:t>
            </w:r>
          </w:p>
        </w:tc>
        <w:tc>
          <w:tcPr>
            <w:tcW w:w="684" w:type="dxa"/>
            <w:tcBorders>
              <w:top w:val="single" w:sz="12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641" w:type="dxa"/>
            <w:tcBorders>
              <w:top w:val="single" w:sz="12" w:space="0" w:color="auto"/>
              <w:left w:val="nil"/>
              <w:bottom w:val="dotDash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683" w:type="dxa"/>
            <w:tcBorders>
              <w:top w:val="single" w:sz="12" w:space="0" w:color="auto"/>
              <w:left w:val="single" w:sz="2" w:space="0" w:color="auto"/>
              <w:bottom w:val="dotDash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2B6BAB">
              <w:rPr>
                <w:rFonts w:ascii="Calibri" w:eastAsia="Times New Roman" w:hAnsi="Calibri" w:cs="Times New Roman"/>
                <w:color w:val="000000"/>
                <w:lang w:eastAsia="en-AU"/>
              </w:rPr>
              <w:t>93</w:t>
            </w:r>
          </w:p>
        </w:tc>
        <w:tc>
          <w:tcPr>
            <w:tcW w:w="684" w:type="dxa"/>
            <w:tcBorders>
              <w:top w:val="single" w:sz="12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noWrap/>
            <w:vAlign w:val="center"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49</w:t>
            </w:r>
          </w:p>
        </w:tc>
        <w:tc>
          <w:tcPr>
            <w:tcW w:w="641" w:type="dxa"/>
            <w:tcBorders>
              <w:top w:val="single" w:sz="12" w:space="0" w:color="auto"/>
              <w:left w:val="nil"/>
              <w:bottom w:val="dotDash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44</w:t>
            </w:r>
          </w:p>
        </w:tc>
        <w:tc>
          <w:tcPr>
            <w:tcW w:w="580" w:type="dxa"/>
            <w:tcBorders>
              <w:top w:val="single" w:sz="12" w:space="0" w:color="auto"/>
              <w:left w:val="single" w:sz="12" w:space="0" w:color="auto"/>
              <w:bottom w:val="dotDash" w:sz="4" w:space="0" w:color="auto"/>
              <w:right w:val="nil"/>
            </w:tcBorders>
            <w:shd w:val="clear" w:color="auto" w:fill="auto"/>
            <w:noWrap/>
            <w:vAlign w:val="center"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78</w:t>
            </w:r>
          </w:p>
        </w:tc>
        <w:tc>
          <w:tcPr>
            <w:tcW w:w="580" w:type="dxa"/>
            <w:tcBorders>
              <w:top w:val="single" w:sz="12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noWrap/>
            <w:vAlign w:val="center"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75</w:t>
            </w:r>
          </w:p>
        </w:tc>
        <w:tc>
          <w:tcPr>
            <w:tcW w:w="513" w:type="dxa"/>
            <w:gridSpan w:val="2"/>
            <w:tcBorders>
              <w:top w:val="single" w:sz="12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2B6BAB">
              <w:rPr>
                <w:rFonts w:ascii="Calibri" w:eastAsia="Times New Roman" w:hAnsi="Calibri" w:cs="Times New Roman"/>
                <w:color w:val="000000"/>
                <w:lang w:eastAsia="en-AU"/>
              </w:rPr>
              <w:t>0</w:t>
            </w:r>
          </w:p>
        </w:tc>
        <w:tc>
          <w:tcPr>
            <w:tcW w:w="480" w:type="dxa"/>
            <w:tcBorders>
              <w:top w:val="single" w:sz="12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2B6BAB">
              <w:rPr>
                <w:rFonts w:ascii="Calibri" w:eastAsia="Times New Roman" w:hAnsi="Calibri" w:cs="Times New Roman"/>
                <w:color w:val="000000"/>
                <w:lang w:eastAsia="en-AU"/>
              </w:rPr>
              <w:t>0</w:t>
            </w:r>
          </w:p>
        </w:tc>
        <w:tc>
          <w:tcPr>
            <w:tcW w:w="545" w:type="dxa"/>
            <w:gridSpan w:val="2"/>
            <w:tcBorders>
              <w:top w:val="single" w:sz="12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noWrap/>
            <w:vAlign w:val="center"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42</w:t>
            </w:r>
          </w:p>
        </w:tc>
        <w:tc>
          <w:tcPr>
            <w:tcW w:w="759" w:type="dxa"/>
            <w:tcBorders>
              <w:top w:val="single" w:sz="12" w:space="0" w:color="auto"/>
              <w:left w:val="nil"/>
              <w:bottom w:val="dotDash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40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12" w:space="0" w:color="auto"/>
              <w:bottom w:val="dotDash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2B6BAB">
              <w:rPr>
                <w:rFonts w:ascii="Calibri" w:eastAsia="Times New Roman" w:hAnsi="Calibri" w:cs="Times New Roman"/>
                <w:color w:val="000000"/>
                <w:lang w:eastAsia="en-AU"/>
              </w:rPr>
              <w:t>100</w:t>
            </w:r>
          </w:p>
        </w:tc>
        <w:tc>
          <w:tcPr>
            <w:tcW w:w="551" w:type="dxa"/>
            <w:tcBorders>
              <w:top w:val="single" w:sz="12" w:space="0" w:color="auto"/>
              <w:left w:val="nil"/>
              <w:bottom w:val="dotDash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2B6BAB">
              <w:rPr>
                <w:rFonts w:ascii="Calibri" w:eastAsia="Times New Roman" w:hAnsi="Calibri" w:cs="Times New Roman"/>
                <w:color w:val="000000"/>
                <w:lang w:eastAsia="en-AU"/>
              </w:rPr>
              <w:t>100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12" w:space="0" w:color="auto"/>
              <w:bottom w:val="dotDash" w:sz="4" w:space="0" w:color="auto"/>
              <w:right w:val="nil"/>
            </w:tcBorders>
            <w:shd w:val="clear" w:color="auto" w:fill="auto"/>
            <w:noWrap/>
            <w:vAlign w:val="center"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55</w:t>
            </w:r>
          </w:p>
        </w:tc>
        <w:tc>
          <w:tcPr>
            <w:tcW w:w="440" w:type="dxa"/>
            <w:tcBorders>
              <w:top w:val="single" w:sz="12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noWrap/>
            <w:vAlign w:val="center"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57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1082" w:rsidRPr="00B149EA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AU"/>
              </w:rPr>
            </w:pPr>
            <w:r w:rsidRPr="00B149EA">
              <w:rPr>
                <w:rFonts w:ascii="Calibri" w:eastAsia="Times New Roman" w:hAnsi="Calibri" w:cs="Times New Roman"/>
                <w:b/>
                <w:color w:val="000000"/>
                <w:lang w:eastAsia="en-AU"/>
              </w:rPr>
              <w:t>53</w:t>
            </w:r>
          </w:p>
        </w:tc>
        <w:tc>
          <w:tcPr>
            <w:tcW w:w="500" w:type="dxa"/>
            <w:tcBorders>
              <w:top w:val="single" w:sz="12" w:space="0" w:color="auto"/>
              <w:left w:val="nil"/>
              <w:bottom w:val="dotDash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AU"/>
              </w:rPr>
            </w:pPr>
            <w:r w:rsidRPr="002B6BAB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AU"/>
              </w:rPr>
              <w:t>59</w:t>
            </w:r>
          </w:p>
        </w:tc>
      </w:tr>
      <w:tr w:rsidR="00E51082" w:rsidRPr="002B6BAB" w:rsidTr="00A47A2B">
        <w:trPr>
          <w:trHeight w:hRule="exact" w:val="397"/>
        </w:trPr>
        <w:tc>
          <w:tcPr>
            <w:tcW w:w="1248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nil"/>
            </w:tcBorders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dotDash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  <w:r w:rsidRPr="002B6BAB"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  <w:t>3</w:t>
            </w:r>
          </w:p>
        </w:tc>
        <w:tc>
          <w:tcPr>
            <w:tcW w:w="683" w:type="dxa"/>
            <w:tcBorders>
              <w:top w:val="nil"/>
              <w:left w:val="single" w:sz="12" w:space="0" w:color="auto"/>
              <w:bottom w:val="dotDash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2B6BAB">
              <w:rPr>
                <w:rFonts w:ascii="Calibri" w:eastAsia="Times New Roman" w:hAnsi="Calibri" w:cs="Times New Roman"/>
                <w:color w:val="000000"/>
                <w:lang w:eastAsia="en-AU"/>
              </w:rPr>
              <w:t>27</w:t>
            </w:r>
          </w:p>
        </w:tc>
        <w:tc>
          <w:tcPr>
            <w:tcW w:w="684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11</w:t>
            </w:r>
          </w:p>
        </w:tc>
        <w:tc>
          <w:tcPr>
            <w:tcW w:w="641" w:type="dxa"/>
            <w:tcBorders>
              <w:top w:val="nil"/>
              <w:left w:val="nil"/>
              <w:bottom w:val="dotDash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12</w:t>
            </w:r>
          </w:p>
        </w:tc>
        <w:tc>
          <w:tcPr>
            <w:tcW w:w="683" w:type="dxa"/>
            <w:tcBorders>
              <w:top w:val="nil"/>
              <w:left w:val="single" w:sz="2" w:space="0" w:color="auto"/>
              <w:bottom w:val="dotDash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2B6BAB">
              <w:rPr>
                <w:rFonts w:ascii="Calibri" w:eastAsia="Times New Roman" w:hAnsi="Calibri" w:cs="Times New Roman"/>
                <w:color w:val="000000"/>
                <w:lang w:eastAsia="en-AU"/>
              </w:rPr>
              <w:t>70</w:t>
            </w:r>
          </w:p>
        </w:tc>
        <w:tc>
          <w:tcPr>
            <w:tcW w:w="684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noWrap/>
            <w:vAlign w:val="center"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37</w:t>
            </w:r>
          </w:p>
        </w:tc>
        <w:tc>
          <w:tcPr>
            <w:tcW w:w="641" w:type="dxa"/>
            <w:tcBorders>
              <w:top w:val="nil"/>
              <w:left w:val="nil"/>
              <w:bottom w:val="dotDash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33</w:t>
            </w:r>
          </w:p>
        </w:tc>
        <w:tc>
          <w:tcPr>
            <w:tcW w:w="580" w:type="dxa"/>
            <w:tcBorders>
              <w:top w:val="nil"/>
              <w:left w:val="single" w:sz="12" w:space="0" w:color="auto"/>
              <w:bottom w:val="dotDash" w:sz="4" w:space="0" w:color="auto"/>
              <w:right w:val="nil"/>
            </w:tcBorders>
            <w:shd w:val="clear" w:color="auto" w:fill="auto"/>
            <w:noWrap/>
            <w:vAlign w:val="center"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100</w:t>
            </w:r>
          </w:p>
        </w:tc>
        <w:tc>
          <w:tcPr>
            <w:tcW w:w="580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noWrap/>
            <w:vAlign w:val="center"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100</w:t>
            </w:r>
          </w:p>
        </w:tc>
        <w:tc>
          <w:tcPr>
            <w:tcW w:w="993" w:type="dxa"/>
            <w:gridSpan w:val="3"/>
            <w:tcBorders>
              <w:top w:val="dotDash" w:sz="4" w:space="0" w:color="auto"/>
              <w:left w:val="nil"/>
              <w:bottom w:val="dotDash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2B6BAB">
              <w:rPr>
                <w:rFonts w:ascii="Calibri" w:eastAsia="Times New Roman" w:hAnsi="Calibri" w:cs="Times New Roman"/>
                <w:color w:val="000000"/>
                <w:lang w:eastAsia="en-AU"/>
              </w:rPr>
              <w:t>NA</w:t>
            </w:r>
          </w:p>
        </w:tc>
        <w:tc>
          <w:tcPr>
            <w:tcW w:w="545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noWrap/>
            <w:vAlign w:val="center"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83</w:t>
            </w:r>
          </w:p>
        </w:tc>
        <w:tc>
          <w:tcPr>
            <w:tcW w:w="759" w:type="dxa"/>
            <w:tcBorders>
              <w:top w:val="nil"/>
              <w:left w:val="nil"/>
              <w:bottom w:val="dotDash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80</w:t>
            </w:r>
          </w:p>
        </w:tc>
        <w:tc>
          <w:tcPr>
            <w:tcW w:w="781" w:type="dxa"/>
            <w:tcBorders>
              <w:top w:val="nil"/>
              <w:left w:val="single" w:sz="12" w:space="0" w:color="auto"/>
              <w:bottom w:val="dotDash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100</w:t>
            </w:r>
          </w:p>
        </w:tc>
        <w:tc>
          <w:tcPr>
            <w:tcW w:w="551" w:type="dxa"/>
            <w:tcBorders>
              <w:top w:val="nil"/>
              <w:left w:val="nil"/>
              <w:bottom w:val="dotDash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2B6BAB">
              <w:rPr>
                <w:rFonts w:ascii="Calibri" w:eastAsia="Times New Roman" w:hAnsi="Calibri" w:cs="Times New Roman"/>
                <w:color w:val="000000"/>
                <w:lang w:eastAsia="en-AU"/>
              </w:rPr>
              <w:t>100</w:t>
            </w:r>
          </w:p>
        </w:tc>
        <w:tc>
          <w:tcPr>
            <w:tcW w:w="981" w:type="dxa"/>
            <w:tcBorders>
              <w:top w:val="nil"/>
              <w:left w:val="single" w:sz="12" w:space="0" w:color="auto"/>
              <w:bottom w:val="dotDash" w:sz="4" w:space="0" w:color="auto"/>
              <w:right w:val="nil"/>
            </w:tcBorders>
            <w:shd w:val="clear" w:color="auto" w:fill="auto"/>
            <w:noWrap/>
            <w:vAlign w:val="center"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94</w:t>
            </w:r>
          </w:p>
        </w:tc>
        <w:tc>
          <w:tcPr>
            <w:tcW w:w="440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noWrap/>
            <w:vAlign w:val="center"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92</w:t>
            </w:r>
          </w:p>
        </w:tc>
        <w:tc>
          <w:tcPr>
            <w:tcW w:w="662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1082" w:rsidRPr="00B149EA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AU"/>
              </w:rPr>
            </w:pPr>
            <w:r w:rsidRPr="00B149EA">
              <w:rPr>
                <w:rFonts w:ascii="Calibri" w:eastAsia="Times New Roman" w:hAnsi="Calibri" w:cs="Times New Roman"/>
                <w:b/>
                <w:color w:val="000000"/>
                <w:lang w:eastAsia="en-AU"/>
              </w:rPr>
              <w:t>88</w:t>
            </w:r>
          </w:p>
        </w:tc>
        <w:tc>
          <w:tcPr>
            <w:tcW w:w="500" w:type="dxa"/>
            <w:tcBorders>
              <w:top w:val="nil"/>
              <w:left w:val="nil"/>
              <w:bottom w:val="dotDash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AU"/>
              </w:rPr>
            </w:pPr>
            <w:r w:rsidRPr="002B6BAB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AU"/>
              </w:rPr>
              <w:t>91</w:t>
            </w:r>
          </w:p>
        </w:tc>
      </w:tr>
      <w:tr w:rsidR="00E51082" w:rsidRPr="002B6BAB" w:rsidTr="00A47A2B">
        <w:trPr>
          <w:trHeight w:hRule="exact" w:val="397"/>
        </w:trPr>
        <w:tc>
          <w:tcPr>
            <w:tcW w:w="1248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nil"/>
            </w:tcBorders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  <w:r w:rsidRPr="002B6BAB"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  <w:t>2</w:t>
            </w:r>
          </w:p>
        </w:tc>
        <w:tc>
          <w:tcPr>
            <w:tcW w:w="68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2B6BAB">
              <w:rPr>
                <w:rFonts w:ascii="Calibri" w:eastAsia="Times New Roman" w:hAnsi="Calibri" w:cs="Times New Roman"/>
                <w:color w:val="000000"/>
                <w:lang w:eastAsia="en-AU"/>
              </w:rPr>
              <w:t>23</w:t>
            </w:r>
          </w:p>
        </w:tc>
        <w:tc>
          <w:tcPr>
            <w:tcW w:w="6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13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683" w:type="dxa"/>
            <w:tcBorders>
              <w:top w:val="nil"/>
              <w:left w:val="single" w:sz="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2B6BAB">
              <w:rPr>
                <w:rFonts w:ascii="Calibri" w:eastAsia="Times New Roman" w:hAnsi="Calibri" w:cs="Times New Roman"/>
                <w:color w:val="000000"/>
                <w:lang w:eastAsia="en-AU"/>
              </w:rPr>
              <w:t>93</w:t>
            </w:r>
          </w:p>
        </w:tc>
        <w:tc>
          <w:tcPr>
            <w:tcW w:w="6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49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44</w:t>
            </w:r>
          </w:p>
        </w:tc>
        <w:tc>
          <w:tcPr>
            <w:tcW w:w="3457" w:type="dxa"/>
            <w:gridSpan w:val="8"/>
            <w:tcBorders>
              <w:top w:val="dotDash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E51082" w:rsidRDefault="00E51082" w:rsidP="00A47A2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</w:t>
            </w:r>
            <w:r>
              <w:rPr>
                <w:rFonts w:ascii="Calibri" w:hAnsi="Calibri"/>
                <w:color w:val="000000"/>
              </w:rPr>
              <w:t xml:space="preserve"> = 94; </w:t>
            </w:r>
            <w:r>
              <w:rPr>
                <w:rFonts w:ascii="Calibri" w:hAnsi="Calibri"/>
                <w:b/>
                <w:bCs/>
                <w:color w:val="000000"/>
              </w:rPr>
              <w:t>T</w:t>
            </w:r>
            <w:r>
              <w:rPr>
                <w:rFonts w:ascii="Calibri" w:hAnsi="Calibri"/>
                <w:color w:val="000000"/>
              </w:rPr>
              <w:t xml:space="preserve"> = 91</w:t>
            </w:r>
          </w:p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  <w:tc>
          <w:tcPr>
            <w:tcW w:w="7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2B6BAB">
              <w:rPr>
                <w:rFonts w:ascii="Calibri" w:eastAsia="Times New Roman" w:hAnsi="Calibri" w:cs="Times New Roman"/>
                <w:color w:val="000000"/>
                <w:lang w:eastAsia="en-AU"/>
              </w:rPr>
              <w:t>100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2B6BAB">
              <w:rPr>
                <w:rFonts w:ascii="Calibri" w:eastAsia="Times New Roman" w:hAnsi="Calibri" w:cs="Times New Roman"/>
                <w:color w:val="000000"/>
                <w:lang w:eastAsia="en-AU"/>
              </w:rPr>
              <w:t>100</w:t>
            </w:r>
          </w:p>
        </w:tc>
        <w:tc>
          <w:tcPr>
            <w:tcW w:w="9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97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93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1082" w:rsidRPr="00B149EA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n-AU"/>
              </w:rPr>
            </w:pPr>
            <w:r w:rsidRPr="00B149EA">
              <w:rPr>
                <w:rFonts w:ascii="Calibri" w:eastAsia="Times New Roman" w:hAnsi="Calibri" w:cs="Times New Roman"/>
                <w:b/>
                <w:color w:val="000000"/>
                <w:lang w:eastAsia="en-AU"/>
              </w:rPr>
              <w:t>97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51082" w:rsidRPr="002B6BAB" w:rsidRDefault="00E51082" w:rsidP="00A47A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AU"/>
              </w:rPr>
            </w:pPr>
            <w:r w:rsidRPr="002B6BAB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n-AU"/>
              </w:rPr>
              <w:t>93</w:t>
            </w:r>
          </w:p>
        </w:tc>
      </w:tr>
    </w:tbl>
    <w:p w:rsidR="00384ACF" w:rsidRDefault="00384ACF"/>
    <w:p w:rsidR="001D3EDE" w:rsidRPr="001D3EDE" w:rsidRDefault="001D3EDE" w:rsidP="001D3EDE">
      <w:r w:rsidRPr="001D3EDE">
        <w:rPr>
          <w:b/>
        </w:rPr>
        <w:t>References</w:t>
      </w:r>
    </w:p>
    <w:p w:rsidR="001D3EDE" w:rsidRPr="004B7677" w:rsidRDefault="001D3EDE" w:rsidP="001D3EDE">
      <w:pPr>
        <w:pStyle w:val="EndNoteBibliography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4B7677">
        <w:t xml:space="preserve">Doell, S.A., Connolly, R.M., Limpus, C.J., Pearson, R.M. &amp; van de Merwe, J.P. (2017) Using growth rates to estimate age of the sea turtle barnacle </w:t>
      </w:r>
      <w:r w:rsidRPr="004B7677">
        <w:rPr>
          <w:i/>
        </w:rPr>
        <w:t>Chelonibia testudinaria</w:t>
      </w:r>
      <w:r w:rsidRPr="004B7677">
        <w:t xml:space="preserve">. </w:t>
      </w:r>
      <w:r w:rsidRPr="004B7677">
        <w:rPr>
          <w:i/>
        </w:rPr>
        <w:t>Marine Biology,</w:t>
      </w:r>
      <w:r w:rsidRPr="004B7677">
        <w:t xml:space="preserve"> </w:t>
      </w:r>
      <w:r w:rsidRPr="004B7677">
        <w:rPr>
          <w:b/>
        </w:rPr>
        <w:t>164,</w:t>
      </w:r>
      <w:r w:rsidRPr="004B7677">
        <w:t xml:space="preserve"> 222.</w:t>
      </w:r>
    </w:p>
    <w:p w:rsidR="00E51082" w:rsidRPr="00C37BDA" w:rsidRDefault="001D3EDE" w:rsidP="001D3EDE">
      <w:r>
        <w:fldChar w:fldCharType="end"/>
      </w:r>
    </w:p>
    <w:sectPr w:rsidR="00E51082" w:rsidRPr="00C37BDA" w:rsidSect="00E5108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3B25A4"/>
    <w:multiLevelType w:val="hybridMultilevel"/>
    <w:tmpl w:val="4A307F2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1082"/>
    <w:rsid w:val="00137436"/>
    <w:rsid w:val="001D3EDE"/>
    <w:rsid w:val="00360291"/>
    <w:rsid w:val="00384ACF"/>
    <w:rsid w:val="00416BEA"/>
    <w:rsid w:val="008B3D1A"/>
    <w:rsid w:val="009F0E64"/>
    <w:rsid w:val="00A724DC"/>
    <w:rsid w:val="00AA2E54"/>
    <w:rsid w:val="00C37BDA"/>
    <w:rsid w:val="00DE5106"/>
    <w:rsid w:val="00E51082"/>
    <w:rsid w:val="00F4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C0FB2"/>
  <w15:docId w15:val="{D9293EFB-E148-4600-B636-5DBA6742A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10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E5108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EndNoteBibliography">
    <w:name w:val="EndNote Bibliography"/>
    <w:basedOn w:val="Normal"/>
    <w:link w:val="EndNoteBibliographyChar"/>
    <w:rsid w:val="001D3EDE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1D3EDE"/>
    <w:rPr>
      <w:rFonts w:ascii="Calibri" w:hAnsi="Calibri"/>
      <w:noProof/>
      <w:lang w:val="en-US"/>
    </w:rPr>
  </w:style>
  <w:style w:type="paragraph" w:styleId="ListParagraph">
    <w:name w:val="List Paragraph"/>
    <w:basedOn w:val="Normal"/>
    <w:uiPriority w:val="34"/>
    <w:qFormat/>
    <w:rsid w:val="001D3E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D3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3E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69B119E0-F70C-4752-93C6-D4B56758C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Griffith University</Company>
  <LinksUpToDate>false</LinksUpToDate>
  <CharactersWithSpaces>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Ryan Pearson</dc:creator>
  <cp:lastModifiedBy>Ryan Pearson</cp:lastModifiedBy>
  <cp:revision>2</cp:revision>
  <dcterms:created xsi:type="dcterms:W3CDTF">2019-04-16T19:53:00Z</dcterms:created>
  <dcterms:modified xsi:type="dcterms:W3CDTF">2019-04-16T19:53:00Z</dcterms:modified>
</cp:coreProperties>
</file>