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A70E2" w14:textId="15288528" w:rsidR="00CD2C57" w:rsidRPr="00CD2C57" w:rsidRDefault="00CD2C57" w:rsidP="00CD2C57">
      <w:pPr>
        <w:spacing w:line="480" w:lineRule="auto"/>
        <w:jc w:val="both"/>
        <w:rPr>
          <w:rFonts w:ascii="Times New Roman" w:hAnsi="Times New Roman" w:cs="Times New Roman"/>
          <w:b/>
          <w:color w:val="000000" w:themeColor="text1"/>
          <w:sz w:val="28"/>
          <w:szCs w:val="22"/>
        </w:rPr>
      </w:pPr>
      <w:r w:rsidRPr="00CD2C57">
        <w:rPr>
          <w:rFonts w:ascii="Times New Roman" w:hAnsi="Times New Roman" w:cs="Times New Roman"/>
          <w:b/>
          <w:color w:val="000000" w:themeColor="text1"/>
          <w:sz w:val="28"/>
          <w:szCs w:val="22"/>
        </w:rPr>
        <w:t>Comprehensive Analysis of Animal Models of Cardiovascular Disease using Multiscale X-Ray Phase Contrast Tomography</w:t>
      </w:r>
    </w:p>
    <w:p w14:paraId="4959623F" w14:textId="1FFCC744" w:rsidR="00CD2C57" w:rsidRPr="00CD2C57" w:rsidRDefault="00CD2C57" w:rsidP="00CD2C57">
      <w:pPr>
        <w:spacing w:line="480" w:lineRule="auto"/>
        <w:jc w:val="both"/>
        <w:rPr>
          <w:rFonts w:ascii="Times New Roman" w:hAnsi="Times New Roman" w:cs="Times New Roman"/>
          <w:b/>
          <w:color w:val="000000" w:themeColor="text1"/>
          <w:sz w:val="22"/>
          <w:vertAlign w:val="superscript"/>
        </w:rPr>
      </w:pPr>
      <w:r w:rsidRPr="00CD2C57">
        <w:rPr>
          <w:rFonts w:ascii="Times New Roman" w:hAnsi="Times New Roman" w:cs="Times New Roman"/>
          <w:b/>
          <w:color w:val="000000" w:themeColor="text1"/>
          <w:sz w:val="22"/>
        </w:rPr>
        <w:t>Hector Dejea</w:t>
      </w:r>
      <w:r w:rsidRPr="00CD2C57">
        <w:rPr>
          <w:rFonts w:ascii="Times New Roman" w:hAnsi="Times New Roman" w:cs="Times New Roman"/>
          <w:b/>
          <w:color w:val="000000" w:themeColor="text1"/>
          <w:sz w:val="22"/>
          <w:vertAlign w:val="superscript"/>
        </w:rPr>
        <w:t>1,2</w:t>
      </w:r>
      <w:r w:rsidRPr="00CD2C57">
        <w:rPr>
          <w:rFonts w:ascii="Times New Roman" w:hAnsi="Times New Roman" w:cs="Times New Roman"/>
          <w:b/>
          <w:color w:val="000000" w:themeColor="text1"/>
          <w:sz w:val="22"/>
        </w:rPr>
        <w:t>*</w:t>
      </w:r>
      <w:r w:rsidRPr="00CD2C57">
        <w:rPr>
          <w:rFonts w:ascii="Times New Roman" w:hAnsi="Times New Roman" w:cs="Times New Roman"/>
          <w:b/>
          <w:color w:val="000000" w:themeColor="text1"/>
          <w:sz w:val="22"/>
          <w:vertAlign w:val="superscript"/>
        </w:rPr>
        <w:t>§</w:t>
      </w:r>
      <w:r w:rsidRPr="00CD2C57">
        <w:rPr>
          <w:rFonts w:ascii="Times New Roman" w:hAnsi="Times New Roman" w:cs="Times New Roman"/>
          <w:b/>
          <w:color w:val="000000" w:themeColor="text1"/>
          <w:sz w:val="22"/>
        </w:rPr>
        <w:t>, Patricia Garcia-Canadilla</w:t>
      </w:r>
      <w:r w:rsidRPr="00CD2C57">
        <w:rPr>
          <w:rFonts w:ascii="Times New Roman" w:hAnsi="Times New Roman" w:cs="Times New Roman"/>
          <w:b/>
          <w:color w:val="000000" w:themeColor="text1"/>
          <w:sz w:val="22"/>
          <w:vertAlign w:val="superscript"/>
        </w:rPr>
        <w:t>3,4§</w:t>
      </w:r>
      <w:r w:rsidRPr="00CD2C57">
        <w:rPr>
          <w:rFonts w:ascii="Times New Roman" w:hAnsi="Times New Roman" w:cs="Times New Roman"/>
          <w:b/>
          <w:color w:val="000000" w:themeColor="text1"/>
          <w:sz w:val="22"/>
        </w:rPr>
        <w:t>, Andrew C. Cook</w:t>
      </w:r>
      <w:r w:rsidRPr="00CD2C57">
        <w:rPr>
          <w:rFonts w:ascii="Times New Roman" w:hAnsi="Times New Roman" w:cs="Times New Roman"/>
          <w:b/>
          <w:color w:val="000000" w:themeColor="text1"/>
          <w:sz w:val="22"/>
          <w:vertAlign w:val="superscript"/>
        </w:rPr>
        <w:t>4</w:t>
      </w:r>
      <w:r w:rsidRPr="00CD2C57">
        <w:rPr>
          <w:rFonts w:ascii="Times New Roman" w:hAnsi="Times New Roman" w:cs="Times New Roman"/>
          <w:b/>
          <w:color w:val="000000" w:themeColor="text1"/>
          <w:sz w:val="22"/>
        </w:rPr>
        <w:t>, Eduard Guasch</w:t>
      </w:r>
      <w:r w:rsidRPr="00CD2C57">
        <w:rPr>
          <w:rFonts w:ascii="Times New Roman" w:hAnsi="Times New Roman" w:cs="Times New Roman"/>
          <w:b/>
          <w:color w:val="000000" w:themeColor="text1"/>
          <w:sz w:val="22"/>
          <w:vertAlign w:val="superscript"/>
        </w:rPr>
        <w:t>5</w:t>
      </w:r>
      <w:r w:rsidR="003C5DD6">
        <w:rPr>
          <w:rFonts w:ascii="Times New Roman" w:hAnsi="Times New Roman" w:cs="Times New Roman"/>
          <w:b/>
          <w:color w:val="000000" w:themeColor="text1"/>
          <w:sz w:val="22"/>
          <w:vertAlign w:val="superscript"/>
        </w:rPr>
        <w:t>,9,10</w:t>
      </w:r>
      <w:r w:rsidRPr="00CD2C57">
        <w:rPr>
          <w:rFonts w:ascii="Times New Roman" w:hAnsi="Times New Roman" w:cs="Times New Roman"/>
          <w:b/>
          <w:color w:val="000000" w:themeColor="text1"/>
          <w:sz w:val="22"/>
        </w:rPr>
        <w:t>, Monica Zamora</w:t>
      </w:r>
      <w:r w:rsidRPr="00CD2C57">
        <w:rPr>
          <w:rFonts w:ascii="Times New Roman" w:hAnsi="Times New Roman" w:cs="Times New Roman"/>
          <w:b/>
          <w:color w:val="000000" w:themeColor="text1"/>
          <w:sz w:val="22"/>
          <w:vertAlign w:val="superscript"/>
        </w:rPr>
        <w:t>6</w:t>
      </w:r>
      <w:r w:rsidR="003C5DD6">
        <w:rPr>
          <w:rFonts w:ascii="Times New Roman" w:hAnsi="Times New Roman" w:cs="Times New Roman"/>
          <w:b/>
          <w:color w:val="000000" w:themeColor="text1"/>
          <w:sz w:val="22"/>
          <w:vertAlign w:val="superscript"/>
        </w:rPr>
        <w:t>,9</w:t>
      </w:r>
      <w:r w:rsidRPr="00CD2C57">
        <w:rPr>
          <w:rFonts w:ascii="Times New Roman" w:hAnsi="Times New Roman" w:cs="Times New Roman"/>
          <w:b/>
          <w:color w:val="000000" w:themeColor="text1"/>
          <w:sz w:val="22"/>
        </w:rPr>
        <w:t>, Fatima Crispi</w:t>
      </w:r>
      <w:r w:rsidRPr="00CD2C57">
        <w:rPr>
          <w:rFonts w:ascii="Times New Roman" w:hAnsi="Times New Roman" w:cs="Times New Roman"/>
          <w:b/>
          <w:color w:val="000000" w:themeColor="text1"/>
          <w:sz w:val="22"/>
          <w:vertAlign w:val="superscript"/>
        </w:rPr>
        <w:t>6,7</w:t>
      </w:r>
      <w:r w:rsidR="003C5DD6">
        <w:rPr>
          <w:rFonts w:ascii="Times New Roman" w:hAnsi="Times New Roman" w:cs="Times New Roman"/>
          <w:b/>
          <w:color w:val="000000" w:themeColor="text1"/>
          <w:sz w:val="22"/>
          <w:vertAlign w:val="superscript"/>
        </w:rPr>
        <w:t>,9</w:t>
      </w:r>
      <w:bookmarkStart w:id="0" w:name="_GoBack"/>
      <w:bookmarkEnd w:id="0"/>
      <w:r w:rsidRPr="00CD2C57">
        <w:rPr>
          <w:rFonts w:ascii="Times New Roman" w:hAnsi="Times New Roman" w:cs="Times New Roman"/>
          <w:b/>
          <w:color w:val="000000" w:themeColor="text1"/>
          <w:sz w:val="22"/>
        </w:rPr>
        <w:t>, Marco Stampanoni</w:t>
      </w:r>
      <w:r w:rsidRPr="00CD2C57">
        <w:rPr>
          <w:rFonts w:ascii="Times New Roman" w:hAnsi="Times New Roman" w:cs="Times New Roman"/>
          <w:b/>
          <w:color w:val="000000" w:themeColor="text1"/>
          <w:sz w:val="22"/>
          <w:vertAlign w:val="superscript"/>
        </w:rPr>
        <w:t>1,2</w:t>
      </w:r>
      <w:r w:rsidRPr="00CD2C57">
        <w:rPr>
          <w:rFonts w:ascii="Times New Roman" w:hAnsi="Times New Roman" w:cs="Times New Roman"/>
          <w:b/>
          <w:color w:val="000000" w:themeColor="text1"/>
          <w:sz w:val="22"/>
        </w:rPr>
        <w:t>, Bart Bijnens</w:t>
      </w:r>
      <w:r w:rsidRPr="00CD2C57">
        <w:rPr>
          <w:rFonts w:ascii="Times New Roman" w:hAnsi="Times New Roman" w:cs="Times New Roman"/>
          <w:b/>
          <w:color w:val="000000" w:themeColor="text1"/>
          <w:sz w:val="22"/>
          <w:vertAlign w:val="superscript"/>
        </w:rPr>
        <w:t>3,8#</w:t>
      </w:r>
      <w:r w:rsidRPr="00CD2C57">
        <w:rPr>
          <w:rFonts w:ascii="Times New Roman" w:hAnsi="Times New Roman" w:cs="Times New Roman"/>
          <w:b/>
          <w:color w:val="000000" w:themeColor="text1"/>
          <w:sz w:val="22"/>
        </w:rPr>
        <w:t xml:space="preserve"> and Anne Bonnin</w:t>
      </w:r>
      <w:r w:rsidRPr="00CD2C57">
        <w:rPr>
          <w:rFonts w:ascii="Times New Roman" w:hAnsi="Times New Roman" w:cs="Times New Roman"/>
          <w:b/>
          <w:color w:val="000000" w:themeColor="text1"/>
          <w:sz w:val="22"/>
          <w:vertAlign w:val="superscript"/>
        </w:rPr>
        <w:t>1#</w:t>
      </w:r>
    </w:p>
    <w:p w14:paraId="3E038DDF" w14:textId="77777777" w:rsidR="00CD2C57" w:rsidRDefault="00CD2C57" w:rsidP="002B6FD2">
      <w:pPr>
        <w:spacing w:line="480" w:lineRule="auto"/>
        <w:rPr>
          <w:rFonts w:ascii="Times New Roman" w:hAnsi="Times New Roman" w:cs="Times New Roman"/>
          <w:b/>
          <w:sz w:val="22"/>
          <w:lang w:val="en-US"/>
        </w:rPr>
      </w:pPr>
    </w:p>
    <w:p w14:paraId="07EAE66F" w14:textId="4604B8F6" w:rsidR="002B6FD2" w:rsidRDefault="001B1204" w:rsidP="002B6FD2">
      <w:pPr>
        <w:spacing w:line="480" w:lineRule="auto"/>
        <w:rPr>
          <w:rFonts w:ascii="Times New Roman" w:hAnsi="Times New Roman" w:cs="Times New Roman"/>
          <w:b/>
          <w:sz w:val="22"/>
          <w:lang w:val="en-US"/>
        </w:rPr>
      </w:pPr>
      <w:r>
        <w:rPr>
          <w:rFonts w:ascii="Times New Roman" w:hAnsi="Times New Roman" w:cs="Times New Roman"/>
          <w:b/>
          <w:sz w:val="22"/>
          <w:lang w:val="en-US"/>
        </w:rPr>
        <w:t>SUPPLEMENTARY METHODS</w:t>
      </w:r>
    </w:p>
    <w:p w14:paraId="7C36F08E" w14:textId="29E5EE0B" w:rsidR="002B6FD2" w:rsidRDefault="002B6FD2" w:rsidP="002B6FD2">
      <w:pPr>
        <w:spacing w:line="480" w:lineRule="auto"/>
        <w:rPr>
          <w:rFonts w:ascii="Times New Roman" w:hAnsi="Times New Roman" w:cs="Times New Roman"/>
          <w:b/>
          <w:sz w:val="22"/>
          <w:lang w:val="en-US"/>
        </w:rPr>
      </w:pPr>
      <w:r>
        <w:rPr>
          <w:rFonts w:ascii="Times New Roman" w:hAnsi="Times New Roman" w:cs="Times New Roman"/>
          <w:b/>
          <w:sz w:val="22"/>
          <w:lang w:val="en-US"/>
        </w:rPr>
        <w:t>Animal models</w:t>
      </w:r>
    </w:p>
    <w:p w14:paraId="699F9361" w14:textId="16CE2C66" w:rsidR="002B6FD2" w:rsidRDefault="00730E40" w:rsidP="002B6FD2">
      <w:pPr>
        <w:spacing w:line="480" w:lineRule="auto"/>
        <w:rPr>
          <w:rFonts w:ascii="Times New Roman" w:hAnsi="Times New Roman" w:cs="Times New Roman"/>
          <w:b/>
          <w:i/>
          <w:sz w:val="22"/>
          <w:lang w:val="en-US"/>
        </w:rPr>
      </w:pPr>
      <w:r>
        <w:rPr>
          <w:rFonts w:ascii="Times New Roman" w:hAnsi="Times New Roman" w:cs="Times New Roman"/>
          <w:b/>
          <w:i/>
          <w:sz w:val="22"/>
          <w:lang w:val="en-US"/>
        </w:rPr>
        <w:t>LAD ligation procedure</w:t>
      </w:r>
    </w:p>
    <w:p w14:paraId="4C0919AE" w14:textId="5760D5DD" w:rsidR="002B6FD2" w:rsidRPr="00730E40" w:rsidRDefault="006462E8" w:rsidP="002B6FD2">
      <w:pPr>
        <w:spacing w:line="480" w:lineRule="auto"/>
        <w:rPr>
          <w:rFonts w:ascii="Times New Roman" w:hAnsi="Times New Roman" w:cs="Times New Roman"/>
          <w:color w:val="000000" w:themeColor="text1"/>
          <w:sz w:val="22"/>
        </w:rPr>
      </w:pPr>
      <w:r>
        <w:rPr>
          <w:rFonts w:ascii="Times New Roman" w:hAnsi="Times New Roman" w:cs="Times New Roman"/>
          <w:color w:val="000000" w:themeColor="text1"/>
          <w:sz w:val="22"/>
        </w:rPr>
        <w:tab/>
      </w:r>
      <w:r w:rsidR="00A521A5">
        <w:rPr>
          <w:rFonts w:ascii="Times New Roman" w:hAnsi="Times New Roman" w:cs="Times New Roman"/>
          <w:color w:val="000000" w:themeColor="text1"/>
          <w:sz w:val="22"/>
        </w:rPr>
        <w:t>By</w:t>
      </w:r>
      <w:r w:rsidR="00A521A5" w:rsidRPr="00730E40">
        <w:rPr>
          <w:rFonts w:ascii="Times New Roman" w:hAnsi="Times New Roman" w:cs="Times New Roman"/>
          <w:color w:val="000000" w:themeColor="text1"/>
          <w:sz w:val="22"/>
        </w:rPr>
        <w:t xml:space="preserve"> </w:t>
      </w:r>
      <w:r w:rsidR="00730E40" w:rsidRPr="00730E40">
        <w:rPr>
          <w:rFonts w:ascii="Times New Roman" w:hAnsi="Times New Roman" w:cs="Times New Roman"/>
          <w:color w:val="000000" w:themeColor="text1"/>
          <w:sz w:val="22"/>
        </w:rPr>
        <w:t xml:space="preserve">the LAD ligation, </w:t>
      </w:r>
      <w:r w:rsidR="00A521A5">
        <w:rPr>
          <w:rFonts w:ascii="Times New Roman" w:hAnsi="Times New Roman" w:cs="Times New Roman"/>
          <w:color w:val="000000" w:themeColor="text1"/>
          <w:sz w:val="22"/>
        </w:rPr>
        <w:t xml:space="preserve">a </w:t>
      </w:r>
      <w:r w:rsidR="00730E40" w:rsidRPr="00730E40">
        <w:rPr>
          <w:rFonts w:ascii="Times New Roman" w:hAnsi="Times New Roman" w:cs="Times New Roman"/>
          <w:color w:val="000000" w:themeColor="text1"/>
          <w:sz w:val="22"/>
        </w:rPr>
        <w:t xml:space="preserve">myocardial infarction was induced in </w:t>
      </w:r>
      <w:r w:rsidR="00A521A5">
        <w:rPr>
          <w:rFonts w:ascii="Times New Roman" w:hAnsi="Times New Roman" w:cs="Times New Roman"/>
          <w:color w:val="000000" w:themeColor="text1"/>
          <w:sz w:val="22"/>
        </w:rPr>
        <w:t xml:space="preserve">a </w:t>
      </w:r>
      <w:r w:rsidR="00730E40" w:rsidRPr="00730E40">
        <w:rPr>
          <w:rFonts w:ascii="Times New Roman" w:hAnsi="Times New Roman" w:cs="Times New Roman"/>
          <w:color w:val="000000" w:themeColor="text1"/>
          <w:sz w:val="22"/>
        </w:rPr>
        <w:t>male Wistar rat as previously described, with minor changes</w:t>
      </w:r>
      <w:r w:rsidR="00730E40" w:rsidRPr="00730E40">
        <w:rPr>
          <w:rFonts w:ascii="Times New Roman" w:hAnsi="Times New Roman" w:cs="Times New Roman"/>
          <w:color w:val="000000" w:themeColor="text1"/>
          <w:sz w:val="22"/>
        </w:rPr>
        <w:fldChar w:fldCharType="begin" w:fldLock="1"/>
      </w:r>
      <w:r w:rsidR="0054100A">
        <w:rPr>
          <w:rFonts w:ascii="Times New Roman" w:hAnsi="Times New Roman" w:cs="Times New Roman"/>
          <w:color w:val="000000" w:themeColor="text1"/>
          <w:sz w:val="22"/>
        </w:rPr>
        <w:instrText>ADDIN CSL_CITATION {"citationItems":[{"id":"ITEM-1","itemData":{"DOI":"10.1161/CIRCEP.112.973214","ISSN":"1941-3084","PMID":"22923342","abstract":"Background- Atrial tissue fibrosis is often an important component of the atrial fibrillation (AF) substrate. Small noncoding microRNAs are important mediators in many cardiac remodeling paradigms. MicroRNA-21 (miR-21) has been suggested to be important in ventricular fibrotic remodeling by downregulating Sprouty-1, a protein that suppresses fibroblast proliferation. The present study examined the potential role of miR-21 in the atrial AF substrate resulting from experimental heart failure after myocardial infarction (MI). Methods and Results- Large MIs (based on echocardiographic left ventricular wall motion score index) were created by left anterior descending coronary artery ligation in rats. Changes induced by MI versus sham controls were first characterized with echocardiography, histology, biochemistry, and in vivo electrophysiology. Additional MI rats were then randomized to receive anti-miR-21 (KD21) or scrambled control sequence (Scr21) injections into the left atrial myocardium. Progressive left ventricular enlargement, hypocontractility, left atrial dilation, fibrosis, refractoriness prolongation, and AF promotion occurred in MI rats versus sham controls. Atrial tissues of MI rats showed upregulation of miR-21, along with dysregulation of the target genes Sprouty-1, collagen-1, and collagen-3. KD21 treatment reduced atrial miR-21 expression levels in MI rats to values in sham rats, decreased AF duration from 417 (69-1595; median [Q1-Q3]) seconds to 3 (2-16) seconds (8 weeks after MI; P&lt;0.05), and reduced atrial fibrous tissue content from 14.4±1.8% (mean±SEM) to 4.9±1.2% (8 weeks after MI; P&lt;0.05) versus Scr21 controls. Conclusions- MI-induced heart failure leads to AF-promoting atrial remodeling in rats. Atrial miR-21 knockdown suppresses atrial fibrosis and AF promotion, implicating miR-21 as an important signaling molecule for the AF substrate and pointing to miR-21 as a potential target for molecular interventions designed to prevent AF.","author":[{"dropping-particle":"","family":"Cardin","given":"Sophie","non-dropping-particle":"","parse-names":false,"suffix":""},{"dropping-particle":"","family":"Guasch","given":"Eduard","non-dropping-particle":"","parse-names":false,"suffix":""},{"dropping-particle":"","family":"Luo","given":"Xiaobin","non-dropping-particle":"","parse-names":false,"suffix":""},{"dropping-particle":"","family":"Naud","given":"Patrice","non-dropping-particle":"","parse-names":false,"suffix":""},{"dropping-particle":"","family":"Quang","given":"Khaï","non-dropping-particle":"Le","parse-names":false,"suffix":""},{"dropping-particle":"","family":"Shi","given":"Yanfen","non-dropping-particle":"","parse-names":false,"suffix":""},{"dropping-particle":"","family":"Tardif","given":"Jean-Claude","non-dropping-particle":"","parse-names":false,"suffix":""},{"dropping-particle":"","family":"Comtois","given":"Philippe","non-dropping-particle":"","parse-names":false,"suffix":""},{"dropping-particle":"","family":"Nattel","given":"Stanley","non-dropping-particle":"","parse-names":false,"suffix":""}],"container-title":"Circulation. Arrhythmia and electrophysiology","id":"ITEM-1","issue":"5","issued":{"date-parts":[["2012","10"]]},"page":"1027-35","title":"Role for MicroRNA-21 in Atrial Profibrillatory Fibrotic Remodeling Associated With Experimental Postinfarction Heart Failure.","type":"article-journal","volume":"5"},"uris":["http://www.mendeley.com/documents/?uuid=31cfc4b0-c8d0-4879-aa56-519c5b31c3dc"]}],"mendeley":{"formattedCitation":"&lt;sup&gt;1&lt;/sup&gt;","plainTextFormattedCitation":"1","previouslyFormattedCitation":"&lt;sup&gt;1&lt;/sup&gt;"},"properties":{"noteIndex":0},"schema":"https://github.com/citation-style-language/schema/raw/master/csl-citation.json"}</w:instrText>
      </w:r>
      <w:r w:rsidR="00730E40" w:rsidRPr="00730E40">
        <w:rPr>
          <w:rFonts w:ascii="Times New Roman" w:hAnsi="Times New Roman" w:cs="Times New Roman"/>
          <w:color w:val="000000" w:themeColor="text1"/>
          <w:sz w:val="22"/>
        </w:rPr>
        <w:fldChar w:fldCharType="separate"/>
      </w:r>
      <w:r w:rsidR="00DB5522" w:rsidRPr="00DB5522">
        <w:rPr>
          <w:rFonts w:ascii="Times New Roman" w:hAnsi="Times New Roman" w:cs="Times New Roman"/>
          <w:noProof/>
          <w:color w:val="000000" w:themeColor="text1"/>
          <w:sz w:val="22"/>
          <w:vertAlign w:val="superscript"/>
        </w:rPr>
        <w:t>1</w:t>
      </w:r>
      <w:r w:rsidR="00730E40" w:rsidRPr="00730E40">
        <w:rPr>
          <w:rFonts w:ascii="Times New Roman" w:hAnsi="Times New Roman" w:cs="Times New Roman"/>
          <w:color w:val="000000" w:themeColor="text1"/>
          <w:sz w:val="22"/>
        </w:rPr>
        <w:fldChar w:fldCharType="end"/>
      </w:r>
      <w:r w:rsidR="00730E40" w:rsidRPr="00730E40">
        <w:rPr>
          <w:rFonts w:ascii="Times New Roman" w:hAnsi="Times New Roman" w:cs="Times New Roman"/>
          <w:color w:val="000000" w:themeColor="text1"/>
          <w:sz w:val="22"/>
        </w:rPr>
        <w:t xml:space="preserve">. Briefly, ECG-monitored rats were intubated and ventilated (SAR-1000, CWE Inc) under inhaled </w:t>
      </w:r>
      <w:proofErr w:type="spellStart"/>
      <w:r w:rsidR="00730E40" w:rsidRPr="00730E40">
        <w:rPr>
          <w:rFonts w:ascii="Times New Roman" w:hAnsi="Times New Roman" w:cs="Times New Roman"/>
          <w:color w:val="000000" w:themeColor="text1"/>
          <w:sz w:val="22"/>
        </w:rPr>
        <w:t>anesthesia</w:t>
      </w:r>
      <w:proofErr w:type="spellEnd"/>
      <w:r w:rsidR="00730E40" w:rsidRPr="00730E40">
        <w:rPr>
          <w:rFonts w:ascii="Times New Roman" w:hAnsi="Times New Roman" w:cs="Times New Roman"/>
          <w:color w:val="000000" w:themeColor="text1"/>
          <w:sz w:val="22"/>
        </w:rPr>
        <w:t xml:space="preserve"> (isoflurane 2%) and subcutaneous analgesia (buprenorphine 0.05 mg/body kg). Ventilation parameters were set according to the manufacturer instructions, including a 2 cmH</w:t>
      </w:r>
      <w:r w:rsidR="00730E40" w:rsidRPr="00730E40">
        <w:rPr>
          <w:rFonts w:ascii="Times New Roman" w:hAnsi="Times New Roman" w:cs="Times New Roman"/>
          <w:color w:val="000000" w:themeColor="text1"/>
          <w:sz w:val="22"/>
          <w:vertAlign w:val="subscript"/>
        </w:rPr>
        <w:t>2</w:t>
      </w:r>
      <w:r w:rsidR="00730E40" w:rsidRPr="00730E40">
        <w:rPr>
          <w:rFonts w:ascii="Times New Roman" w:hAnsi="Times New Roman" w:cs="Times New Roman"/>
          <w:color w:val="000000" w:themeColor="text1"/>
          <w:sz w:val="22"/>
        </w:rPr>
        <w:t>O external PEEP. Through a left 4</w:t>
      </w:r>
      <w:r w:rsidR="00730E40" w:rsidRPr="00730E40">
        <w:rPr>
          <w:rFonts w:ascii="Times New Roman" w:hAnsi="Times New Roman" w:cs="Times New Roman"/>
          <w:color w:val="000000" w:themeColor="text1"/>
          <w:sz w:val="22"/>
          <w:vertAlign w:val="superscript"/>
        </w:rPr>
        <w:t>th</w:t>
      </w:r>
      <w:r w:rsidR="00730E40" w:rsidRPr="00730E40">
        <w:rPr>
          <w:rFonts w:ascii="Times New Roman" w:hAnsi="Times New Roman" w:cs="Times New Roman"/>
          <w:color w:val="000000" w:themeColor="text1"/>
          <w:sz w:val="22"/>
        </w:rPr>
        <w:t xml:space="preserve"> intercostal incision and thoracotomy, tissue was carefully dissected and the LAD coronary artery exposed at its proximal aspect, in the interventricular septum close to the left atrial appendage. The LAD was ligated with a 6-0 silk; anterior wall myocardial paleness and akinesia were observable immediately in all animals, later followed by overt ST-segment elevation in a DI-like lead. Subsequently, the chest was closed with a 2-0 silk, and the skin with a 3-0 resorbable suture. Recruiting </w:t>
      </w:r>
      <w:proofErr w:type="spellStart"/>
      <w:r w:rsidR="00730E40" w:rsidRPr="00730E40">
        <w:rPr>
          <w:rFonts w:ascii="Times New Roman" w:hAnsi="Times New Roman" w:cs="Times New Roman"/>
          <w:color w:val="000000" w:themeColor="text1"/>
          <w:sz w:val="22"/>
        </w:rPr>
        <w:t>maneuvers</w:t>
      </w:r>
      <w:proofErr w:type="spellEnd"/>
      <w:r w:rsidR="00730E40" w:rsidRPr="00730E40">
        <w:rPr>
          <w:rFonts w:ascii="Times New Roman" w:hAnsi="Times New Roman" w:cs="Times New Roman"/>
          <w:color w:val="000000" w:themeColor="text1"/>
          <w:sz w:val="22"/>
        </w:rPr>
        <w:t xml:space="preserve"> were performed before extubating. </w:t>
      </w:r>
    </w:p>
    <w:p w14:paraId="2CEEC655" w14:textId="5F3B750E" w:rsidR="002B6FD2" w:rsidRDefault="002B6FD2" w:rsidP="002B6FD2">
      <w:pPr>
        <w:spacing w:line="480" w:lineRule="auto"/>
        <w:rPr>
          <w:rFonts w:ascii="Times New Roman" w:hAnsi="Times New Roman" w:cs="Times New Roman"/>
          <w:b/>
          <w:i/>
          <w:sz w:val="22"/>
          <w:lang w:val="en-US"/>
        </w:rPr>
      </w:pPr>
      <w:r>
        <w:rPr>
          <w:rFonts w:ascii="Times New Roman" w:hAnsi="Times New Roman" w:cs="Times New Roman"/>
          <w:b/>
          <w:i/>
          <w:sz w:val="22"/>
          <w:lang w:val="en-US"/>
        </w:rPr>
        <w:t>Sample preparation</w:t>
      </w:r>
    </w:p>
    <w:p w14:paraId="6034239B" w14:textId="38F95D2C" w:rsidR="007D697A" w:rsidRDefault="006462E8" w:rsidP="007D697A">
      <w:pPr>
        <w:spacing w:line="48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r>
      <w:r w:rsidR="00730E40" w:rsidRPr="00730E40">
        <w:rPr>
          <w:rFonts w:ascii="Times New Roman" w:hAnsi="Times New Roman" w:cs="Times New Roman"/>
          <w:color w:val="000000" w:themeColor="text1"/>
          <w:sz w:val="22"/>
          <w:szCs w:val="22"/>
        </w:rPr>
        <w:t>Following sacrifice of each of the rats, hearts were rapidly excised, rinsed in PBS+2% heparin solution and immersed in 4% paraformaldehyde. Further ethanol or other chemical treatment was not performed in order to avoid tissue shrinkage and any tissue alteration as much as possible.</w:t>
      </w:r>
    </w:p>
    <w:p w14:paraId="490A90D2" w14:textId="57AA8C36" w:rsidR="007D697A" w:rsidRDefault="0054100A" w:rsidP="007D697A">
      <w:pPr>
        <w:spacing w:line="48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r>
      <w:r w:rsidR="00730E40" w:rsidRPr="00730E40">
        <w:rPr>
          <w:rFonts w:ascii="Times New Roman" w:hAnsi="Times New Roman" w:cs="Times New Roman"/>
          <w:color w:val="000000" w:themeColor="text1"/>
          <w:sz w:val="22"/>
          <w:szCs w:val="22"/>
        </w:rPr>
        <w:t>For the image acquisitions, the hearts were placed in degassed water and introduced in a cylindrical plastic holder, specifically designed to hold the heart without compressing it and avoid motion artefacts during tomography acquisition.</w:t>
      </w:r>
    </w:p>
    <w:p w14:paraId="10F68965" w14:textId="05CF4CCE" w:rsidR="00B93F16" w:rsidRDefault="00B93F16" w:rsidP="007D697A">
      <w:pPr>
        <w:spacing w:line="480" w:lineRule="auto"/>
        <w:rPr>
          <w:rFonts w:ascii="Times New Roman" w:hAnsi="Times New Roman" w:cs="Times New Roman"/>
          <w:b/>
          <w:i/>
          <w:color w:val="000000" w:themeColor="text1"/>
          <w:sz w:val="22"/>
          <w:szCs w:val="22"/>
        </w:rPr>
      </w:pPr>
      <w:r w:rsidRPr="0054100A">
        <w:rPr>
          <w:rFonts w:ascii="Times New Roman" w:hAnsi="Times New Roman" w:cs="Times New Roman"/>
          <w:b/>
          <w:i/>
          <w:color w:val="000000" w:themeColor="text1"/>
          <w:sz w:val="22"/>
          <w:szCs w:val="22"/>
        </w:rPr>
        <w:t>Scan times</w:t>
      </w:r>
    </w:p>
    <w:p w14:paraId="5D01AAD3" w14:textId="51782B50" w:rsidR="00B93F16" w:rsidRDefault="006462E8" w:rsidP="007D697A">
      <w:pPr>
        <w:spacing w:line="48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ab/>
      </w:r>
      <w:r w:rsidR="009E2804">
        <w:rPr>
          <w:rFonts w:ascii="Times New Roman" w:hAnsi="Times New Roman" w:cs="Times New Roman"/>
          <w:color w:val="000000" w:themeColor="text1"/>
          <w:sz w:val="22"/>
          <w:szCs w:val="22"/>
        </w:rPr>
        <w:t>As detailed in Supplementa</w:t>
      </w:r>
      <w:r w:rsidR="00254203">
        <w:rPr>
          <w:rFonts w:ascii="Times New Roman" w:hAnsi="Times New Roman" w:cs="Times New Roman"/>
          <w:color w:val="000000" w:themeColor="text1"/>
          <w:sz w:val="22"/>
          <w:szCs w:val="22"/>
        </w:rPr>
        <w:t>ry</w:t>
      </w:r>
      <w:r w:rsidR="00522D22" w:rsidRPr="0054100A">
        <w:rPr>
          <w:rFonts w:ascii="Times New Roman" w:hAnsi="Times New Roman" w:cs="Times New Roman"/>
          <w:color w:val="000000" w:themeColor="text1"/>
          <w:sz w:val="22"/>
          <w:szCs w:val="22"/>
        </w:rPr>
        <w:t xml:space="preserve"> Table </w:t>
      </w:r>
      <w:r w:rsidR="00254203">
        <w:rPr>
          <w:rFonts w:ascii="Times New Roman" w:hAnsi="Times New Roman" w:cs="Times New Roman"/>
          <w:color w:val="000000" w:themeColor="text1"/>
          <w:sz w:val="22"/>
          <w:szCs w:val="22"/>
        </w:rPr>
        <w:t>S</w:t>
      </w:r>
      <w:r w:rsidR="00522D22" w:rsidRPr="0054100A">
        <w:rPr>
          <w:rFonts w:ascii="Times New Roman" w:hAnsi="Times New Roman" w:cs="Times New Roman"/>
          <w:color w:val="000000" w:themeColor="text1"/>
          <w:sz w:val="22"/>
          <w:szCs w:val="22"/>
        </w:rPr>
        <w:t xml:space="preserve">1, LR scans are acquired with 20 </w:t>
      </w:r>
      <w:proofErr w:type="spellStart"/>
      <w:r w:rsidR="00522D22" w:rsidRPr="0054100A">
        <w:rPr>
          <w:rFonts w:ascii="Times New Roman" w:hAnsi="Times New Roman" w:cs="Times New Roman"/>
          <w:color w:val="000000" w:themeColor="text1"/>
          <w:sz w:val="22"/>
          <w:szCs w:val="22"/>
        </w:rPr>
        <w:t>ms</w:t>
      </w:r>
      <w:proofErr w:type="spellEnd"/>
      <w:r w:rsidR="00522D22" w:rsidRPr="0054100A">
        <w:rPr>
          <w:rFonts w:ascii="Times New Roman" w:hAnsi="Times New Roman" w:cs="Times New Roman"/>
          <w:color w:val="000000" w:themeColor="text1"/>
          <w:sz w:val="22"/>
          <w:szCs w:val="22"/>
        </w:rPr>
        <w:t xml:space="preserve"> exposure time per projection, </w:t>
      </w:r>
      <w:r w:rsidR="008737A5" w:rsidRPr="0054100A">
        <w:rPr>
          <w:rFonts w:ascii="Times New Roman" w:hAnsi="Times New Roman" w:cs="Times New Roman"/>
          <w:color w:val="000000" w:themeColor="text1"/>
          <w:sz w:val="22"/>
          <w:szCs w:val="22"/>
        </w:rPr>
        <w:t>resulting in approximately 3 minutes acquisition time per scan including motor movements and camera read out.</w:t>
      </w:r>
      <w:r w:rsidR="00522D22" w:rsidRPr="0054100A">
        <w:rPr>
          <w:rFonts w:ascii="Times New Roman" w:hAnsi="Times New Roman" w:cs="Times New Roman"/>
          <w:color w:val="000000" w:themeColor="text1"/>
          <w:sz w:val="22"/>
          <w:szCs w:val="22"/>
        </w:rPr>
        <w:t xml:space="preserve"> Given that several tomograms are needed to cover the full heart, a theoretical rodent heart size of about 18 x 13 x 13 mm</w:t>
      </w:r>
      <w:r w:rsidR="00522D22" w:rsidRPr="0054100A">
        <w:rPr>
          <w:rFonts w:ascii="Times New Roman" w:hAnsi="Times New Roman" w:cs="Times New Roman"/>
          <w:color w:val="000000" w:themeColor="text1"/>
          <w:sz w:val="22"/>
          <w:szCs w:val="22"/>
          <w:vertAlign w:val="superscript"/>
        </w:rPr>
        <w:t>3</w:t>
      </w:r>
      <w:r w:rsidR="0054100A">
        <w:rPr>
          <w:rFonts w:ascii="Times New Roman" w:hAnsi="Times New Roman" w:cs="Times New Roman"/>
          <w:color w:val="000000" w:themeColor="text1"/>
          <w:sz w:val="22"/>
          <w:szCs w:val="22"/>
        </w:rPr>
        <w:t xml:space="preserve"> would require a total of 7 scans and approx</w:t>
      </w:r>
      <w:r w:rsidR="00522D22" w:rsidRPr="0054100A">
        <w:rPr>
          <w:rFonts w:ascii="Times New Roman" w:hAnsi="Times New Roman" w:cs="Times New Roman"/>
          <w:color w:val="000000" w:themeColor="text1"/>
          <w:sz w:val="22"/>
          <w:szCs w:val="22"/>
        </w:rPr>
        <w:t xml:space="preserve">imately 21 minutes </w:t>
      </w:r>
      <w:r w:rsidR="0054100A">
        <w:rPr>
          <w:rFonts w:ascii="Times New Roman" w:hAnsi="Times New Roman" w:cs="Times New Roman"/>
          <w:color w:val="000000" w:themeColor="text1"/>
          <w:sz w:val="22"/>
          <w:szCs w:val="22"/>
        </w:rPr>
        <w:t>acquisition</w:t>
      </w:r>
      <w:r w:rsidR="00522D22" w:rsidRPr="0054100A">
        <w:rPr>
          <w:rFonts w:ascii="Times New Roman" w:hAnsi="Times New Roman" w:cs="Times New Roman"/>
          <w:color w:val="000000" w:themeColor="text1"/>
          <w:sz w:val="22"/>
          <w:szCs w:val="22"/>
        </w:rPr>
        <w:t xml:space="preserve"> time.</w:t>
      </w:r>
    </w:p>
    <w:p w14:paraId="0503B613" w14:textId="7CC23ABF" w:rsidR="007D697A" w:rsidRDefault="0054100A" w:rsidP="007D697A">
      <w:pPr>
        <w:spacing w:line="48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t xml:space="preserve">In HR scans, the exposure time was set to 200 </w:t>
      </w:r>
      <w:proofErr w:type="spellStart"/>
      <w:r>
        <w:rPr>
          <w:rFonts w:ascii="Times New Roman" w:hAnsi="Times New Roman" w:cs="Times New Roman"/>
          <w:color w:val="000000" w:themeColor="text1"/>
          <w:sz w:val="22"/>
          <w:szCs w:val="22"/>
        </w:rPr>
        <w:t>ms</w:t>
      </w:r>
      <w:proofErr w:type="spellEnd"/>
      <w:r>
        <w:rPr>
          <w:rFonts w:ascii="Times New Roman" w:hAnsi="Times New Roman" w:cs="Times New Roman"/>
          <w:color w:val="000000" w:themeColor="text1"/>
          <w:sz w:val="22"/>
          <w:szCs w:val="22"/>
        </w:rPr>
        <w:t xml:space="preserve"> per projection, </w:t>
      </w:r>
      <w:r w:rsidR="00522D22" w:rsidRPr="0054100A">
        <w:rPr>
          <w:rFonts w:ascii="Times New Roman" w:hAnsi="Times New Roman" w:cs="Times New Roman"/>
          <w:color w:val="000000" w:themeColor="text1"/>
          <w:sz w:val="22"/>
          <w:szCs w:val="22"/>
        </w:rPr>
        <w:t>resulting in approximately 11 minutes acquisition time, again including the motor movements.</w:t>
      </w:r>
      <w:r w:rsidRPr="0054100A">
        <w:rPr>
          <w:rFonts w:ascii="Times New Roman" w:hAnsi="Times New Roman" w:cs="Times New Roman"/>
          <w:color w:val="000000" w:themeColor="text1"/>
          <w:sz w:val="22"/>
          <w:szCs w:val="22"/>
        </w:rPr>
        <w:t xml:space="preserve"> For illustration,</w:t>
      </w:r>
      <w:r w:rsidR="00522D22" w:rsidRPr="0054100A">
        <w:rPr>
          <w:rFonts w:ascii="Times New Roman" w:hAnsi="Times New Roman" w:cs="Times New Roman"/>
          <w:color w:val="000000" w:themeColor="text1"/>
          <w:sz w:val="22"/>
          <w:szCs w:val="22"/>
        </w:rPr>
        <w:t xml:space="preserve"> covering the full left ventricular lateral wall transmurally </w:t>
      </w:r>
      <w:r w:rsidRPr="0054100A">
        <w:rPr>
          <w:rFonts w:ascii="Times New Roman" w:hAnsi="Times New Roman" w:cs="Times New Roman"/>
          <w:color w:val="000000" w:themeColor="text1"/>
          <w:sz w:val="22"/>
          <w:szCs w:val="22"/>
        </w:rPr>
        <w:t>in a healthy sample (~4 mm) would</w:t>
      </w:r>
      <w:r w:rsidR="00522D22" w:rsidRPr="0054100A">
        <w:rPr>
          <w:rFonts w:ascii="Times New Roman" w:hAnsi="Times New Roman" w:cs="Times New Roman"/>
          <w:color w:val="000000" w:themeColor="text1"/>
          <w:sz w:val="22"/>
          <w:szCs w:val="22"/>
        </w:rPr>
        <w:t xml:space="preserve"> require 3 volume scans leading to an approximate total acquisition time of 33 minutes.</w:t>
      </w:r>
    </w:p>
    <w:p w14:paraId="0992A4D3" w14:textId="1CF302B5" w:rsidR="004F4FB8" w:rsidRDefault="004F4FB8" w:rsidP="007D697A">
      <w:pPr>
        <w:spacing w:line="480" w:lineRule="auto"/>
        <w:rPr>
          <w:rFonts w:ascii="Times New Roman" w:hAnsi="Times New Roman" w:cs="Times New Roman"/>
          <w:color w:val="000000" w:themeColor="text1"/>
          <w:sz w:val="22"/>
          <w:szCs w:val="22"/>
        </w:rPr>
      </w:pPr>
      <w:r>
        <w:rPr>
          <w:rFonts w:ascii="Times New Roman" w:hAnsi="Times New Roman" w:cs="Times New Roman"/>
          <w:b/>
          <w:i/>
          <w:color w:val="000000" w:themeColor="text1"/>
          <w:sz w:val="22"/>
          <w:szCs w:val="22"/>
        </w:rPr>
        <w:t>Reconstruction procedures</w:t>
      </w:r>
      <w:r w:rsidR="00EB06EF">
        <w:rPr>
          <w:rFonts w:ascii="Times New Roman" w:hAnsi="Times New Roman" w:cs="Times New Roman"/>
          <w:b/>
          <w:i/>
          <w:color w:val="000000" w:themeColor="text1"/>
          <w:sz w:val="22"/>
          <w:szCs w:val="22"/>
        </w:rPr>
        <w:t xml:space="preserve"> and times</w:t>
      </w:r>
    </w:p>
    <w:p w14:paraId="165ACFA8" w14:textId="0D8BF47F" w:rsidR="004F4FB8" w:rsidRPr="004D5DB7" w:rsidRDefault="006462E8" w:rsidP="0054100A">
      <w:pPr>
        <w:spacing w:line="48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b/>
      </w:r>
      <w:r w:rsidR="0054100A" w:rsidRPr="004D5DB7">
        <w:rPr>
          <w:rFonts w:ascii="Times New Roman" w:hAnsi="Times New Roman" w:cs="Times New Roman"/>
          <w:color w:val="000000" w:themeColor="text1"/>
          <w:sz w:val="22"/>
          <w:szCs w:val="22"/>
        </w:rPr>
        <w:t xml:space="preserve">After acquisition, the tomograms were reconstructed using the </w:t>
      </w:r>
      <w:proofErr w:type="spellStart"/>
      <w:r w:rsidR="0054100A" w:rsidRPr="004D5DB7">
        <w:rPr>
          <w:rFonts w:ascii="Times New Roman" w:hAnsi="Times New Roman" w:cs="Times New Roman"/>
          <w:color w:val="000000" w:themeColor="text1"/>
          <w:sz w:val="22"/>
          <w:szCs w:val="22"/>
        </w:rPr>
        <w:t>Gridrec</w:t>
      </w:r>
      <w:proofErr w:type="spellEnd"/>
      <w:r w:rsidR="0054100A" w:rsidRPr="004D5DB7">
        <w:rPr>
          <w:rFonts w:ascii="Times New Roman" w:hAnsi="Times New Roman" w:cs="Times New Roman"/>
          <w:color w:val="000000" w:themeColor="text1"/>
          <w:sz w:val="22"/>
          <w:szCs w:val="22"/>
        </w:rPr>
        <w:t xml:space="preserve"> algorithm</w:t>
      </w:r>
      <w:r w:rsidR="0054100A" w:rsidRPr="004D5DB7">
        <w:rPr>
          <w:rFonts w:ascii="Times New Roman" w:hAnsi="Times New Roman" w:cs="Times New Roman"/>
          <w:color w:val="000000" w:themeColor="text1"/>
          <w:sz w:val="22"/>
          <w:szCs w:val="22"/>
        </w:rPr>
        <w:fldChar w:fldCharType="begin" w:fldLock="1"/>
      </w:r>
      <w:r w:rsidR="0054100A" w:rsidRPr="004D5DB7">
        <w:rPr>
          <w:rFonts w:ascii="Times New Roman" w:hAnsi="Times New Roman" w:cs="Times New Roman"/>
          <w:color w:val="000000" w:themeColor="text1"/>
          <w:sz w:val="22"/>
          <w:szCs w:val="22"/>
        </w:rPr>
        <w:instrText>ADDIN CSL_CITATION {"citationItems":[{"id":"ITEM-1","itemData":{"DOI":"10.1107/S0909049512032864","ISBN":"1600-5775 (Electronic)\\r0909-0495 (Linking)","ISSN":"09090495","PMID":"23093766","abstract":"Sub-second temporal-resolution tomographic microscopy is becoming a reality at third-generation synchrotron sources. Efficient data handling and post-processing is, however, difficult when the data rates are close to 10 GB s-1. This bottleneck still hinders exploitation of the full potential inherent in the ultrafast acquisition speed. In this paper the fast reconstruction algorithm gridrec, highly optimized for conventional CPU technology, is presented. It is shown that gridrec is a valuable alternative to standard filtered back-projection routines, despite being based on the Fourier transform method. In fact, the regridding procedure used for resampling the Fourier space from polar to Cartesian coordinates couples excellent performance with negligible accuracy degradation. The stronger dependence of the observed signal-to-noise ratio for gridrec reconstructions on the number of angular views makes the presented algorithm even superior to filtered back-projection when the tomographic problem is well sampled. Gridrec not only guarantees high-quality results but it provides up to 20-fold performance increase, making real-time monitoring of the sub-second acquisition process a reality.","author":[{"dropping-particle":"","family":"Marone","given":"F.","non-dropping-particle":"","parse-names":false,"suffix":""},{"dropping-particle":"","family":"Stampanoni","given":"M.","non-dropping-particle":"","parse-names":false,"suffix":""}],"container-title":"Journal of Synchrotron Radiation","id":"ITEM-1","issued":{"date-parts":[["2012"]]},"title":"Regridding reconstruction algorithm for real-time tomographic imaging","type":"article-journal"},"uris":["http://www.mendeley.com/documents/?uuid=f998e676-97db-4677-b16c-c4b83a3afce8"]}],"mendeley":{"formattedCitation":"&lt;sup&gt;2&lt;/sup&gt;","plainTextFormattedCitation":"2","previouslyFormattedCitation":"&lt;sup&gt;2&lt;/sup&gt;"},"properties":{"noteIndex":0},"schema":"https://github.com/citation-style-language/schema/raw/master/csl-citation.json"}</w:instrText>
      </w:r>
      <w:r w:rsidR="0054100A" w:rsidRPr="004D5DB7">
        <w:rPr>
          <w:rFonts w:ascii="Times New Roman" w:hAnsi="Times New Roman" w:cs="Times New Roman"/>
          <w:color w:val="000000" w:themeColor="text1"/>
          <w:sz w:val="22"/>
          <w:szCs w:val="22"/>
        </w:rPr>
        <w:fldChar w:fldCharType="separate"/>
      </w:r>
      <w:r w:rsidR="0054100A" w:rsidRPr="004D5DB7">
        <w:rPr>
          <w:rFonts w:ascii="Times New Roman" w:hAnsi="Times New Roman" w:cs="Times New Roman"/>
          <w:noProof/>
          <w:color w:val="000000" w:themeColor="text1"/>
          <w:sz w:val="22"/>
          <w:szCs w:val="22"/>
          <w:vertAlign w:val="superscript"/>
        </w:rPr>
        <w:t>2</w:t>
      </w:r>
      <w:r w:rsidR="0054100A" w:rsidRPr="004D5DB7">
        <w:rPr>
          <w:rFonts w:ascii="Times New Roman" w:hAnsi="Times New Roman" w:cs="Times New Roman"/>
          <w:color w:val="000000" w:themeColor="text1"/>
          <w:sz w:val="22"/>
          <w:szCs w:val="22"/>
        </w:rPr>
        <w:fldChar w:fldCharType="end"/>
      </w:r>
      <w:r w:rsidR="004F4FB8" w:rsidRPr="004D5DB7">
        <w:rPr>
          <w:rFonts w:ascii="Times New Roman" w:hAnsi="Times New Roman" w:cs="Times New Roman"/>
          <w:color w:val="000000" w:themeColor="text1"/>
          <w:sz w:val="22"/>
          <w:szCs w:val="22"/>
        </w:rPr>
        <w:t xml:space="preserve"> </w:t>
      </w:r>
      <w:r w:rsidR="0054100A" w:rsidRPr="004D5DB7">
        <w:rPr>
          <w:rFonts w:ascii="Times New Roman" w:hAnsi="Times New Roman" w:cs="Times New Roman"/>
          <w:color w:val="000000" w:themeColor="text1"/>
          <w:sz w:val="22"/>
          <w:szCs w:val="22"/>
        </w:rPr>
        <w:t>in absorption and additionally using the phase retrieval method by Paganin</w:t>
      </w:r>
      <w:r w:rsidR="0054100A" w:rsidRPr="004D5DB7">
        <w:rPr>
          <w:rFonts w:ascii="Times New Roman" w:hAnsi="Times New Roman" w:cs="Times New Roman"/>
          <w:color w:val="000000" w:themeColor="text1"/>
          <w:sz w:val="22"/>
          <w:szCs w:val="22"/>
        </w:rPr>
        <w:fldChar w:fldCharType="begin" w:fldLock="1"/>
      </w:r>
      <w:r w:rsidR="004A03AC" w:rsidRPr="004D5DB7">
        <w:rPr>
          <w:rFonts w:ascii="Times New Roman" w:hAnsi="Times New Roman" w:cs="Times New Roman"/>
          <w:color w:val="000000" w:themeColor="text1"/>
          <w:sz w:val="22"/>
          <w:szCs w:val="22"/>
        </w:rPr>
        <w:instrText>ADDIN CSL_CITATION {"citationItems":[{"id":"ITEM-1","itemData":{"DOI":"10.1046/j.1365-2818.2002.01010.x","ISBN":"0022-2720","ISSN":"00222720","PMID":"12000561","abstract":"We demonstrate simultaneous phase and amplitude extraction from a single defocused image of a homogeneous object. Subject to the assumptions explicitly stated in the derivation, the algorithm solves the twin-image problem of in-line holography and is capable of analysing data obtained using X-ray microscopy, electron microscopy, neutron microscopy or visible-light microscopy, especially as they relate to defocus and point projection methods. Our simple, robust, non-iterative and computationally efficient method is applied to data obtained using an X-ray phase contrast ultramicroscope.","author":[{"dropping-particle":"","family":"Paganin","given":"D.","non-dropping-particle":"","parse-names":false,"suffix":""},{"dropping-particle":"","family":"Mayo","given":"S. C.","non-dropping-particle":"","parse-names":false,"suffix":""},{"dropping-particle":"","family":"Gureyev","given":"T. E.","non-dropping-particle":"","parse-names":false,"suffix":""},{"dropping-particle":"","family":"Miller","given":"P. R.","non-dropping-particle":"","parse-names":false,"suffix":""},{"dropping-particle":"","family":"Wilkins","given":"S. W.","non-dropping-particle":"","parse-names":false,"suffix":""}],"container-title":"Journal of Microscopy","id":"ITEM-1","issued":{"date-parts":[["2002"]]},"title":"Simultaneous phase and amplitude extraction from a single defocused image of a homogeneous object","type":"article-journal"},"uris":["http://www.mendeley.com/documents/?uuid=b621242d-aaee-4fa4-870f-bb1b7e39f05e"]}],"mendeley":{"formattedCitation":"&lt;sup&gt;3&lt;/sup&gt;","plainTextFormattedCitation":"3","previouslyFormattedCitation":"&lt;sup&gt;3&lt;/sup&gt;"},"properties":{"noteIndex":0},"schema":"https://github.com/citation-style-language/schema/raw/master/csl-citation.json"}</w:instrText>
      </w:r>
      <w:r w:rsidR="0054100A" w:rsidRPr="004D5DB7">
        <w:rPr>
          <w:rFonts w:ascii="Times New Roman" w:hAnsi="Times New Roman" w:cs="Times New Roman"/>
          <w:color w:val="000000" w:themeColor="text1"/>
          <w:sz w:val="22"/>
          <w:szCs w:val="22"/>
        </w:rPr>
        <w:fldChar w:fldCharType="separate"/>
      </w:r>
      <w:r w:rsidR="0054100A" w:rsidRPr="004D5DB7">
        <w:rPr>
          <w:rFonts w:ascii="Times New Roman" w:hAnsi="Times New Roman" w:cs="Times New Roman"/>
          <w:noProof/>
          <w:color w:val="000000" w:themeColor="text1"/>
          <w:sz w:val="22"/>
          <w:szCs w:val="22"/>
          <w:vertAlign w:val="superscript"/>
        </w:rPr>
        <w:t>3</w:t>
      </w:r>
      <w:r w:rsidR="0054100A" w:rsidRPr="004D5DB7">
        <w:rPr>
          <w:rFonts w:ascii="Times New Roman" w:hAnsi="Times New Roman" w:cs="Times New Roman"/>
          <w:color w:val="000000" w:themeColor="text1"/>
          <w:sz w:val="22"/>
          <w:szCs w:val="22"/>
        </w:rPr>
        <w:fldChar w:fldCharType="end"/>
      </w:r>
      <w:r w:rsidR="0054100A" w:rsidRPr="004D5DB7">
        <w:rPr>
          <w:rFonts w:ascii="Times New Roman" w:hAnsi="Times New Roman" w:cs="Times New Roman"/>
          <w:color w:val="000000" w:themeColor="text1"/>
          <w:sz w:val="22"/>
          <w:szCs w:val="22"/>
        </w:rPr>
        <w:t xml:space="preserve">. </w:t>
      </w:r>
      <w:r w:rsidR="004F4FB8" w:rsidRPr="004D5DB7">
        <w:rPr>
          <w:rFonts w:ascii="Times New Roman" w:hAnsi="Times New Roman" w:cs="Times New Roman"/>
          <w:color w:val="000000" w:themeColor="text1"/>
          <w:sz w:val="22"/>
          <w:szCs w:val="22"/>
        </w:rPr>
        <w:t xml:space="preserve">The </w:t>
      </w:r>
      <w:proofErr w:type="spellStart"/>
      <w:r w:rsidR="004F4FB8" w:rsidRPr="004D5DB7">
        <w:rPr>
          <w:rFonts w:ascii="Times New Roman" w:hAnsi="Times New Roman" w:cs="Times New Roman"/>
          <w:color w:val="000000" w:themeColor="text1"/>
          <w:sz w:val="22"/>
          <w:szCs w:val="22"/>
        </w:rPr>
        <w:t>Gridrec</w:t>
      </w:r>
      <w:proofErr w:type="spellEnd"/>
      <w:r w:rsidR="004F4FB8" w:rsidRPr="004D5DB7">
        <w:rPr>
          <w:rFonts w:ascii="Times New Roman" w:hAnsi="Times New Roman" w:cs="Times New Roman"/>
          <w:color w:val="000000" w:themeColor="text1"/>
          <w:sz w:val="22"/>
          <w:szCs w:val="22"/>
        </w:rPr>
        <w:t xml:space="preserve"> algorithm is an alternative faster method to conventional filtered back projection based on a </w:t>
      </w:r>
      <w:proofErr w:type="spellStart"/>
      <w:r w:rsidR="004F4FB8" w:rsidRPr="004D5DB7">
        <w:rPr>
          <w:rFonts w:ascii="Times New Roman" w:hAnsi="Times New Roman" w:cs="Times New Roman"/>
          <w:color w:val="000000" w:themeColor="text1"/>
          <w:sz w:val="22"/>
          <w:szCs w:val="22"/>
        </w:rPr>
        <w:t>regridding</w:t>
      </w:r>
      <w:proofErr w:type="spellEnd"/>
      <w:r w:rsidR="004F4FB8" w:rsidRPr="004D5DB7">
        <w:rPr>
          <w:rFonts w:ascii="Times New Roman" w:hAnsi="Times New Roman" w:cs="Times New Roman"/>
          <w:color w:val="000000" w:themeColor="text1"/>
          <w:sz w:val="22"/>
          <w:szCs w:val="22"/>
        </w:rPr>
        <w:t xml:space="preserve"> procedure used to resample the Fourier space from polar to Cartesian coordinates.</w:t>
      </w:r>
      <w:r w:rsidR="00675AEB" w:rsidRPr="004D5DB7">
        <w:rPr>
          <w:rFonts w:ascii="Times New Roman" w:hAnsi="Times New Roman" w:cs="Times New Roman"/>
          <w:color w:val="000000" w:themeColor="text1"/>
          <w:sz w:val="22"/>
          <w:szCs w:val="22"/>
        </w:rPr>
        <w:t xml:space="preserve"> Negligible image degradation is observed, mostly in sufficiently sampled scenarios in terms of angular steps, such as here presented.</w:t>
      </w:r>
    </w:p>
    <w:p w14:paraId="51616FD8" w14:textId="0EA3DE52" w:rsidR="00675AEB" w:rsidRPr="004D5DB7" w:rsidRDefault="00675AEB" w:rsidP="0054100A">
      <w:pPr>
        <w:spacing w:line="480" w:lineRule="auto"/>
        <w:rPr>
          <w:rFonts w:ascii="Times New Roman" w:hAnsi="Times New Roman" w:cs="Times New Roman"/>
          <w:color w:val="000000" w:themeColor="text1"/>
          <w:sz w:val="22"/>
          <w:szCs w:val="22"/>
        </w:rPr>
      </w:pPr>
      <w:r w:rsidRPr="004D5DB7">
        <w:rPr>
          <w:rFonts w:ascii="Times New Roman" w:hAnsi="Times New Roman" w:cs="Times New Roman"/>
          <w:color w:val="000000" w:themeColor="text1"/>
          <w:sz w:val="22"/>
          <w:szCs w:val="22"/>
        </w:rPr>
        <w:tab/>
      </w:r>
      <w:r w:rsidR="007032D4" w:rsidRPr="004D5DB7">
        <w:rPr>
          <w:rFonts w:ascii="Times New Roman" w:hAnsi="Times New Roman" w:cs="Times New Roman"/>
          <w:color w:val="000000" w:themeColor="text1"/>
          <w:sz w:val="22"/>
          <w:szCs w:val="22"/>
        </w:rPr>
        <w:t>T</w:t>
      </w:r>
      <w:r w:rsidRPr="004D5DB7">
        <w:rPr>
          <w:rFonts w:ascii="Times New Roman" w:hAnsi="Times New Roman" w:cs="Times New Roman"/>
          <w:color w:val="000000" w:themeColor="text1"/>
          <w:sz w:val="22"/>
          <w:szCs w:val="22"/>
        </w:rPr>
        <w:t xml:space="preserve">he single distance phase retrieval method by </w:t>
      </w:r>
      <w:proofErr w:type="spellStart"/>
      <w:r w:rsidRPr="004D5DB7">
        <w:rPr>
          <w:rFonts w:ascii="Times New Roman" w:hAnsi="Times New Roman" w:cs="Times New Roman"/>
          <w:color w:val="000000" w:themeColor="text1"/>
          <w:sz w:val="22"/>
          <w:szCs w:val="22"/>
        </w:rPr>
        <w:t>Paganin</w:t>
      </w:r>
      <w:proofErr w:type="spellEnd"/>
      <w:r w:rsidR="007032D4" w:rsidRPr="004D5DB7">
        <w:rPr>
          <w:rFonts w:ascii="Times New Roman" w:hAnsi="Times New Roman" w:cs="Times New Roman"/>
          <w:color w:val="000000" w:themeColor="text1"/>
          <w:sz w:val="22"/>
          <w:szCs w:val="22"/>
        </w:rPr>
        <w:t xml:space="preserve"> is based on the transport-of-intensity equation and</w:t>
      </w:r>
      <w:r w:rsidR="00EB06EF" w:rsidRPr="004D5DB7">
        <w:rPr>
          <w:rFonts w:ascii="Times New Roman" w:hAnsi="Times New Roman" w:cs="Times New Roman"/>
          <w:color w:val="000000" w:themeColor="text1"/>
          <w:sz w:val="22"/>
          <w:szCs w:val="22"/>
        </w:rPr>
        <w:t xml:space="preserve"> </w:t>
      </w:r>
      <w:r w:rsidR="007032D4" w:rsidRPr="004D5DB7">
        <w:rPr>
          <w:rFonts w:ascii="Times New Roman" w:hAnsi="Times New Roman" w:cs="Times New Roman"/>
          <w:color w:val="000000" w:themeColor="text1"/>
          <w:sz w:val="22"/>
          <w:szCs w:val="22"/>
        </w:rPr>
        <w:t xml:space="preserve">consists of a filter applied to the projections in order to retrieve its phase </w:t>
      </w:r>
      <w:r w:rsidR="00EB06EF" w:rsidRPr="004D5DB7">
        <w:rPr>
          <w:rFonts w:ascii="Times New Roman" w:hAnsi="Times New Roman" w:cs="Times New Roman"/>
          <w:color w:val="000000" w:themeColor="text1"/>
          <w:sz w:val="22"/>
          <w:szCs w:val="22"/>
        </w:rPr>
        <w:t>map</w:t>
      </w:r>
      <w:r w:rsidR="007032D4" w:rsidRPr="004D5DB7">
        <w:rPr>
          <w:rFonts w:ascii="Times New Roman" w:hAnsi="Times New Roman" w:cs="Times New Roman"/>
          <w:color w:val="000000" w:themeColor="text1"/>
          <w:sz w:val="22"/>
          <w:szCs w:val="22"/>
        </w:rPr>
        <w:t>.</w:t>
      </w:r>
      <w:r w:rsidR="00EB06EF" w:rsidRPr="004D5DB7">
        <w:rPr>
          <w:rFonts w:ascii="Times New Roman" w:hAnsi="Times New Roman" w:cs="Times New Roman"/>
          <w:color w:val="000000" w:themeColor="text1"/>
          <w:sz w:val="22"/>
          <w:szCs w:val="22"/>
        </w:rPr>
        <w:t xml:space="preserve"> The filter response is determined by the </w:t>
      </w:r>
      <w:r w:rsidR="00EB06EF" w:rsidRPr="004D5DB7">
        <w:rPr>
          <w:rFonts w:ascii="Times New Roman" w:hAnsi="Times New Roman" w:cs="Times New Roman"/>
          <w:color w:val="000000" w:themeColor="text1"/>
          <w:sz w:val="22"/>
          <w:szCs w:val="22"/>
        </w:rPr>
        <w:sym w:font="Symbol" w:char="F064"/>
      </w:r>
      <w:r w:rsidR="00EB06EF" w:rsidRPr="004D5DB7">
        <w:rPr>
          <w:rFonts w:ascii="Times New Roman" w:hAnsi="Times New Roman" w:cs="Times New Roman"/>
          <w:color w:val="000000" w:themeColor="text1"/>
          <w:sz w:val="22"/>
          <w:szCs w:val="22"/>
        </w:rPr>
        <w:t>/</w:t>
      </w:r>
      <w:r w:rsidR="00EB06EF" w:rsidRPr="004D5DB7">
        <w:rPr>
          <w:rFonts w:ascii="Times New Roman" w:hAnsi="Times New Roman" w:cs="Times New Roman"/>
          <w:color w:val="000000" w:themeColor="text1"/>
          <w:sz w:val="22"/>
          <w:szCs w:val="22"/>
        </w:rPr>
        <w:sym w:font="Symbol" w:char="F062"/>
      </w:r>
      <w:r w:rsidR="00EB06EF" w:rsidRPr="004D5DB7">
        <w:rPr>
          <w:rFonts w:ascii="Times New Roman" w:hAnsi="Times New Roman" w:cs="Times New Roman"/>
          <w:color w:val="000000" w:themeColor="text1"/>
          <w:sz w:val="22"/>
          <w:szCs w:val="22"/>
        </w:rPr>
        <w:t xml:space="preserve"> ratio, which corresponds to the ratio between the</w:t>
      </w:r>
      <w:r w:rsidR="00BE1726" w:rsidRPr="004D5DB7">
        <w:rPr>
          <w:rFonts w:ascii="Times New Roman" w:hAnsi="Times New Roman" w:cs="Times New Roman"/>
          <w:color w:val="000000" w:themeColor="text1"/>
          <w:sz w:val="22"/>
          <w:szCs w:val="22"/>
        </w:rPr>
        <w:t xml:space="preserve"> deviation from 1 of the</w:t>
      </w:r>
      <w:r w:rsidR="00EB06EF" w:rsidRPr="004D5DB7">
        <w:rPr>
          <w:rFonts w:ascii="Times New Roman" w:hAnsi="Times New Roman" w:cs="Times New Roman"/>
          <w:color w:val="000000" w:themeColor="text1"/>
          <w:sz w:val="22"/>
          <w:szCs w:val="22"/>
        </w:rPr>
        <w:t xml:space="preserve"> real part of the </w:t>
      </w:r>
      <w:r w:rsidR="00BE1726" w:rsidRPr="004D5DB7">
        <w:rPr>
          <w:rFonts w:ascii="Times New Roman" w:hAnsi="Times New Roman" w:cs="Times New Roman"/>
          <w:color w:val="000000" w:themeColor="text1"/>
          <w:sz w:val="22"/>
          <w:szCs w:val="22"/>
        </w:rPr>
        <w:t xml:space="preserve">sample’s </w:t>
      </w:r>
      <w:r w:rsidR="00EB06EF" w:rsidRPr="004D5DB7">
        <w:rPr>
          <w:rFonts w:ascii="Times New Roman" w:hAnsi="Times New Roman" w:cs="Times New Roman"/>
          <w:color w:val="000000" w:themeColor="text1"/>
          <w:sz w:val="22"/>
          <w:szCs w:val="22"/>
        </w:rPr>
        <w:t>index of refraction</w:t>
      </w:r>
      <w:r w:rsidR="00BE1726" w:rsidRPr="004D5DB7">
        <w:rPr>
          <w:rFonts w:ascii="Times New Roman" w:hAnsi="Times New Roman" w:cs="Times New Roman"/>
          <w:color w:val="000000" w:themeColor="text1"/>
          <w:sz w:val="22"/>
          <w:szCs w:val="22"/>
        </w:rPr>
        <w:t>, and its imaginary part</w:t>
      </w:r>
      <w:r w:rsidR="00EB06EF" w:rsidRPr="004D5DB7">
        <w:rPr>
          <w:rFonts w:ascii="Times New Roman" w:hAnsi="Times New Roman" w:cs="Times New Roman"/>
          <w:color w:val="000000" w:themeColor="text1"/>
          <w:sz w:val="22"/>
          <w:szCs w:val="22"/>
        </w:rPr>
        <w:t>.</w:t>
      </w:r>
    </w:p>
    <w:p w14:paraId="3D2C54E8" w14:textId="124275D3" w:rsidR="00522D22" w:rsidRPr="0054100A" w:rsidRDefault="00675AEB" w:rsidP="0054100A">
      <w:pPr>
        <w:spacing w:line="480" w:lineRule="auto"/>
        <w:rPr>
          <w:rFonts w:ascii="Times New Roman" w:hAnsi="Times New Roman" w:cs="Times New Roman"/>
          <w:color w:val="000000" w:themeColor="text1"/>
          <w:sz w:val="22"/>
          <w:szCs w:val="22"/>
        </w:rPr>
      </w:pPr>
      <w:r w:rsidRPr="004D5DB7">
        <w:rPr>
          <w:rFonts w:ascii="Times New Roman" w:hAnsi="Times New Roman" w:cs="Times New Roman"/>
          <w:color w:val="000000" w:themeColor="text1"/>
          <w:sz w:val="22"/>
          <w:szCs w:val="22"/>
        </w:rPr>
        <w:tab/>
      </w:r>
      <w:r w:rsidR="00522D22" w:rsidRPr="004D5DB7">
        <w:rPr>
          <w:rFonts w:ascii="Times New Roman" w:hAnsi="Times New Roman" w:cs="Times New Roman"/>
          <w:color w:val="000000" w:themeColor="text1"/>
          <w:sz w:val="22"/>
          <w:szCs w:val="22"/>
        </w:rPr>
        <w:t>The reconstruction times for single LR volumes were ~1 minute (absorption</w:t>
      </w:r>
      <w:r w:rsidR="00522D22" w:rsidRPr="0054100A">
        <w:rPr>
          <w:rFonts w:ascii="Times New Roman" w:hAnsi="Times New Roman" w:cs="Times New Roman"/>
          <w:color w:val="000000" w:themeColor="text1"/>
          <w:sz w:val="22"/>
          <w:szCs w:val="22"/>
        </w:rPr>
        <w:t>) and ~2.3 minutes (</w:t>
      </w:r>
      <w:proofErr w:type="spellStart"/>
      <w:r w:rsidR="00522D22" w:rsidRPr="0054100A">
        <w:rPr>
          <w:rFonts w:ascii="Times New Roman" w:hAnsi="Times New Roman" w:cs="Times New Roman"/>
          <w:color w:val="000000" w:themeColor="text1"/>
          <w:sz w:val="22"/>
          <w:szCs w:val="22"/>
        </w:rPr>
        <w:t>Paganin</w:t>
      </w:r>
      <w:proofErr w:type="spellEnd"/>
      <w:r w:rsidR="00522D22" w:rsidRPr="0054100A">
        <w:rPr>
          <w:rFonts w:ascii="Times New Roman" w:hAnsi="Times New Roman" w:cs="Times New Roman"/>
          <w:color w:val="000000" w:themeColor="text1"/>
          <w:sz w:val="22"/>
          <w:szCs w:val="22"/>
        </w:rPr>
        <w:t>), while for the HR scans they are ~2 minutes (absorption) and ~6.5 minutes (</w:t>
      </w:r>
      <w:proofErr w:type="spellStart"/>
      <w:r w:rsidR="00522D22" w:rsidRPr="0054100A">
        <w:rPr>
          <w:rFonts w:ascii="Times New Roman" w:hAnsi="Times New Roman" w:cs="Times New Roman"/>
          <w:color w:val="000000" w:themeColor="text1"/>
          <w:sz w:val="22"/>
          <w:szCs w:val="22"/>
        </w:rPr>
        <w:t>Paganin</w:t>
      </w:r>
      <w:proofErr w:type="spellEnd"/>
      <w:r w:rsidR="00522D22" w:rsidRPr="0054100A">
        <w:rPr>
          <w:rFonts w:ascii="Times New Roman" w:hAnsi="Times New Roman" w:cs="Times New Roman"/>
          <w:color w:val="000000" w:themeColor="text1"/>
          <w:sz w:val="22"/>
          <w:szCs w:val="22"/>
        </w:rPr>
        <w:t>).</w:t>
      </w:r>
    </w:p>
    <w:p w14:paraId="40FB7935" w14:textId="77777777" w:rsidR="00522D22" w:rsidRDefault="00522D22" w:rsidP="007D697A">
      <w:pPr>
        <w:spacing w:line="480" w:lineRule="auto"/>
        <w:rPr>
          <w:rFonts w:ascii="Times New Roman" w:hAnsi="Times New Roman" w:cs="Times New Roman"/>
          <w:color w:val="000000" w:themeColor="text1"/>
          <w:sz w:val="22"/>
          <w:szCs w:val="22"/>
        </w:rPr>
      </w:pPr>
    </w:p>
    <w:p w14:paraId="1FADC45C" w14:textId="77777777" w:rsidR="00390696" w:rsidRDefault="007D697A" w:rsidP="006462E8">
      <w:pPr>
        <w:spacing w:line="480" w:lineRule="auto"/>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Myocyte Aggregates Orientation Quantification</w:t>
      </w:r>
    </w:p>
    <w:p w14:paraId="3CD952CC" w14:textId="4299CC6E" w:rsidR="007D697A" w:rsidRPr="00390696" w:rsidRDefault="00A10A5A" w:rsidP="00390696">
      <w:pPr>
        <w:spacing w:line="480" w:lineRule="auto"/>
        <w:rPr>
          <w:rFonts w:ascii="Times New Roman" w:hAnsi="Times New Roman" w:cs="Times New Roman"/>
          <w:b/>
          <w:color w:val="000000" w:themeColor="text1"/>
          <w:sz w:val="22"/>
          <w:szCs w:val="22"/>
        </w:rPr>
      </w:pPr>
      <w:r>
        <w:rPr>
          <w:rFonts w:ascii="Times New Roman" w:hAnsi="Times New Roman" w:cs="Times New Roman"/>
          <w:color w:val="000000" w:themeColor="text1"/>
          <w:sz w:val="22"/>
          <w:szCs w:val="22"/>
        </w:rPr>
        <w:tab/>
      </w:r>
      <w:r w:rsidR="00390696">
        <w:rPr>
          <w:rFonts w:ascii="Times New Roman" w:hAnsi="Times New Roman" w:cs="Times New Roman"/>
          <w:color w:val="000000" w:themeColor="text1"/>
          <w:sz w:val="22"/>
          <w:szCs w:val="22"/>
        </w:rPr>
        <w:t>A</w:t>
      </w:r>
      <w:r w:rsidR="007D697A" w:rsidRPr="007D697A">
        <w:rPr>
          <w:rFonts w:ascii="Times New Roman" w:hAnsi="Times New Roman" w:cs="Times New Roman"/>
          <w:color w:val="000000" w:themeColor="text1"/>
          <w:sz w:val="22"/>
          <w:szCs w:val="22"/>
        </w:rPr>
        <w:t xml:space="preserve"> gradient structure tensor (ST) method</w:t>
      </w:r>
      <w:r w:rsidR="007D697A" w:rsidRPr="007D697A">
        <w:rPr>
          <w:rFonts w:ascii="Times New Roman" w:hAnsi="Times New Roman" w:cs="Times New Roman"/>
          <w:color w:val="000000" w:themeColor="text1"/>
          <w:sz w:val="22"/>
          <w:szCs w:val="22"/>
        </w:rPr>
        <w:fldChar w:fldCharType="begin" w:fldLock="1"/>
      </w:r>
      <w:r w:rsidR="005F40E9">
        <w:rPr>
          <w:rFonts w:ascii="Times New Roman" w:hAnsi="Times New Roman" w:cs="Times New Roman"/>
          <w:color w:val="000000" w:themeColor="text1"/>
          <w:sz w:val="22"/>
          <w:szCs w:val="22"/>
        </w:rPr>
        <w:instrText>ADDIN CSL_CITATION {"citationItems":[{"id":"ITEM-1","itemData":{"DOI":"10.1007/978-3-319-20309-6_13","ISBN":"9783319203089","ISSN":"16113349","abstract":"? Springer International Publishing Switzerland 2015.Complex helical organization of cardiac fibers is one of the key factors for efficient beat-to-beat contraction and electrical impulse propagation. Complete understanding of this (inter-individual) configuration is limited by image acquisition and analysis constraints. Consequently, extensive quantification of myofiber orientation and remodeling within diverse cases is still lacking. With its high resolution and contrast, synchrotron-based phase-contrast X-ray imaging offers potential for assessing this information. Although it recently gained increased attention for biomedical purposes, only few cardiac applications were presented to this date. In this paper, we used synchrotronbased acquisitions of a healthy fetal rabbit heart and implemented a structure tensor method for estimating fiber orientation. For comparison, we generated the common rule-based model, simulating fiber angles distribution for the given geometry. Although we find similar fiber angle transmural courses compared to the theoretical, high-resolution imaging and analysis show that the myocardium in an individual is more complex than often assumed.","author":[{"dropping-particle":"","family":"Baličević","given":"V.","non-dropping-particle":"","parse-names":false,"suffix":""},{"dropping-particle":"","family":"Lončarić","given":"S.","non-dropping-particle":"","parse-names":false,"suffix":""},{"dropping-particle":"","family":"Cárdenes","given":"R.","non-dropping-particle":"","parse-names":false,"suffix":""},{"dropping-particle":"","family":"Gonzalez-Tendero","given":"A.","non-dropping-particle":"","parse-names":false,"suffix":""},{"dropping-particle":"","family":"Paun","given":"B.","non-dropping-particle":"","parse-names":false,"suffix":""},{"dropping-particle":"","family":"Crispi","given":"F.","non-dropping-particle":"","parse-names":false,"suffix":""},{"dropping-particle":"","family":"Butakoff","given":"C.","non-dropping-particle":"","parse-names":false,"suffix":""},{"dropping-particle":"","family":"Bijnens","given":"B.","non-dropping-particle":"","parse-names":false,"suffix":""}],"container-title":"Lecture Notes in Computer Science (including subseries Lecture Notes in Artificial Intelligence and Lecture Notes in Bioinformatics)","id":"ITEM-1","issued":{"date-parts":[["2015"]]},"title":"Assessment of myofiber orientation in high resolution phase-contrast CT images","type":"paper-conference"},"uris":["http://www.mendeley.com/documents/?uuid=1d4f96b6-7b3c-435e-8d75-27cbf52e78e5"]}],"mendeley":{"formattedCitation":"&lt;sup&gt;4&lt;/sup&gt;","plainTextFormattedCitation":"4","previouslyFormattedCitation":"&lt;sup&gt;5&lt;/sup&gt;"},"properties":{"noteIndex":0},"schema":"https://github.com/citation-style-language/schema/raw/master/csl-citation.json"}</w:instrText>
      </w:r>
      <w:r w:rsidR="007D697A" w:rsidRPr="007D697A">
        <w:rPr>
          <w:rFonts w:ascii="Times New Roman" w:hAnsi="Times New Roman" w:cs="Times New Roman"/>
          <w:color w:val="000000" w:themeColor="text1"/>
          <w:sz w:val="22"/>
          <w:szCs w:val="22"/>
        </w:rPr>
        <w:fldChar w:fldCharType="separate"/>
      </w:r>
      <w:r w:rsidR="005F40E9" w:rsidRPr="005F40E9">
        <w:rPr>
          <w:rFonts w:ascii="Times New Roman" w:hAnsi="Times New Roman" w:cs="Times New Roman"/>
          <w:noProof/>
          <w:color w:val="000000" w:themeColor="text1"/>
          <w:sz w:val="22"/>
          <w:szCs w:val="22"/>
          <w:vertAlign w:val="superscript"/>
        </w:rPr>
        <w:t>4</w:t>
      </w:r>
      <w:r w:rsidR="007D697A" w:rsidRPr="007D697A">
        <w:rPr>
          <w:rFonts w:ascii="Times New Roman" w:hAnsi="Times New Roman" w:cs="Times New Roman"/>
          <w:color w:val="000000" w:themeColor="text1"/>
          <w:sz w:val="22"/>
          <w:szCs w:val="22"/>
        </w:rPr>
        <w:fldChar w:fldCharType="end"/>
      </w:r>
      <w:r w:rsidR="007D697A" w:rsidRPr="007D697A">
        <w:rPr>
          <w:rFonts w:ascii="Times New Roman" w:hAnsi="Times New Roman" w:cs="Times New Roman"/>
          <w:color w:val="000000" w:themeColor="text1"/>
          <w:sz w:val="22"/>
          <w:szCs w:val="22"/>
        </w:rPr>
        <w:t xml:space="preserve"> was applied to obtain the local orientation of myocytes aggregates</w:t>
      </w:r>
      <w:r w:rsidR="00390696">
        <w:rPr>
          <w:rFonts w:ascii="Times New Roman" w:hAnsi="Times New Roman" w:cs="Times New Roman"/>
          <w:color w:val="000000" w:themeColor="text1"/>
          <w:sz w:val="22"/>
          <w:szCs w:val="22"/>
        </w:rPr>
        <w:t xml:space="preserve">. </w:t>
      </w:r>
      <w:r w:rsidR="007D697A" w:rsidRPr="007D697A">
        <w:rPr>
          <w:rFonts w:ascii="Times New Roman" w:hAnsi="Times New Roman" w:cs="Times New Roman"/>
          <w:color w:val="000000" w:themeColor="text1"/>
          <w:sz w:val="22"/>
          <w:szCs w:val="22"/>
        </w:rPr>
        <w:t xml:space="preserve">Briefly, the gradient ST analysis consists of the calculation of the oriented intensity gradient in the 3 directions (x, y and z), so that a ST is built for each voxel of the dataset. Then, eigen-decomposition of the ST is performed thus obtaining the three eigenvalues and </w:t>
      </w:r>
      <w:r w:rsidR="007D697A" w:rsidRPr="007D697A">
        <w:rPr>
          <w:rFonts w:ascii="Times New Roman" w:hAnsi="Times New Roman" w:cs="Times New Roman"/>
          <w:color w:val="000000" w:themeColor="text1"/>
          <w:sz w:val="22"/>
          <w:szCs w:val="22"/>
        </w:rPr>
        <w:lastRenderedPageBreak/>
        <w:t xml:space="preserve">eigenvectors. The eigenvector with the smallest eigenvalue is selected as the vector pointing in the main direction of the myocyte aggregates, since </w:t>
      </w:r>
      <w:r w:rsidR="008D67CE">
        <w:rPr>
          <w:rFonts w:ascii="Times New Roman" w:hAnsi="Times New Roman" w:cs="Times New Roman"/>
          <w:color w:val="000000" w:themeColor="text1"/>
          <w:sz w:val="22"/>
          <w:szCs w:val="22"/>
        </w:rPr>
        <w:t xml:space="preserve">image </w:t>
      </w:r>
      <w:r w:rsidR="007D697A" w:rsidRPr="007D697A">
        <w:rPr>
          <w:rFonts w:ascii="Times New Roman" w:hAnsi="Times New Roman" w:cs="Times New Roman"/>
          <w:color w:val="000000" w:themeColor="text1"/>
          <w:sz w:val="22"/>
          <w:szCs w:val="22"/>
        </w:rPr>
        <w:t xml:space="preserve">intensity is not expected to change </w:t>
      </w:r>
      <w:r w:rsidR="008D67CE">
        <w:rPr>
          <w:rFonts w:ascii="Times New Roman" w:hAnsi="Times New Roman" w:cs="Times New Roman"/>
          <w:color w:val="000000" w:themeColor="text1"/>
          <w:sz w:val="22"/>
          <w:szCs w:val="22"/>
        </w:rPr>
        <w:t>along</w:t>
      </w:r>
      <w:r w:rsidR="008D67CE" w:rsidRPr="007D697A">
        <w:rPr>
          <w:rFonts w:ascii="Times New Roman" w:hAnsi="Times New Roman" w:cs="Times New Roman"/>
          <w:color w:val="000000" w:themeColor="text1"/>
          <w:sz w:val="22"/>
          <w:szCs w:val="22"/>
        </w:rPr>
        <w:t xml:space="preserve"> </w:t>
      </w:r>
      <w:r w:rsidR="007D697A" w:rsidRPr="007D697A">
        <w:rPr>
          <w:rFonts w:ascii="Times New Roman" w:hAnsi="Times New Roman" w:cs="Times New Roman"/>
          <w:color w:val="000000" w:themeColor="text1"/>
          <w:sz w:val="22"/>
          <w:szCs w:val="22"/>
        </w:rPr>
        <w:t>the longitudinal direction of the cardiomyocytes. Finally, the helical angle for the smallest eigenvalue’s vector is calculated as the angle between the transverse plane and the vector projection to the local tangential plane of the cylindrical coordinate system of the heart. Transmural profiles of helical angle within the septal wall were plotted as a function of normalised wall thickness from endo-to epicardium</w:t>
      </w:r>
      <w:r w:rsidR="00F2723F">
        <w:rPr>
          <w:rFonts w:ascii="Times New Roman" w:hAnsi="Times New Roman" w:cs="Times New Roman"/>
          <w:color w:val="000000" w:themeColor="text1"/>
          <w:sz w:val="22"/>
          <w:szCs w:val="22"/>
        </w:rPr>
        <w:t xml:space="preserve"> (or right-side endocardium)</w:t>
      </w:r>
      <w:r w:rsidR="007D697A" w:rsidRPr="007D697A">
        <w:rPr>
          <w:rFonts w:ascii="Times New Roman" w:hAnsi="Times New Roman" w:cs="Times New Roman"/>
          <w:color w:val="000000" w:themeColor="text1"/>
          <w:sz w:val="22"/>
          <w:szCs w:val="22"/>
        </w:rPr>
        <w:t>.</w:t>
      </w:r>
    </w:p>
    <w:p w14:paraId="37F06478" w14:textId="4471DC40" w:rsidR="007D697A" w:rsidRPr="00C453D9" w:rsidRDefault="007D697A" w:rsidP="00C453D9">
      <w:pPr>
        <w:spacing w:line="480" w:lineRule="auto"/>
        <w:ind w:firstLine="720"/>
        <w:rPr>
          <w:rFonts w:ascii="Times New Roman" w:hAnsi="Times New Roman" w:cs="Times New Roman"/>
          <w:color w:val="000000" w:themeColor="text1"/>
          <w:sz w:val="22"/>
          <w:szCs w:val="22"/>
        </w:rPr>
      </w:pPr>
      <w:r w:rsidRPr="007D697A">
        <w:rPr>
          <w:rFonts w:ascii="Times New Roman" w:hAnsi="Times New Roman" w:cs="Times New Roman"/>
          <w:color w:val="000000" w:themeColor="text1"/>
          <w:sz w:val="22"/>
          <w:szCs w:val="22"/>
        </w:rPr>
        <w:t>Finally, 3D fibre tracking was performed in the whole heart along the eigenvector with smallest eigenvalues using a 2</w:t>
      </w:r>
      <w:r w:rsidRPr="007D697A">
        <w:rPr>
          <w:rFonts w:ascii="Times New Roman" w:hAnsi="Times New Roman" w:cs="Times New Roman"/>
          <w:color w:val="000000" w:themeColor="text1"/>
          <w:sz w:val="22"/>
          <w:szCs w:val="22"/>
          <w:vertAlign w:val="superscript"/>
        </w:rPr>
        <w:t>nd</w:t>
      </w:r>
      <w:r w:rsidRPr="007D697A">
        <w:rPr>
          <w:rFonts w:ascii="Times New Roman" w:hAnsi="Times New Roman" w:cs="Times New Roman"/>
          <w:color w:val="000000" w:themeColor="text1"/>
          <w:sz w:val="22"/>
          <w:szCs w:val="22"/>
        </w:rPr>
        <w:t>order Runge-</w:t>
      </w:r>
      <w:proofErr w:type="spellStart"/>
      <w:r w:rsidRPr="007D697A">
        <w:rPr>
          <w:rFonts w:ascii="Times New Roman" w:hAnsi="Times New Roman" w:cs="Times New Roman"/>
          <w:color w:val="000000" w:themeColor="text1"/>
          <w:sz w:val="22"/>
          <w:szCs w:val="22"/>
        </w:rPr>
        <w:t>Kutta</w:t>
      </w:r>
      <w:proofErr w:type="spellEnd"/>
      <w:r w:rsidRPr="007D697A">
        <w:rPr>
          <w:rFonts w:ascii="Times New Roman" w:hAnsi="Times New Roman" w:cs="Times New Roman"/>
          <w:color w:val="000000" w:themeColor="text1"/>
          <w:sz w:val="22"/>
          <w:szCs w:val="22"/>
        </w:rPr>
        <w:t xml:space="preserve"> method in Paraview</w:t>
      </w:r>
      <w:r w:rsidR="004A03AC">
        <w:rPr>
          <w:rFonts w:ascii="Times New Roman" w:hAnsi="Times New Roman" w:cs="Times New Roman"/>
          <w:color w:val="000000" w:themeColor="text1"/>
          <w:sz w:val="22"/>
          <w:szCs w:val="22"/>
        </w:rPr>
        <w:fldChar w:fldCharType="begin" w:fldLock="1"/>
      </w:r>
      <w:r w:rsidR="005F40E9">
        <w:rPr>
          <w:rFonts w:ascii="Times New Roman" w:hAnsi="Times New Roman" w:cs="Times New Roman"/>
          <w:color w:val="000000" w:themeColor="text1"/>
          <w:sz w:val="22"/>
          <w:szCs w:val="22"/>
        </w:rPr>
        <w:instrText>ADDIN CSL_CITATION {"citationItems":[{"id":"ITEM-1","itemData":{"DOI":"10.1016/B978-012387582-2/50038-1","ISBN":"9780123875822","ISSN":"15237060","abstract":"This chapter describes the design and features of a visualization tool called ParaView, a tool that allows scientists to visualize and analyze extremely large datasets. The tool provides a graphical user interface for the creation and dynamic execution of visualization tasks. ParaView transparently supports the visualization and rendering of large datasets by executing these programs in parallel on shared or distributed memory machines. ParaView supports hardware-accelerated parallel rendering and achieves interactive rendering performance via level-of-detail techniques. The design balances and integrates a number of diverse requirements, including the ability to handle large data, ease of use, and extensibility by developers. The chapter describes the requirements that guided the design, identifies the importance of those requirements to scientific users, and discusses key design decisions and tradeoffs. © 2005 Copyright © 2005 Elsevier Inc. All rights reserved.","author":[{"dropping-particle":"","family":"Ahrens","given":"James","non-dropping-particle":"","parse-names":false,"suffix":""},{"dropping-particle":"","family":"Geveci","given":"Berk","non-dropping-particle":"","parse-names":false,"suffix":""},{"dropping-particle":"","family":"Law","given":"Charles","non-dropping-particle":"","parse-names":false,"suffix":""}],"container-title":"Visualization Handbook","id":"ITEM-1","issued":{"date-parts":[["2005"]]},"title":"ParaView: An end-user tool for large-data visualization","type":"chapter"},"uris":["http://www.mendeley.com/documents/?uuid=a334ec04-10e2-4053-8e84-8ba3e7f307cb"]}],"mendeley":{"formattedCitation":"&lt;sup&gt;5&lt;/sup&gt;","plainTextFormattedCitation":"5","previouslyFormattedCitation":"&lt;sup&gt;6&lt;/sup&gt;"},"properties":{"noteIndex":0},"schema":"https://github.com/citation-style-language/schema/raw/master/csl-citation.json"}</w:instrText>
      </w:r>
      <w:r w:rsidR="004A03AC">
        <w:rPr>
          <w:rFonts w:ascii="Times New Roman" w:hAnsi="Times New Roman" w:cs="Times New Roman"/>
          <w:color w:val="000000" w:themeColor="text1"/>
          <w:sz w:val="22"/>
          <w:szCs w:val="22"/>
        </w:rPr>
        <w:fldChar w:fldCharType="separate"/>
      </w:r>
      <w:r w:rsidR="005F40E9" w:rsidRPr="005F40E9">
        <w:rPr>
          <w:rFonts w:ascii="Times New Roman" w:hAnsi="Times New Roman" w:cs="Times New Roman"/>
          <w:noProof/>
          <w:color w:val="000000" w:themeColor="text1"/>
          <w:sz w:val="22"/>
          <w:szCs w:val="22"/>
          <w:vertAlign w:val="superscript"/>
        </w:rPr>
        <w:t>5</w:t>
      </w:r>
      <w:r w:rsidR="004A03AC">
        <w:rPr>
          <w:rFonts w:ascii="Times New Roman" w:hAnsi="Times New Roman" w:cs="Times New Roman"/>
          <w:color w:val="000000" w:themeColor="text1"/>
          <w:sz w:val="22"/>
          <w:szCs w:val="22"/>
        </w:rPr>
        <w:fldChar w:fldCharType="end"/>
      </w:r>
      <w:r w:rsidRPr="007D697A">
        <w:rPr>
          <w:rFonts w:ascii="Times New Roman" w:hAnsi="Times New Roman" w:cs="Times New Roman"/>
          <w:color w:val="000000" w:themeColor="text1"/>
          <w:sz w:val="22"/>
          <w:szCs w:val="22"/>
        </w:rPr>
        <w:t>. Tracks were colour-coded by transmural depth.</w:t>
      </w:r>
    </w:p>
    <w:p w14:paraId="6FE74E92" w14:textId="77777777" w:rsidR="00C453D9" w:rsidRDefault="00C453D9" w:rsidP="002B6FD2">
      <w:pPr>
        <w:spacing w:line="480" w:lineRule="auto"/>
        <w:rPr>
          <w:rFonts w:ascii="Times New Roman" w:hAnsi="Times New Roman" w:cs="Times New Roman"/>
          <w:b/>
          <w:sz w:val="22"/>
          <w:lang w:val="en-US"/>
        </w:rPr>
      </w:pPr>
    </w:p>
    <w:p w14:paraId="184A0B99" w14:textId="467131A1" w:rsidR="004D32B6" w:rsidRDefault="001B1204" w:rsidP="002B6FD2">
      <w:pPr>
        <w:spacing w:line="480" w:lineRule="auto"/>
        <w:rPr>
          <w:rFonts w:ascii="Times New Roman" w:hAnsi="Times New Roman" w:cs="Times New Roman"/>
          <w:b/>
          <w:sz w:val="22"/>
          <w:lang w:val="en-US"/>
        </w:rPr>
      </w:pPr>
      <w:r>
        <w:rPr>
          <w:rFonts w:ascii="Times New Roman" w:hAnsi="Times New Roman" w:cs="Times New Roman"/>
          <w:b/>
          <w:sz w:val="22"/>
          <w:lang w:val="en-US"/>
        </w:rPr>
        <w:t>SUPPLEMENTARY TABLES</w:t>
      </w:r>
    </w:p>
    <w:p w14:paraId="7CD1996D" w14:textId="4F1BDDA5" w:rsidR="00384A4A" w:rsidRPr="00251018" w:rsidRDefault="009E2804" w:rsidP="00384A4A">
      <w:pPr>
        <w:pStyle w:val="Caption"/>
        <w:keepNext/>
        <w:spacing w:line="480" w:lineRule="auto"/>
        <w:outlineLvl w:val="0"/>
        <w:rPr>
          <w:rFonts w:ascii="Times New Roman"/>
          <w:b/>
          <w:i w:val="0"/>
          <w:color w:val="000000" w:themeColor="text1"/>
          <w:sz w:val="22"/>
          <w:lang w:val="en-GB"/>
        </w:rPr>
      </w:pPr>
      <w:r>
        <w:rPr>
          <w:rFonts w:ascii="Times New Roman"/>
          <w:b/>
          <w:i w:val="0"/>
          <w:color w:val="000000" w:themeColor="text1"/>
          <w:sz w:val="22"/>
          <w:lang w:val="en-GB"/>
        </w:rPr>
        <w:t>Supplemen</w:t>
      </w:r>
      <w:r w:rsidR="001B1204">
        <w:rPr>
          <w:rFonts w:ascii="Times New Roman"/>
          <w:b/>
          <w:i w:val="0"/>
          <w:color w:val="000000" w:themeColor="text1"/>
          <w:sz w:val="22"/>
          <w:lang w:val="en-GB"/>
        </w:rPr>
        <w:t>tary</w:t>
      </w:r>
      <w:r w:rsidR="00C453D9">
        <w:rPr>
          <w:rFonts w:ascii="Times New Roman"/>
          <w:b/>
          <w:i w:val="0"/>
          <w:color w:val="000000" w:themeColor="text1"/>
          <w:sz w:val="22"/>
          <w:lang w:val="en-GB"/>
        </w:rPr>
        <w:t xml:space="preserve"> </w:t>
      </w:r>
      <w:r w:rsidR="00384A4A" w:rsidRPr="00251018">
        <w:rPr>
          <w:rFonts w:ascii="Times New Roman"/>
          <w:b/>
          <w:i w:val="0"/>
          <w:color w:val="000000" w:themeColor="text1"/>
          <w:sz w:val="22"/>
          <w:lang w:val="en-GB"/>
        </w:rPr>
        <w:t xml:space="preserve">Table </w:t>
      </w:r>
      <w:r w:rsidR="00254203">
        <w:rPr>
          <w:rFonts w:ascii="Times New Roman"/>
          <w:b/>
          <w:i w:val="0"/>
          <w:color w:val="000000" w:themeColor="text1"/>
          <w:sz w:val="22"/>
          <w:lang w:val="en-GB"/>
        </w:rPr>
        <w:t>S</w:t>
      </w:r>
      <w:r w:rsidR="00384A4A" w:rsidRPr="00251018">
        <w:rPr>
          <w:rFonts w:ascii="Times New Roman"/>
          <w:b/>
          <w:i w:val="0"/>
          <w:color w:val="000000" w:themeColor="text1"/>
          <w:sz w:val="22"/>
          <w:lang w:val="en-GB"/>
        </w:rPr>
        <w:t>1: Experimental multiscale X-PCI setup specifications.</w:t>
      </w:r>
    </w:p>
    <w:tbl>
      <w:tblPr>
        <w:tblStyle w:val="TableGrid"/>
        <w:tblW w:w="0" w:type="auto"/>
        <w:tblLook w:val="04A0" w:firstRow="1" w:lastRow="0" w:firstColumn="1" w:lastColumn="0" w:noHBand="0" w:noVBand="1"/>
      </w:tblPr>
      <w:tblGrid>
        <w:gridCol w:w="3261"/>
        <w:gridCol w:w="2401"/>
        <w:gridCol w:w="2832"/>
      </w:tblGrid>
      <w:tr w:rsidR="00384A4A" w:rsidRPr="00384A4A" w14:paraId="28A8A78D" w14:textId="77777777" w:rsidTr="004D32B6">
        <w:tc>
          <w:tcPr>
            <w:tcW w:w="3261" w:type="dxa"/>
          </w:tcPr>
          <w:p w14:paraId="0FF7EC4D" w14:textId="77777777" w:rsidR="00384A4A" w:rsidRPr="00384A4A" w:rsidRDefault="00384A4A" w:rsidP="00DC0D97">
            <w:pPr>
              <w:spacing w:line="480" w:lineRule="auto"/>
              <w:rPr>
                <w:rFonts w:ascii="Times New Roman"/>
                <w:color w:val="000000" w:themeColor="text1"/>
                <w:lang w:val="en-GB"/>
              </w:rPr>
            </w:pPr>
          </w:p>
        </w:tc>
        <w:tc>
          <w:tcPr>
            <w:tcW w:w="2401" w:type="dxa"/>
          </w:tcPr>
          <w:p w14:paraId="353109A2"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LR setup</w:t>
            </w:r>
          </w:p>
        </w:tc>
        <w:tc>
          <w:tcPr>
            <w:tcW w:w="2832" w:type="dxa"/>
          </w:tcPr>
          <w:p w14:paraId="354B6684"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HR setup</w:t>
            </w:r>
          </w:p>
        </w:tc>
      </w:tr>
      <w:tr w:rsidR="00384A4A" w:rsidRPr="00384A4A" w14:paraId="3E89F5D7" w14:textId="77777777" w:rsidTr="004D32B6">
        <w:tc>
          <w:tcPr>
            <w:tcW w:w="3261" w:type="dxa"/>
          </w:tcPr>
          <w:p w14:paraId="69309EA4"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Energy</w:t>
            </w:r>
          </w:p>
        </w:tc>
        <w:tc>
          <w:tcPr>
            <w:tcW w:w="2401" w:type="dxa"/>
          </w:tcPr>
          <w:p w14:paraId="0942F24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20 keV</w:t>
            </w:r>
          </w:p>
        </w:tc>
        <w:tc>
          <w:tcPr>
            <w:tcW w:w="2832" w:type="dxa"/>
          </w:tcPr>
          <w:p w14:paraId="6855CC42"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20 keV</w:t>
            </w:r>
          </w:p>
        </w:tc>
      </w:tr>
      <w:tr w:rsidR="00384A4A" w:rsidRPr="00384A4A" w14:paraId="0F1CDD56" w14:textId="77777777" w:rsidTr="004D32B6">
        <w:tc>
          <w:tcPr>
            <w:tcW w:w="3261" w:type="dxa"/>
          </w:tcPr>
          <w:p w14:paraId="4DA9083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Propagation distance</w:t>
            </w:r>
          </w:p>
        </w:tc>
        <w:tc>
          <w:tcPr>
            <w:tcW w:w="2401" w:type="dxa"/>
          </w:tcPr>
          <w:p w14:paraId="68AD9214"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333 cm</w:t>
            </w:r>
          </w:p>
        </w:tc>
        <w:tc>
          <w:tcPr>
            <w:tcW w:w="2832" w:type="dxa"/>
          </w:tcPr>
          <w:p w14:paraId="65C9F084"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20 cm</w:t>
            </w:r>
          </w:p>
        </w:tc>
      </w:tr>
      <w:tr w:rsidR="00384A4A" w:rsidRPr="00384A4A" w14:paraId="32E5D141" w14:textId="77777777" w:rsidTr="004D32B6">
        <w:tc>
          <w:tcPr>
            <w:tcW w:w="3261" w:type="dxa"/>
          </w:tcPr>
          <w:p w14:paraId="6163D680"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Effective Pixel size</w:t>
            </w:r>
          </w:p>
        </w:tc>
        <w:tc>
          <w:tcPr>
            <w:tcW w:w="2401" w:type="dxa"/>
          </w:tcPr>
          <w:p w14:paraId="4E28D76C"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5.8 µm</w:t>
            </w:r>
          </w:p>
        </w:tc>
        <w:tc>
          <w:tcPr>
            <w:tcW w:w="2832" w:type="dxa"/>
          </w:tcPr>
          <w:p w14:paraId="0FDD2BC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0.65 µm</w:t>
            </w:r>
          </w:p>
        </w:tc>
      </w:tr>
      <w:tr w:rsidR="00384A4A" w:rsidRPr="00384A4A" w14:paraId="6CA339F5" w14:textId="77777777" w:rsidTr="004D32B6">
        <w:tc>
          <w:tcPr>
            <w:tcW w:w="3261" w:type="dxa"/>
          </w:tcPr>
          <w:p w14:paraId="35998188"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Field of view</w:t>
            </w:r>
          </w:p>
        </w:tc>
        <w:tc>
          <w:tcPr>
            <w:tcW w:w="2401" w:type="dxa"/>
          </w:tcPr>
          <w:p w14:paraId="5D0B0CDB" w14:textId="77777777" w:rsidR="00384A4A" w:rsidRPr="00384A4A" w:rsidRDefault="00384A4A" w:rsidP="00DC0D97">
            <w:pPr>
              <w:spacing w:line="480" w:lineRule="auto"/>
              <w:rPr>
                <w:rFonts w:ascii="Times New Roman"/>
                <w:color w:val="000000" w:themeColor="text1"/>
                <w:vertAlign w:val="superscript"/>
                <w:lang w:val="en-GB"/>
              </w:rPr>
            </w:pPr>
            <w:r w:rsidRPr="00384A4A">
              <w:rPr>
                <w:rFonts w:ascii="Times New Roman"/>
                <w:color w:val="000000" w:themeColor="text1"/>
                <w:lang w:val="en-GB"/>
              </w:rPr>
              <w:t>11.83 x 3.29 mm</w:t>
            </w:r>
            <w:r w:rsidRPr="00384A4A">
              <w:rPr>
                <w:rFonts w:ascii="Times New Roman"/>
                <w:color w:val="000000" w:themeColor="text1"/>
                <w:vertAlign w:val="superscript"/>
                <w:lang w:val="en-GB"/>
              </w:rPr>
              <w:t>2</w:t>
            </w:r>
          </w:p>
        </w:tc>
        <w:tc>
          <w:tcPr>
            <w:tcW w:w="2832" w:type="dxa"/>
          </w:tcPr>
          <w:p w14:paraId="0BF90E38"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1.64 x 1.38 mm</w:t>
            </w:r>
            <w:r w:rsidRPr="00384A4A">
              <w:rPr>
                <w:rFonts w:ascii="Times New Roman"/>
                <w:color w:val="000000" w:themeColor="text1"/>
                <w:vertAlign w:val="superscript"/>
                <w:lang w:val="en-GB"/>
              </w:rPr>
              <w:t>2</w:t>
            </w:r>
          </w:p>
        </w:tc>
      </w:tr>
      <w:tr w:rsidR="00384A4A" w:rsidRPr="00384A4A" w14:paraId="7E047EEB" w14:textId="77777777" w:rsidTr="004D32B6">
        <w:tc>
          <w:tcPr>
            <w:tcW w:w="3261" w:type="dxa"/>
          </w:tcPr>
          <w:p w14:paraId="4CF34E02"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Projections</w:t>
            </w:r>
          </w:p>
        </w:tc>
        <w:tc>
          <w:tcPr>
            <w:tcW w:w="2401" w:type="dxa"/>
          </w:tcPr>
          <w:p w14:paraId="2D04930C"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2501</w:t>
            </w:r>
          </w:p>
        </w:tc>
        <w:tc>
          <w:tcPr>
            <w:tcW w:w="2832" w:type="dxa"/>
          </w:tcPr>
          <w:p w14:paraId="2389F18D"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2501</w:t>
            </w:r>
          </w:p>
        </w:tc>
      </w:tr>
      <w:tr w:rsidR="00384A4A" w:rsidRPr="00384A4A" w14:paraId="361F30BE" w14:textId="77777777" w:rsidTr="004D32B6">
        <w:tc>
          <w:tcPr>
            <w:tcW w:w="3261" w:type="dxa"/>
          </w:tcPr>
          <w:p w14:paraId="0D85EF44"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Darks</w:t>
            </w:r>
          </w:p>
        </w:tc>
        <w:tc>
          <w:tcPr>
            <w:tcW w:w="2401" w:type="dxa"/>
          </w:tcPr>
          <w:p w14:paraId="6638BAC6"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20</w:t>
            </w:r>
          </w:p>
        </w:tc>
        <w:tc>
          <w:tcPr>
            <w:tcW w:w="2832" w:type="dxa"/>
          </w:tcPr>
          <w:p w14:paraId="29622B2D"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20</w:t>
            </w:r>
          </w:p>
        </w:tc>
      </w:tr>
      <w:tr w:rsidR="00384A4A" w:rsidRPr="00384A4A" w14:paraId="22FC534E" w14:textId="77777777" w:rsidTr="004D32B6">
        <w:tc>
          <w:tcPr>
            <w:tcW w:w="3261" w:type="dxa"/>
          </w:tcPr>
          <w:p w14:paraId="659DC93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Flats</w:t>
            </w:r>
          </w:p>
        </w:tc>
        <w:tc>
          <w:tcPr>
            <w:tcW w:w="2401" w:type="dxa"/>
          </w:tcPr>
          <w:p w14:paraId="713DBEF6"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50</w:t>
            </w:r>
          </w:p>
        </w:tc>
        <w:tc>
          <w:tcPr>
            <w:tcW w:w="2832" w:type="dxa"/>
          </w:tcPr>
          <w:p w14:paraId="68D3DE19"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50</w:t>
            </w:r>
          </w:p>
        </w:tc>
      </w:tr>
      <w:tr w:rsidR="00384A4A" w:rsidRPr="00384A4A" w14:paraId="2BF975BD" w14:textId="77777777" w:rsidTr="004D32B6">
        <w:tc>
          <w:tcPr>
            <w:tcW w:w="3261" w:type="dxa"/>
          </w:tcPr>
          <w:p w14:paraId="4514923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Exposure time</w:t>
            </w:r>
          </w:p>
        </w:tc>
        <w:tc>
          <w:tcPr>
            <w:tcW w:w="2401" w:type="dxa"/>
          </w:tcPr>
          <w:p w14:paraId="413AB26E"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 xml:space="preserve">20 </w:t>
            </w:r>
            <w:proofErr w:type="spellStart"/>
            <w:r w:rsidRPr="00384A4A">
              <w:rPr>
                <w:rFonts w:ascii="Times New Roman"/>
                <w:color w:val="000000" w:themeColor="text1"/>
                <w:lang w:val="en-GB"/>
              </w:rPr>
              <w:t>ms</w:t>
            </w:r>
            <w:proofErr w:type="spellEnd"/>
          </w:p>
        </w:tc>
        <w:tc>
          <w:tcPr>
            <w:tcW w:w="2832" w:type="dxa"/>
          </w:tcPr>
          <w:p w14:paraId="03DC0D5E"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 xml:space="preserve">200 </w:t>
            </w:r>
            <w:proofErr w:type="spellStart"/>
            <w:r w:rsidRPr="00384A4A">
              <w:rPr>
                <w:rFonts w:ascii="Times New Roman"/>
                <w:color w:val="000000" w:themeColor="text1"/>
                <w:lang w:val="en-GB"/>
              </w:rPr>
              <w:t>ms</w:t>
            </w:r>
            <w:proofErr w:type="spellEnd"/>
          </w:p>
        </w:tc>
      </w:tr>
      <w:tr w:rsidR="00384A4A" w:rsidRPr="00384A4A" w14:paraId="1A859FDC" w14:textId="77777777" w:rsidTr="004D32B6">
        <w:tc>
          <w:tcPr>
            <w:tcW w:w="3261" w:type="dxa"/>
          </w:tcPr>
          <w:p w14:paraId="1C269C0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Time per scan</w:t>
            </w:r>
          </w:p>
        </w:tc>
        <w:tc>
          <w:tcPr>
            <w:tcW w:w="2401" w:type="dxa"/>
          </w:tcPr>
          <w:p w14:paraId="103D174F"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~3 minutes</w:t>
            </w:r>
          </w:p>
        </w:tc>
        <w:tc>
          <w:tcPr>
            <w:tcW w:w="2832" w:type="dxa"/>
          </w:tcPr>
          <w:p w14:paraId="12B3E5DA"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~11 minutes</w:t>
            </w:r>
          </w:p>
        </w:tc>
      </w:tr>
      <w:tr w:rsidR="00384A4A" w:rsidRPr="00384A4A" w14:paraId="076285D4" w14:textId="77777777" w:rsidTr="004D32B6">
        <w:tc>
          <w:tcPr>
            <w:tcW w:w="3261" w:type="dxa"/>
          </w:tcPr>
          <w:p w14:paraId="13526F3A"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Reconstruction time (absorption)</w:t>
            </w:r>
          </w:p>
        </w:tc>
        <w:tc>
          <w:tcPr>
            <w:tcW w:w="2401" w:type="dxa"/>
          </w:tcPr>
          <w:p w14:paraId="5C81AF4D"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~1 minute</w:t>
            </w:r>
          </w:p>
        </w:tc>
        <w:tc>
          <w:tcPr>
            <w:tcW w:w="2832" w:type="dxa"/>
          </w:tcPr>
          <w:p w14:paraId="762F15C1"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 minutes</w:t>
            </w:r>
          </w:p>
        </w:tc>
      </w:tr>
      <w:tr w:rsidR="00384A4A" w:rsidRPr="00384A4A" w14:paraId="25BD7422" w14:textId="77777777" w:rsidTr="004D32B6">
        <w:tc>
          <w:tcPr>
            <w:tcW w:w="3261" w:type="dxa"/>
          </w:tcPr>
          <w:p w14:paraId="69B4BB1A"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Reconstruction time (</w:t>
            </w:r>
            <w:proofErr w:type="spellStart"/>
            <w:r w:rsidRPr="00384A4A">
              <w:rPr>
                <w:rFonts w:ascii="Times New Roman"/>
                <w:color w:val="000000" w:themeColor="text1"/>
                <w:lang w:val="en-GB"/>
              </w:rPr>
              <w:t>Paganin</w:t>
            </w:r>
            <w:proofErr w:type="spellEnd"/>
            <w:r w:rsidRPr="00384A4A">
              <w:rPr>
                <w:rFonts w:ascii="Times New Roman"/>
                <w:color w:val="000000" w:themeColor="text1"/>
                <w:lang w:val="en-GB"/>
              </w:rPr>
              <w:t>)</w:t>
            </w:r>
          </w:p>
        </w:tc>
        <w:tc>
          <w:tcPr>
            <w:tcW w:w="2401" w:type="dxa"/>
          </w:tcPr>
          <w:p w14:paraId="557AD146"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~2.3 minutes</w:t>
            </w:r>
          </w:p>
        </w:tc>
        <w:tc>
          <w:tcPr>
            <w:tcW w:w="2832" w:type="dxa"/>
          </w:tcPr>
          <w:p w14:paraId="63BB5BCB"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~6.5 minutes</w:t>
            </w:r>
          </w:p>
        </w:tc>
      </w:tr>
      <w:tr w:rsidR="00384A4A" w:rsidRPr="00384A4A" w14:paraId="7136A53F" w14:textId="77777777" w:rsidTr="004D32B6">
        <w:tc>
          <w:tcPr>
            <w:tcW w:w="3261" w:type="dxa"/>
          </w:tcPr>
          <w:p w14:paraId="701CF9B7"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t>Scintillator</w:t>
            </w:r>
          </w:p>
        </w:tc>
        <w:tc>
          <w:tcPr>
            <w:tcW w:w="2401" w:type="dxa"/>
          </w:tcPr>
          <w:p w14:paraId="22A4D89E" w14:textId="77777777" w:rsidR="00384A4A" w:rsidRPr="00384A4A" w:rsidRDefault="00384A4A" w:rsidP="00DC0D97">
            <w:pPr>
              <w:spacing w:line="480" w:lineRule="auto"/>
              <w:rPr>
                <w:rFonts w:ascii="Times New Roman"/>
                <w:color w:val="000000" w:themeColor="text1"/>
                <w:lang w:val="en-GB"/>
              </w:rPr>
            </w:pPr>
            <w:proofErr w:type="spellStart"/>
            <w:proofErr w:type="gramStart"/>
            <w:r w:rsidRPr="00384A4A">
              <w:rPr>
                <w:rFonts w:ascii="Times New Roman"/>
                <w:color w:val="000000" w:themeColor="text1"/>
                <w:lang w:val="en-GB"/>
              </w:rPr>
              <w:t>LuAG:Ce</w:t>
            </w:r>
            <w:proofErr w:type="spellEnd"/>
            <w:proofErr w:type="gramEnd"/>
            <w:r w:rsidRPr="00384A4A">
              <w:rPr>
                <w:rFonts w:ascii="Times New Roman"/>
                <w:color w:val="000000" w:themeColor="text1"/>
                <w:lang w:val="en-GB"/>
              </w:rPr>
              <w:t xml:space="preserve"> 300 µm</w:t>
            </w:r>
          </w:p>
        </w:tc>
        <w:tc>
          <w:tcPr>
            <w:tcW w:w="2832" w:type="dxa"/>
          </w:tcPr>
          <w:p w14:paraId="2916F80C" w14:textId="77777777" w:rsidR="00384A4A" w:rsidRPr="00384A4A" w:rsidRDefault="00384A4A" w:rsidP="00DC0D97">
            <w:pPr>
              <w:spacing w:line="480" w:lineRule="auto"/>
              <w:rPr>
                <w:rFonts w:ascii="Times New Roman"/>
                <w:color w:val="000000" w:themeColor="text1"/>
                <w:lang w:val="en-GB"/>
              </w:rPr>
            </w:pPr>
            <w:proofErr w:type="spellStart"/>
            <w:proofErr w:type="gramStart"/>
            <w:r w:rsidRPr="00384A4A">
              <w:rPr>
                <w:rFonts w:ascii="Times New Roman"/>
                <w:color w:val="000000" w:themeColor="text1"/>
                <w:lang w:val="en-GB"/>
              </w:rPr>
              <w:t>LuAG:Ce</w:t>
            </w:r>
            <w:proofErr w:type="spellEnd"/>
            <w:proofErr w:type="gramEnd"/>
            <w:r w:rsidRPr="00384A4A">
              <w:rPr>
                <w:rFonts w:ascii="Times New Roman"/>
                <w:color w:val="000000" w:themeColor="text1"/>
                <w:lang w:val="en-GB"/>
              </w:rPr>
              <w:t xml:space="preserve"> 20 µm</w:t>
            </w:r>
          </w:p>
        </w:tc>
      </w:tr>
      <w:tr w:rsidR="00384A4A" w:rsidRPr="00384A4A" w14:paraId="0B7A5F5A" w14:textId="77777777" w:rsidTr="004D32B6">
        <w:tc>
          <w:tcPr>
            <w:tcW w:w="3261" w:type="dxa"/>
          </w:tcPr>
          <w:p w14:paraId="586E4743" w14:textId="77777777" w:rsidR="00384A4A" w:rsidRPr="00384A4A" w:rsidRDefault="00384A4A" w:rsidP="00DC0D97">
            <w:pPr>
              <w:spacing w:line="480" w:lineRule="auto"/>
              <w:rPr>
                <w:rFonts w:ascii="Times New Roman"/>
                <w:color w:val="000000" w:themeColor="text1"/>
                <w:lang w:val="en-GB"/>
              </w:rPr>
            </w:pPr>
            <w:r w:rsidRPr="00384A4A">
              <w:rPr>
                <w:rFonts w:ascii="Times New Roman"/>
                <w:color w:val="000000" w:themeColor="text1"/>
                <w:lang w:val="en-GB"/>
              </w:rPr>
              <w:lastRenderedPageBreak/>
              <w:t>Camera</w:t>
            </w:r>
          </w:p>
        </w:tc>
        <w:tc>
          <w:tcPr>
            <w:tcW w:w="2401" w:type="dxa"/>
          </w:tcPr>
          <w:p w14:paraId="19B0CC67" w14:textId="77777777" w:rsidR="00384A4A" w:rsidRPr="00384A4A" w:rsidRDefault="00384A4A" w:rsidP="00DC0D97">
            <w:pPr>
              <w:spacing w:line="480" w:lineRule="auto"/>
              <w:rPr>
                <w:rFonts w:ascii="Times New Roman"/>
                <w:color w:val="000000" w:themeColor="text1"/>
                <w:lang w:val="en-GB"/>
              </w:rPr>
            </w:pPr>
            <w:proofErr w:type="spellStart"/>
            <w:r w:rsidRPr="00384A4A">
              <w:rPr>
                <w:rFonts w:ascii="Times New Roman"/>
                <w:color w:val="000000" w:themeColor="text1"/>
                <w:lang w:val="en-GB"/>
              </w:rPr>
              <w:t>PCO.Edge</w:t>
            </w:r>
            <w:proofErr w:type="spellEnd"/>
            <w:r w:rsidRPr="00384A4A">
              <w:rPr>
                <w:rFonts w:ascii="Times New Roman"/>
                <w:color w:val="000000" w:themeColor="text1"/>
                <w:lang w:val="en-GB"/>
              </w:rPr>
              <w:t xml:space="preserve"> 4.2</w:t>
            </w:r>
          </w:p>
        </w:tc>
        <w:tc>
          <w:tcPr>
            <w:tcW w:w="2832" w:type="dxa"/>
          </w:tcPr>
          <w:p w14:paraId="2E9E56F2" w14:textId="77777777" w:rsidR="00384A4A" w:rsidRPr="00384A4A" w:rsidRDefault="00384A4A" w:rsidP="00DC0D97">
            <w:pPr>
              <w:spacing w:line="480" w:lineRule="auto"/>
              <w:rPr>
                <w:rFonts w:ascii="Times New Roman"/>
                <w:color w:val="000000" w:themeColor="text1"/>
                <w:lang w:val="en-GB"/>
              </w:rPr>
            </w:pPr>
            <w:proofErr w:type="spellStart"/>
            <w:r w:rsidRPr="00384A4A">
              <w:rPr>
                <w:rFonts w:ascii="Times New Roman"/>
                <w:color w:val="000000" w:themeColor="text1"/>
                <w:lang w:val="en-GB"/>
              </w:rPr>
              <w:t>PCO.Edge</w:t>
            </w:r>
            <w:proofErr w:type="spellEnd"/>
            <w:r w:rsidRPr="00384A4A">
              <w:rPr>
                <w:rFonts w:ascii="Times New Roman"/>
                <w:color w:val="000000" w:themeColor="text1"/>
                <w:lang w:val="en-GB"/>
              </w:rPr>
              <w:t xml:space="preserve"> 5.5</w:t>
            </w:r>
          </w:p>
        </w:tc>
      </w:tr>
    </w:tbl>
    <w:p w14:paraId="70A8C693" w14:textId="77777777" w:rsidR="00384A4A" w:rsidRPr="00251018" w:rsidRDefault="00384A4A" w:rsidP="00384A4A">
      <w:pPr>
        <w:spacing w:line="480" w:lineRule="auto"/>
        <w:outlineLvl w:val="0"/>
        <w:rPr>
          <w:b/>
          <w:color w:val="000000" w:themeColor="text1"/>
          <w:sz w:val="22"/>
        </w:rPr>
      </w:pPr>
    </w:p>
    <w:p w14:paraId="7B8A1EEE" w14:textId="08A2B86F" w:rsidR="00384A4A" w:rsidRDefault="00DB5522" w:rsidP="002B6FD2">
      <w:pPr>
        <w:spacing w:line="480" w:lineRule="auto"/>
        <w:rPr>
          <w:rFonts w:ascii="Times New Roman" w:hAnsi="Times New Roman" w:cs="Times New Roman"/>
          <w:b/>
          <w:sz w:val="22"/>
          <w:lang w:val="en-US"/>
        </w:rPr>
      </w:pPr>
      <w:r>
        <w:rPr>
          <w:rFonts w:ascii="Times New Roman" w:hAnsi="Times New Roman" w:cs="Times New Roman"/>
          <w:b/>
          <w:sz w:val="22"/>
          <w:lang w:val="en-US"/>
        </w:rPr>
        <w:t>References</w:t>
      </w:r>
    </w:p>
    <w:p w14:paraId="1E7F8F7A" w14:textId="4DFD70E8" w:rsidR="005F40E9" w:rsidRPr="005F40E9" w:rsidRDefault="00DB5522" w:rsidP="005F40E9">
      <w:pPr>
        <w:widowControl w:val="0"/>
        <w:autoSpaceDE w:val="0"/>
        <w:autoSpaceDN w:val="0"/>
        <w:adjustRightInd w:val="0"/>
        <w:spacing w:line="480" w:lineRule="auto"/>
        <w:ind w:left="640" w:hanging="640"/>
        <w:rPr>
          <w:rFonts w:ascii="Times New Roman" w:hAnsi="Times New Roman" w:cs="Times New Roman"/>
          <w:noProof/>
          <w:sz w:val="22"/>
        </w:rPr>
      </w:pPr>
      <w:r>
        <w:rPr>
          <w:rFonts w:ascii="Times New Roman" w:hAnsi="Times New Roman" w:cs="Times New Roman"/>
          <w:b/>
          <w:sz w:val="22"/>
          <w:lang w:val="en-US"/>
        </w:rPr>
        <w:fldChar w:fldCharType="begin" w:fldLock="1"/>
      </w:r>
      <w:r>
        <w:rPr>
          <w:rFonts w:ascii="Times New Roman" w:hAnsi="Times New Roman" w:cs="Times New Roman"/>
          <w:b/>
          <w:sz w:val="22"/>
          <w:lang w:val="en-US"/>
        </w:rPr>
        <w:instrText xml:space="preserve">ADDIN Mendeley Bibliography CSL_BIBLIOGRAPHY </w:instrText>
      </w:r>
      <w:r>
        <w:rPr>
          <w:rFonts w:ascii="Times New Roman" w:hAnsi="Times New Roman" w:cs="Times New Roman"/>
          <w:b/>
          <w:sz w:val="22"/>
          <w:lang w:val="en-US"/>
        </w:rPr>
        <w:fldChar w:fldCharType="separate"/>
      </w:r>
      <w:r w:rsidR="005F40E9" w:rsidRPr="005F40E9">
        <w:rPr>
          <w:rFonts w:ascii="Times New Roman" w:hAnsi="Times New Roman" w:cs="Times New Roman"/>
          <w:noProof/>
          <w:sz w:val="22"/>
        </w:rPr>
        <w:t xml:space="preserve">1. </w:t>
      </w:r>
      <w:r w:rsidR="005F40E9" w:rsidRPr="005F40E9">
        <w:rPr>
          <w:rFonts w:ascii="Times New Roman" w:hAnsi="Times New Roman" w:cs="Times New Roman"/>
          <w:noProof/>
          <w:sz w:val="22"/>
        </w:rPr>
        <w:tab/>
        <w:t xml:space="preserve">Cardin S, Guasch E, Luo X, Naud P, Le Quang K, Shi Y, Tardif J-C, Comtois P, Nattel S. Role for MicroRNA-21 in Atrial Profibrillatory Fibrotic Remodeling Associated With Experimental Postinfarction Heart Failure. </w:t>
      </w:r>
      <w:r w:rsidR="005F40E9" w:rsidRPr="005F40E9">
        <w:rPr>
          <w:rFonts w:ascii="Times New Roman" w:hAnsi="Times New Roman" w:cs="Times New Roman"/>
          <w:i/>
          <w:iCs/>
          <w:noProof/>
          <w:sz w:val="22"/>
        </w:rPr>
        <w:t>Circ Arrhythm Electrophysiol</w:t>
      </w:r>
      <w:r w:rsidR="005F40E9" w:rsidRPr="005F40E9">
        <w:rPr>
          <w:rFonts w:ascii="Times New Roman" w:hAnsi="Times New Roman" w:cs="Times New Roman"/>
          <w:noProof/>
          <w:sz w:val="22"/>
        </w:rPr>
        <w:t xml:space="preserve">. 2012;5:1027–35. </w:t>
      </w:r>
    </w:p>
    <w:p w14:paraId="1EB0074D" w14:textId="77777777" w:rsidR="005F40E9" w:rsidRPr="005F40E9" w:rsidRDefault="005F40E9" w:rsidP="005F40E9">
      <w:pPr>
        <w:widowControl w:val="0"/>
        <w:autoSpaceDE w:val="0"/>
        <w:autoSpaceDN w:val="0"/>
        <w:adjustRightInd w:val="0"/>
        <w:spacing w:line="480" w:lineRule="auto"/>
        <w:ind w:left="640" w:hanging="640"/>
        <w:rPr>
          <w:rFonts w:ascii="Times New Roman" w:hAnsi="Times New Roman" w:cs="Times New Roman"/>
          <w:noProof/>
          <w:sz w:val="22"/>
        </w:rPr>
      </w:pPr>
      <w:r w:rsidRPr="005F40E9">
        <w:rPr>
          <w:rFonts w:ascii="Times New Roman" w:hAnsi="Times New Roman" w:cs="Times New Roman"/>
          <w:noProof/>
          <w:sz w:val="22"/>
        </w:rPr>
        <w:t xml:space="preserve">2. </w:t>
      </w:r>
      <w:r w:rsidRPr="005F40E9">
        <w:rPr>
          <w:rFonts w:ascii="Times New Roman" w:hAnsi="Times New Roman" w:cs="Times New Roman"/>
          <w:noProof/>
          <w:sz w:val="22"/>
        </w:rPr>
        <w:tab/>
        <w:t xml:space="preserve">Marone F, Stampanoni M. Regridding reconstruction algorithm for real-time tomographic imaging. </w:t>
      </w:r>
      <w:r w:rsidRPr="005F40E9">
        <w:rPr>
          <w:rFonts w:ascii="Times New Roman" w:hAnsi="Times New Roman" w:cs="Times New Roman"/>
          <w:i/>
          <w:iCs/>
          <w:noProof/>
          <w:sz w:val="22"/>
        </w:rPr>
        <w:t>J Synchrotron Radiat</w:t>
      </w:r>
      <w:r w:rsidRPr="005F40E9">
        <w:rPr>
          <w:rFonts w:ascii="Times New Roman" w:hAnsi="Times New Roman" w:cs="Times New Roman"/>
          <w:noProof/>
          <w:sz w:val="22"/>
        </w:rPr>
        <w:t>. 2012;</w:t>
      </w:r>
    </w:p>
    <w:p w14:paraId="6214CF7D" w14:textId="77777777" w:rsidR="005F40E9" w:rsidRPr="005F40E9" w:rsidRDefault="005F40E9" w:rsidP="005F40E9">
      <w:pPr>
        <w:widowControl w:val="0"/>
        <w:autoSpaceDE w:val="0"/>
        <w:autoSpaceDN w:val="0"/>
        <w:adjustRightInd w:val="0"/>
        <w:spacing w:line="480" w:lineRule="auto"/>
        <w:ind w:left="640" w:hanging="640"/>
        <w:rPr>
          <w:rFonts w:ascii="Times New Roman" w:hAnsi="Times New Roman" w:cs="Times New Roman"/>
          <w:noProof/>
          <w:sz w:val="22"/>
        </w:rPr>
      </w:pPr>
      <w:r w:rsidRPr="005F40E9">
        <w:rPr>
          <w:rFonts w:ascii="Times New Roman" w:hAnsi="Times New Roman" w:cs="Times New Roman"/>
          <w:noProof/>
          <w:sz w:val="22"/>
        </w:rPr>
        <w:t xml:space="preserve">3. </w:t>
      </w:r>
      <w:r w:rsidRPr="005F40E9">
        <w:rPr>
          <w:rFonts w:ascii="Times New Roman" w:hAnsi="Times New Roman" w:cs="Times New Roman"/>
          <w:noProof/>
          <w:sz w:val="22"/>
        </w:rPr>
        <w:tab/>
        <w:t xml:space="preserve">Paganin D, Mayo SC, Gureyev TE, Miller PR, Wilkins SW. Simultaneous phase and amplitude extraction from a single defocused image of a homogeneous object. </w:t>
      </w:r>
      <w:r w:rsidRPr="005F40E9">
        <w:rPr>
          <w:rFonts w:ascii="Times New Roman" w:hAnsi="Times New Roman" w:cs="Times New Roman"/>
          <w:i/>
          <w:iCs/>
          <w:noProof/>
          <w:sz w:val="22"/>
        </w:rPr>
        <w:t>J Microsc</w:t>
      </w:r>
      <w:r w:rsidRPr="005F40E9">
        <w:rPr>
          <w:rFonts w:ascii="Times New Roman" w:hAnsi="Times New Roman" w:cs="Times New Roman"/>
          <w:noProof/>
          <w:sz w:val="22"/>
        </w:rPr>
        <w:t>. 2002;</w:t>
      </w:r>
    </w:p>
    <w:p w14:paraId="5368E94B" w14:textId="77777777" w:rsidR="005F40E9" w:rsidRPr="005F40E9" w:rsidRDefault="005F40E9" w:rsidP="005F40E9">
      <w:pPr>
        <w:widowControl w:val="0"/>
        <w:autoSpaceDE w:val="0"/>
        <w:autoSpaceDN w:val="0"/>
        <w:adjustRightInd w:val="0"/>
        <w:spacing w:line="480" w:lineRule="auto"/>
        <w:ind w:left="640" w:hanging="640"/>
        <w:rPr>
          <w:rFonts w:ascii="Times New Roman" w:hAnsi="Times New Roman" w:cs="Times New Roman"/>
          <w:noProof/>
          <w:sz w:val="22"/>
        </w:rPr>
      </w:pPr>
      <w:r w:rsidRPr="005F40E9">
        <w:rPr>
          <w:rFonts w:ascii="Times New Roman" w:hAnsi="Times New Roman" w:cs="Times New Roman"/>
          <w:noProof/>
          <w:sz w:val="22"/>
        </w:rPr>
        <w:t xml:space="preserve">4. </w:t>
      </w:r>
      <w:r w:rsidRPr="005F40E9">
        <w:rPr>
          <w:rFonts w:ascii="Times New Roman" w:hAnsi="Times New Roman" w:cs="Times New Roman"/>
          <w:noProof/>
          <w:sz w:val="22"/>
        </w:rPr>
        <w:tab/>
        <w:t xml:space="preserve">Baličević V, Lončarić S, Cárdenes R, Gonzalez-Tendero A, Paun B, Crispi F, Butakoff C, Bijnens B. Assessment of myofiber orientation in high resolution phase-contrast CT images. In: Lecture Notes in Computer Science (including subseries Lecture Notes in Artificial Intelligence and Lecture Notes in Bioinformatics). 2015. </w:t>
      </w:r>
    </w:p>
    <w:p w14:paraId="7ACAB7E3" w14:textId="77777777" w:rsidR="005F40E9" w:rsidRPr="005F40E9" w:rsidRDefault="005F40E9" w:rsidP="005F40E9">
      <w:pPr>
        <w:widowControl w:val="0"/>
        <w:autoSpaceDE w:val="0"/>
        <w:autoSpaceDN w:val="0"/>
        <w:adjustRightInd w:val="0"/>
        <w:spacing w:line="480" w:lineRule="auto"/>
        <w:ind w:left="640" w:hanging="640"/>
        <w:rPr>
          <w:rFonts w:ascii="Times New Roman" w:hAnsi="Times New Roman" w:cs="Times New Roman"/>
          <w:noProof/>
          <w:sz w:val="22"/>
        </w:rPr>
      </w:pPr>
      <w:r w:rsidRPr="005F40E9">
        <w:rPr>
          <w:rFonts w:ascii="Times New Roman" w:hAnsi="Times New Roman" w:cs="Times New Roman"/>
          <w:noProof/>
          <w:sz w:val="22"/>
        </w:rPr>
        <w:t xml:space="preserve">5. </w:t>
      </w:r>
      <w:r w:rsidRPr="005F40E9">
        <w:rPr>
          <w:rFonts w:ascii="Times New Roman" w:hAnsi="Times New Roman" w:cs="Times New Roman"/>
          <w:noProof/>
          <w:sz w:val="22"/>
        </w:rPr>
        <w:tab/>
        <w:t xml:space="preserve">Ahrens J, Geveci B, Law C. ParaView: An end-user tool for large-data visualization. In: Visualization Handbook. 2005. </w:t>
      </w:r>
    </w:p>
    <w:p w14:paraId="4DD1E749" w14:textId="5F1B5D16" w:rsidR="00DB5522" w:rsidRPr="002B6FD2" w:rsidRDefault="00DB5522" w:rsidP="005F40E9">
      <w:pPr>
        <w:widowControl w:val="0"/>
        <w:autoSpaceDE w:val="0"/>
        <w:autoSpaceDN w:val="0"/>
        <w:adjustRightInd w:val="0"/>
        <w:spacing w:line="480" w:lineRule="auto"/>
        <w:ind w:left="640" w:hanging="640"/>
        <w:rPr>
          <w:rFonts w:ascii="Times New Roman" w:hAnsi="Times New Roman" w:cs="Times New Roman"/>
          <w:b/>
          <w:sz w:val="22"/>
          <w:lang w:val="en-US"/>
        </w:rPr>
      </w:pPr>
      <w:r>
        <w:rPr>
          <w:rFonts w:ascii="Times New Roman" w:hAnsi="Times New Roman" w:cs="Times New Roman"/>
          <w:b/>
          <w:sz w:val="22"/>
          <w:lang w:val="en-US"/>
        </w:rPr>
        <w:fldChar w:fldCharType="end"/>
      </w:r>
    </w:p>
    <w:sectPr w:rsidR="00DB5522" w:rsidRPr="002B6FD2" w:rsidSect="0032698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039"/>
    <w:rsid w:val="000431E7"/>
    <w:rsid w:val="000955CB"/>
    <w:rsid w:val="0012081A"/>
    <w:rsid w:val="001A3244"/>
    <w:rsid w:val="001B1204"/>
    <w:rsid w:val="001C7487"/>
    <w:rsid w:val="00254203"/>
    <w:rsid w:val="00260547"/>
    <w:rsid w:val="00274569"/>
    <w:rsid w:val="00296FDF"/>
    <w:rsid w:val="002B6FD2"/>
    <w:rsid w:val="00326985"/>
    <w:rsid w:val="00384A4A"/>
    <w:rsid w:val="00390696"/>
    <w:rsid w:val="003C5DD6"/>
    <w:rsid w:val="004A03AC"/>
    <w:rsid w:val="004D32B6"/>
    <w:rsid w:val="004D5DB7"/>
    <w:rsid w:val="004F4FB8"/>
    <w:rsid w:val="00522D22"/>
    <w:rsid w:val="0054100A"/>
    <w:rsid w:val="005F40E9"/>
    <w:rsid w:val="006462E8"/>
    <w:rsid w:val="00675AEB"/>
    <w:rsid w:val="007032D4"/>
    <w:rsid w:val="00730E40"/>
    <w:rsid w:val="007D697A"/>
    <w:rsid w:val="008737A5"/>
    <w:rsid w:val="008D67CE"/>
    <w:rsid w:val="009E2804"/>
    <w:rsid w:val="009F3039"/>
    <w:rsid w:val="00A10A5A"/>
    <w:rsid w:val="00A31DF3"/>
    <w:rsid w:val="00A521A5"/>
    <w:rsid w:val="00AD0FB0"/>
    <w:rsid w:val="00B31506"/>
    <w:rsid w:val="00B93F16"/>
    <w:rsid w:val="00BE1726"/>
    <w:rsid w:val="00C453D9"/>
    <w:rsid w:val="00C95569"/>
    <w:rsid w:val="00CD2C57"/>
    <w:rsid w:val="00D36039"/>
    <w:rsid w:val="00D5255A"/>
    <w:rsid w:val="00DB5522"/>
    <w:rsid w:val="00E77B77"/>
    <w:rsid w:val="00EB06EF"/>
    <w:rsid w:val="00F27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31F17"/>
  <w14:defaultImageDpi w14:val="32767"/>
  <w15:chartTrackingRefBased/>
  <w15:docId w15:val="{9A00A6C0-9744-9A43-959F-C8ED3EF9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4A4A"/>
    <w:rPr>
      <w:rFonts w:eastAsia="Times New Roman"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84A4A"/>
    <w:pPr>
      <w:spacing w:after="200"/>
    </w:pPr>
    <w:rPr>
      <w:rFonts w:eastAsia="Times New Roman" w:hAnsi="Times New Roman" w:cs="Times New Roman"/>
      <w:i/>
      <w:iCs/>
      <w:color w:val="44546A" w:themeColor="text2"/>
      <w:sz w:val="18"/>
      <w:szCs w:val="18"/>
      <w:lang w:val="en-US"/>
    </w:rPr>
  </w:style>
  <w:style w:type="character" w:styleId="CommentReference">
    <w:name w:val="annotation reference"/>
    <w:basedOn w:val="DefaultParagraphFont"/>
    <w:uiPriority w:val="99"/>
    <w:semiHidden/>
    <w:unhideWhenUsed/>
    <w:rsid w:val="00522D22"/>
    <w:rPr>
      <w:sz w:val="18"/>
      <w:szCs w:val="18"/>
    </w:rPr>
  </w:style>
  <w:style w:type="paragraph" w:styleId="CommentText">
    <w:name w:val="annotation text"/>
    <w:basedOn w:val="Normal"/>
    <w:link w:val="CommentTextChar"/>
    <w:uiPriority w:val="99"/>
    <w:unhideWhenUsed/>
    <w:rsid w:val="00522D22"/>
    <w:pPr>
      <w:spacing w:after="160"/>
    </w:pPr>
    <w:rPr>
      <w:rFonts w:eastAsia="Times New Roman" w:hAnsi="Times New Roman" w:cs="Times New Roman"/>
      <w:lang w:val="en-US"/>
    </w:rPr>
  </w:style>
  <w:style w:type="character" w:customStyle="1" w:styleId="CommentTextChar">
    <w:name w:val="Comment Text Char"/>
    <w:basedOn w:val="DefaultParagraphFont"/>
    <w:link w:val="CommentText"/>
    <w:uiPriority w:val="99"/>
    <w:rsid w:val="00522D22"/>
    <w:rPr>
      <w:rFonts w:eastAsia="Times New Roman" w:hAnsi="Times New Roman" w:cs="Times New Roman"/>
      <w:lang w:val="en-US"/>
    </w:rPr>
  </w:style>
  <w:style w:type="paragraph" w:styleId="BalloonText">
    <w:name w:val="Balloon Text"/>
    <w:basedOn w:val="Normal"/>
    <w:link w:val="BalloonTextChar"/>
    <w:uiPriority w:val="99"/>
    <w:semiHidden/>
    <w:unhideWhenUsed/>
    <w:rsid w:val="00522D2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2D22"/>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8D67CE"/>
    <w:pPr>
      <w:spacing w:after="0"/>
    </w:pPr>
    <w:rPr>
      <w:rFonts w:eastAsiaTheme="minorHAnsi" w:hAnsiTheme="minorHAnsi" w:cstheme="minorBidi"/>
      <w:b/>
      <w:bCs/>
      <w:sz w:val="20"/>
      <w:szCs w:val="20"/>
      <w:lang w:val="en-GB"/>
    </w:rPr>
  </w:style>
  <w:style w:type="character" w:customStyle="1" w:styleId="CommentSubjectChar">
    <w:name w:val="Comment Subject Char"/>
    <w:basedOn w:val="CommentTextChar"/>
    <w:link w:val="CommentSubject"/>
    <w:uiPriority w:val="99"/>
    <w:semiHidden/>
    <w:rsid w:val="008D67CE"/>
    <w:rPr>
      <w:rFonts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7B0D2-AD6D-2849-B191-7F324724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2931</Words>
  <Characters>16709</Characters>
  <Application>Microsoft Office Word</Application>
  <DocSecurity>0</DocSecurity>
  <Lines>139</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Dejea</dc:creator>
  <cp:keywords/>
  <dc:description/>
  <cp:lastModifiedBy>Hector Dejea</cp:lastModifiedBy>
  <cp:revision>7</cp:revision>
  <dcterms:created xsi:type="dcterms:W3CDTF">2018-12-18T17:20:00Z</dcterms:created>
  <dcterms:modified xsi:type="dcterms:W3CDTF">2019-11-19T12:14:00Z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http://www.zotero.org/styles/circulation</vt:lpwstr>
  </property>
  <property fmtid="{D5CDD505-2E9C-101B-9397-08002B2CF9AE}" pid="9" name="Mendeley Recent Style Name 3_1">
    <vt:lpwstr>Circulation</vt:lpwstr>
  </property>
  <property fmtid="{D5CDD505-2E9C-101B-9397-08002B2CF9AE}" pid="10" name="Mendeley Recent Style Id 4_1">
    <vt:lpwstr>http://www.zotero.org/styles/circulation-journal</vt:lpwstr>
  </property>
  <property fmtid="{D5CDD505-2E9C-101B-9397-08002B2CF9AE}" pid="11" name="Mendeley Recent Style Name 4_1">
    <vt:lpwstr>Circulation Journal</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2363cdae-aaa9-374f-9216-b52938580011</vt:lpwstr>
  </property>
  <property fmtid="{D5CDD505-2E9C-101B-9397-08002B2CF9AE}" pid="24" name="Mendeley Citation Style_1">
    <vt:lpwstr>http://www.zotero.org/styles/circulation</vt:lpwstr>
  </property>
</Properties>
</file>