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F1C84" w14:textId="77777777" w:rsidR="008213BE" w:rsidRPr="001A7CC1" w:rsidRDefault="008213BE" w:rsidP="008213BE">
      <w:pPr>
        <w:spacing w:before="120" w:after="120" w:line="360" w:lineRule="auto"/>
        <w:contextualSpacing/>
        <w:rPr>
          <w:b/>
          <w:sz w:val="32"/>
          <w:szCs w:val="32"/>
        </w:rPr>
      </w:pPr>
      <w:r>
        <w:rPr>
          <w:b/>
          <w:sz w:val="32"/>
          <w:szCs w:val="32"/>
        </w:rPr>
        <w:t xml:space="preserve">Antimicrobial activity and carbohydrate metabolism in the bacterial metagenome of the soil-living invertebrate </w:t>
      </w:r>
      <w:proofErr w:type="spellStart"/>
      <w:r>
        <w:rPr>
          <w:b/>
          <w:i/>
          <w:sz w:val="32"/>
          <w:szCs w:val="32"/>
        </w:rPr>
        <w:t>Folsomia</w:t>
      </w:r>
      <w:proofErr w:type="spellEnd"/>
      <w:r>
        <w:rPr>
          <w:b/>
          <w:i/>
          <w:sz w:val="32"/>
          <w:szCs w:val="32"/>
        </w:rPr>
        <w:t xml:space="preserve"> candida</w:t>
      </w:r>
    </w:p>
    <w:p w14:paraId="077BCC91" w14:textId="4C35D9B5" w:rsidR="008213BE" w:rsidRDefault="008213BE" w:rsidP="008213BE">
      <w:pPr>
        <w:pBdr>
          <w:top w:val="none" w:sz="0" w:space="0" w:color="auto"/>
          <w:left w:val="none" w:sz="0" w:space="0" w:color="auto"/>
          <w:bottom w:val="none" w:sz="0" w:space="0" w:color="auto"/>
          <w:right w:val="none" w:sz="0" w:space="0" w:color="auto"/>
          <w:between w:val="none" w:sz="0" w:space="0" w:color="auto"/>
        </w:pBdr>
        <w:spacing w:after="160" w:line="259" w:lineRule="auto"/>
        <w:rPr>
          <w:b/>
          <w:sz w:val="28"/>
          <w:szCs w:val="28"/>
        </w:rPr>
      </w:pPr>
      <w:r>
        <w:t xml:space="preserve">Valeria Agamennone, </w:t>
      </w:r>
      <w:proofErr w:type="spellStart"/>
      <w:r>
        <w:t>Giang</w:t>
      </w:r>
      <w:proofErr w:type="spellEnd"/>
      <w:r>
        <w:t xml:space="preserve"> </w:t>
      </w:r>
      <w:proofErr w:type="spellStart"/>
      <w:r>
        <w:t>LeNgoc</w:t>
      </w:r>
      <w:proofErr w:type="spellEnd"/>
      <w:r>
        <w:t xml:space="preserve">, Nico M. van </w:t>
      </w:r>
      <w:proofErr w:type="spellStart"/>
      <w:r>
        <w:t>Straalen</w:t>
      </w:r>
      <w:proofErr w:type="spellEnd"/>
      <w:r>
        <w:t xml:space="preserve">, Abraham Brouwer, Dick </w:t>
      </w:r>
      <w:proofErr w:type="spellStart"/>
      <w:r>
        <w:t>Roelofs</w:t>
      </w:r>
      <w:proofErr w:type="spellEnd"/>
      <w:r>
        <w:rPr>
          <w:b/>
          <w:sz w:val="28"/>
          <w:szCs w:val="28"/>
        </w:rPr>
        <w:br w:type="page"/>
      </w:r>
    </w:p>
    <w:p w14:paraId="2386355B" w14:textId="306400B4" w:rsidR="00B172FF" w:rsidRPr="003F42D4" w:rsidRDefault="00B172FF" w:rsidP="00B172FF">
      <w:pPr>
        <w:spacing w:before="120" w:after="120" w:line="360" w:lineRule="auto"/>
        <w:contextualSpacing/>
      </w:pPr>
      <w:r w:rsidRPr="003F42D4">
        <w:rPr>
          <w:b/>
          <w:sz w:val="28"/>
          <w:szCs w:val="28"/>
        </w:rPr>
        <w:lastRenderedPageBreak/>
        <w:t>Supplementary Files</w:t>
      </w:r>
    </w:p>
    <w:p w14:paraId="6EB9B042" w14:textId="77777777" w:rsidR="00B172FF" w:rsidRPr="003F42D4" w:rsidRDefault="00B172FF" w:rsidP="00B172FF">
      <w:pPr>
        <w:spacing w:before="120" w:after="120" w:line="360" w:lineRule="auto"/>
        <w:contextualSpacing/>
      </w:pPr>
      <w:bookmarkStart w:id="0" w:name="_Hlk5005690"/>
      <w:bookmarkStart w:id="1" w:name="_Hlk527019332"/>
      <w:r w:rsidRPr="003F42D4">
        <w:rPr>
          <w:b/>
        </w:rPr>
        <w:t>Supplementary Figure 1</w:t>
      </w:r>
      <w:r w:rsidRPr="003F42D4">
        <w:t>. Contig length distribution.</w:t>
      </w:r>
      <w:bookmarkEnd w:id="0"/>
    </w:p>
    <w:p w14:paraId="64ABC9C3" w14:textId="77777777" w:rsidR="00B172FF" w:rsidRPr="003F42D4" w:rsidRDefault="00B172FF" w:rsidP="00B172FF">
      <w:pPr>
        <w:spacing w:before="120" w:after="120" w:line="360" w:lineRule="auto"/>
        <w:contextualSpacing/>
      </w:pPr>
      <w:bookmarkStart w:id="2" w:name="_Hlk527019394"/>
      <w:bookmarkEnd w:id="1"/>
      <w:r w:rsidRPr="003F42D4">
        <w:rPr>
          <w:b/>
        </w:rPr>
        <w:t>Supplementary Figure 2</w:t>
      </w:r>
      <w:r w:rsidRPr="003F42D4">
        <w:t>. Identified taxonomic groups at the phylum, class and genus level.</w:t>
      </w:r>
    </w:p>
    <w:p w14:paraId="2D682C5C" w14:textId="369BCA76" w:rsidR="00B172FF" w:rsidRPr="003F42D4" w:rsidRDefault="00B172FF" w:rsidP="00B172FF">
      <w:pPr>
        <w:spacing w:before="120" w:after="120" w:line="360" w:lineRule="auto"/>
        <w:contextualSpacing/>
      </w:pPr>
      <w:bookmarkStart w:id="3" w:name="_Hlk5005877"/>
      <w:bookmarkStart w:id="4" w:name="_Hlk527019502"/>
      <w:bookmarkEnd w:id="2"/>
      <w:r w:rsidRPr="003F42D4">
        <w:rPr>
          <w:b/>
        </w:rPr>
        <w:t>Supplementary Figure 3</w:t>
      </w:r>
      <w:r w:rsidRPr="003F42D4">
        <w:t>. Diagram of the pathways involved in starch and sucrose metabolism. Pink boxes indicate the genes identified in the microbiome.</w:t>
      </w:r>
      <w:r w:rsidR="008213BE">
        <w:t xml:space="preserve"> The pathway map was obtained from the KEGG database </w:t>
      </w:r>
      <w:r w:rsidR="008213BE">
        <w:fldChar w:fldCharType="begin" w:fldLock="1"/>
      </w:r>
      <w:r w:rsidR="008213BE">
        <w:instrText>ADDIN CSL_CITATION {"citationItems":[{"id":"ITEM-1","itemData":{"DOI":"10.1093/nar/gky962","ISSN":"13624962","PMID":"30321428","abstract":"KEGG (Kyoto Encyclopedia of Genes and Genomes; https://www.kegg.jp/ or https://www.genome.jp/kegg/) is a reference knowledge base for biological interpretation of genome sequences and other high-throughput data. It is an integrated database consisting of three generic categories of systems information, genomic information and chemical information, and an additional human-specific category of health information. KEGG pathway maps, BRITE hierarchies and KEGG modules have been developed as generic molecular networks with KEGG Orthology nodes of functional orthologs so that KEGG pathway mapping and other procedures can be applied to any cellular organism. Unfortunately, however, this generic approach was inadequate for knowledge representation in the health information category, where variations of human genomes, especially disease-related variations, had to be considered. Thus, we have introduced a new approach where human gene variants are explicitly incorporated into what we call 'network variants' in the recently released KEGG NETWORK database. This allows accumulation of knowledge about disease-related perturbed molecular networks caused not only by gene variants, but also by viruses and other pathogens, environmental factors and drugs. We expect that KEGG NETWORK will become another reference knowledge base for the basic understanding of disease mechanisms and practical use in clinical sequencing and drug development.","author":[{"dropping-particle":"","family":"Kanehisa","given":"Minoru","non-dropping-particle":"","parse-names":false,"suffix":""},{"dropping-particle":"","family":"Sato","given":"Yoko","non-dropping-particle":"","parse-names":false,"suffix":""},{"dropping-particle":"","family":"Furumichi","given":"Miho","non-dropping-particle":"","parse-names":false,"suffix":""},{"dropping-particle":"","family":"Morishima","given":"Kanae","non-dropping-particle":"","parse-names":false,"suffix":""},{"dropping-particle":"","family":"Tanabe","given":"Mao","non-dropping-particle":"","parse-names":false,"suffix":""}],"container-title":"Nucleic acids research","id":"ITEM-1","issue":"D1","issued":{"date-parts":[["2019"]]},"page":"D590-D595","publisher":"Oxford University Press","title":"New approach for understanding genome variations in KEGG","type":"article-journal","volume":"47"},"uris":["http://www.mendeley.com/documents/?uuid=a4168f3f-054d-4005-9717-707c6692bf9d"]}],"mendeley":{"formattedCitation":"&lt;sup&gt;100&lt;/sup&gt;","plainTextFormattedCitation":"100"},"properties":{"noteIndex":0},"schema":"https://github.com/citation-style-language/schema/raw/master/csl-citation.json"}</w:instrText>
      </w:r>
      <w:r w:rsidR="008213BE">
        <w:fldChar w:fldCharType="separate"/>
      </w:r>
      <w:r w:rsidR="008213BE" w:rsidRPr="00D4240C">
        <w:rPr>
          <w:noProof/>
          <w:vertAlign w:val="superscript"/>
        </w:rPr>
        <w:t>100</w:t>
      </w:r>
      <w:r w:rsidR="008213BE">
        <w:fldChar w:fldCharType="end"/>
      </w:r>
      <w:r w:rsidR="008213BE">
        <w:t>.</w:t>
      </w:r>
      <w:bookmarkEnd w:id="3"/>
    </w:p>
    <w:p w14:paraId="107A9C31" w14:textId="0972C0B8" w:rsidR="00B172FF" w:rsidRPr="003F42D4" w:rsidRDefault="00B172FF" w:rsidP="00B172FF">
      <w:pPr>
        <w:spacing w:before="120" w:after="120" w:line="360" w:lineRule="auto"/>
        <w:contextualSpacing/>
      </w:pPr>
      <w:bookmarkStart w:id="5" w:name="_Hlk5005938"/>
      <w:r w:rsidRPr="003F42D4">
        <w:rPr>
          <w:b/>
        </w:rPr>
        <w:t>Supplementary Figure 4</w:t>
      </w:r>
      <w:r w:rsidRPr="003F42D4">
        <w:t xml:space="preserve">. Predicted protein structures of the top three reciprocal blast hits between the metagenome and the genome of </w:t>
      </w:r>
      <w:r w:rsidRPr="003F42D4">
        <w:rPr>
          <w:i/>
        </w:rPr>
        <w:t>F. candida</w:t>
      </w:r>
      <w:r w:rsidRPr="003F42D4">
        <w:t>, corresponding to a glycosidase</w:t>
      </w:r>
      <w:r w:rsidR="008E670F">
        <w:t xml:space="preserve"> (A)</w:t>
      </w:r>
      <w:r w:rsidRPr="003F42D4">
        <w:t xml:space="preserve">, an </w:t>
      </w:r>
      <w:proofErr w:type="spellStart"/>
      <w:r w:rsidRPr="003F42D4">
        <w:t>arabinosidase</w:t>
      </w:r>
      <w:proofErr w:type="spellEnd"/>
      <w:r w:rsidR="008E670F">
        <w:t xml:space="preserve"> (B)</w:t>
      </w:r>
      <w:r w:rsidRPr="003F42D4">
        <w:t>, an isocitrate lyase</w:t>
      </w:r>
      <w:r w:rsidR="008E670F">
        <w:t xml:space="preserve"> (C)</w:t>
      </w:r>
      <w:r w:rsidRPr="003F42D4">
        <w:t>. The predicted structures of the microbial genes are on the left, the predicted proteins of the springtail are on the right.</w:t>
      </w:r>
      <w:bookmarkEnd w:id="5"/>
      <w:r w:rsidRPr="003F42D4">
        <w:t xml:space="preserve"> </w:t>
      </w:r>
    </w:p>
    <w:bookmarkEnd w:id="4"/>
    <w:p w14:paraId="4AC6C450" w14:textId="77777777" w:rsidR="00B172FF" w:rsidRPr="003F42D4" w:rsidRDefault="00B172FF" w:rsidP="00B172FF">
      <w:pPr>
        <w:spacing w:before="120" w:after="120" w:line="360" w:lineRule="auto"/>
        <w:contextualSpacing/>
      </w:pPr>
      <w:r w:rsidRPr="003F42D4">
        <w:rPr>
          <w:b/>
        </w:rPr>
        <w:t>Supplementary Table 1</w:t>
      </w:r>
      <w:r w:rsidRPr="003F42D4">
        <w:t xml:space="preserve">. Summary of </w:t>
      </w:r>
      <w:proofErr w:type="spellStart"/>
      <w:r w:rsidRPr="003F42D4">
        <w:t>antiSMASH</w:t>
      </w:r>
      <w:proofErr w:type="spellEnd"/>
      <w:r w:rsidRPr="003F42D4">
        <w:t xml:space="preserve"> results.</w:t>
      </w:r>
    </w:p>
    <w:p w14:paraId="466619F6" w14:textId="77777777" w:rsidR="00B172FF" w:rsidRPr="003F42D4" w:rsidRDefault="00B172FF" w:rsidP="00B172FF">
      <w:pPr>
        <w:spacing w:before="120" w:after="120" w:line="360" w:lineRule="auto"/>
        <w:contextualSpacing/>
      </w:pPr>
      <w:r w:rsidRPr="003F42D4">
        <w:rPr>
          <w:b/>
        </w:rPr>
        <w:t>Supplementary File 1</w:t>
      </w:r>
      <w:r w:rsidRPr="003F42D4">
        <w:t xml:space="preserve">. List of all the predicted genes with the corresponding taxonomies (based on </w:t>
      </w:r>
      <w:proofErr w:type="spellStart"/>
      <w:r w:rsidRPr="003F42D4">
        <w:t>MetaPhlan</w:t>
      </w:r>
      <w:proofErr w:type="spellEnd"/>
      <w:r w:rsidRPr="003F42D4">
        <w:t>) and functional annotations (based on NCBI protein database).</w:t>
      </w:r>
    </w:p>
    <w:p w14:paraId="55FED798" w14:textId="77777777" w:rsidR="00B172FF" w:rsidRPr="003F42D4" w:rsidRDefault="00B172FF" w:rsidP="00B172FF">
      <w:pPr>
        <w:spacing w:before="120" w:after="120" w:line="360" w:lineRule="auto"/>
        <w:contextualSpacing/>
        <w:rPr>
          <w:b/>
        </w:rPr>
      </w:pPr>
      <w:r w:rsidRPr="003F42D4">
        <w:rPr>
          <w:b/>
        </w:rPr>
        <w:t>Supplementary File 2</w:t>
      </w:r>
      <w:r w:rsidRPr="003F42D4">
        <w:t xml:space="preserve">. Complete list of the 2 004 genes predicted to code for enzymes involved in carbohydrate metabolism. For each gene, the following information is given: Carbohydrate Active </w:t>
      </w:r>
      <w:proofErr w:type="spellStart"/>
      <w:r w:rsidRPr="003F42D4">
        <w:t>EnZyme</w:t>
      </w:r>
      <w:proofErr w:type="spellEnd"/>
      <w:r w:rsidRPr="003F42D4">
        <w:t xml:space="preserve"> (</w:t>
      </w:r>
      <w:proofErr w:type="spellStart"/>
      <w:r w:rsidRPr="003F42D4">
        <w:t>CAZy</w:t>
      </w:r>
      <w:proofErr w:type="spellEnd"/>
      <w:r w:rsidRPr="003F42D4">
        <w:t xml:space="preserve">) hit, </w:t>
      </w:r>
      <w:proofErr w:type="spellStart"/>
      <w:r w:rsidRPr="003F42D4">
        <w:t>Pfam</w:t>
      </w:r>
      <w:proofErr w:type="spellEnd"/>
      <w:r w:rsidRPr="003F42D4">
        <w:t xml:space="preserve"> (protein family), KEGG and NR (non-redundant database) annotations, taxonomic assignment, and whether the gene has a reciprocal blast hit against one of the horizontally transferred genes in </w:t>
      </w:r>
      <w:r w:rsidRPr="003F42D4">
        <w:rPr>
          <w:i/>
        </w:rPr>
        <w:t>F. candida</w:t>
      </w:r>
      <w:r w:rsidRPr="003F42D4">
        <w:t>’s genome. In this latter case, further information on the hit is given</w:t>
      </w:r>
      <w:bookmarkStart w:id="6" w:name="_GoBack"/>
      <w:bookmarkEnd w:id="6"/>
      <w:r w:rsidRPr="003F42D4">
        <w:t xml:space="preserve"> as follows: percentage identity between the metagenomic read S and the </w:t>
      </w:r>
      <w:r w:rsidRPr="003F42D4">
        <w:rPr>
          <w:i/>
        </w:rPr>
        <w:t>F. candida</w:t>
      </w:r>
      <w:r w:rsidRPr="003F42D4">
        <w:t xml:space="preserve"> contig F over the length of the coverage area; length of the coverage area; e-value of the match; bit score of the match.</w:t>
      </w:r>
    </w:p>
    <w:p w14:paraId="2CA1CB45" w14:textId="77777777" w:rsidR="00B172FF" w:rsidRPr="003F42D4" w:rsidRDefault="00B172FF" w:rsidP="00B172FF">
      <w:pPr>
        <w:spacing w:before="120" w:after="120" w:line="360" w:lineRule="auto"/>
        <w:contextualSpacing/>
        <w:rPr>
          <w:b/>
        </w:rPr>
      </w:pPr>
      <w:r w:rsidRPr="003F42D4">
        <w:rPr>
          <w:b/>
        </w:rPr>
        <w:t>Supplementary File 3</w:t>
      </w:r>
      <w:r w:rsidRPr="003F42D4">
        <w:t xml:space="preserve">. Complete list of </w:t>
      </w:r>
      <w:proofErr w:type="spellStart"/>
      <w:r w:rsidRPr="003F42D4">
        <w:t>antiSMASH</w:t>
      </w:r>
      <w:proofErr w:type="spellEnd"/>
      <w:r w:rsidRPr="003F42D4">
        <w:t xml:space="preserve"> results. For each of the 166 contigs with a hit in the </w:t>
      </w:r>
      <w:proofErr w:type="spellStart"/>
      <w:r w:rsidRPr="003F42D4">
        <w:t>antiSMASH</w:t>
      </w:r>
      <w:proofErr w:type="spellEnd"/>
      <w:r w:rsidRPr="003F42D4">
        <w:t xml:space="preserve"> database, the following information is given: the type of cluster, the specific location on the contig, the most similar known cluster (when available) and the BGC (Biosynthetic Gene Cluster) identity in the </w:t>
      </w:r>
      <w:proofErr w:type="spellStart"/>
      <w:r w:rsidRPr="003F42D4">
        <w:t>MIBiG</w:t>
      </w:r>
      <w:proofErr w:type="spellEnd"/>
      <w:r w:rsidRPr="003F42D4">
        <w:t xml:space="preserve"> (Minimum Information about a Biosynthetic Gene cluster) repository.</w:t>
      </w:r>
    </w:p>
    <w:p w14:paraId="55FFE2DE" w14:textId="363014D7" w:rsidR="00B172FF" w:rsidRPr="003F42D4" w:rsidRDefault="00B172FF" w:rsidP="00B172FF">
      <w:pPr>
        <w:spacing w:before="120" w:after="120" w:line="360" w:lineRule="auto"/>
        <w:contextualSpacing/>
      </w:pPr>
      <w:r w:rsidRPr="003F42D4">
        <w:rPr>
          <w:b/>
        </w:rPr>
        <w:t>Supplementary File 4</w:t>
      </w:r>
      <w:r w:rsidRPr="003F42D4">
        <w:t>. Complete list of the predicted genes with a hit to antibiotic resistance in the Comprehensive Antibiotic Resistance Database (CARD)</w:t>
      </w:r>
      <w:r w:rsidR="00AD5CA7">
        <w:rPr>
          <w:szCs w:val="20"/>
        </w:rPr>
        <w:fldChar w:fldCharType="begin" w:fldLock="1"/>
      </w:r>
      <w:r w:rsidR="00AD5CA7">
        <w:rPr>
          <w:szCs w:val="20"/>
        </w:rPr>
        <w:instrText>ADDIN CSL_CITATION {"citationItems":[{"id":"ITEM-1","itemData":{"DOI":"10.1093/nar/gkw1004","ISBN":"1362-4962 (Electronic)\r0305-1048 (Linking)","ISSN":"13624962","PMID":"27789705","abstract":"The Comprehensive Antibiotic Resistance Database (CARD; http://arpcard.mcmaster.ca) is a manually curated resource containing high quality reference data on the molecular basis of antimicrobial resistance (AMR), with an emphasis on the genes, proteins and mutations involved in AMR. CARD is ontologically structured, model centric, and spans the breadth of AMR drug classes and resistance mechanisms, including intrinsic, mutation-driven and acquired resistance. It is built upon the Antibiotic Resistance Ontology (ARO), a custom built, interconnected and hierarchical controlled vocabulary allowing advanced data sharing and organization. Its design allows the development of novel genome analysis tools, such as the Resistance Gene Identifier (RGI) for resistome prediction from raw genome sequence. Recent improvements include extensive curation of additional reference sequences and mutations, development of a unique Model Ontology and accompanying AMR detection models to power sequence analysis, new visualization tools, and expansion of the RGI for detection of emergent AMR threats. CARD curation is updated monthly based on an interplay of manual literature curation, computational text mining, and genome analysis.","author":[{"dropping-particle":"","family":"Jia","given":"Baofeng","non-dropping-particle":"","parse-names":false,"suffix":""},{"dropping-particle":"","family":"Raphenya","given":"Amogelang R.","non-dropping-particle":"","parse-names":false,"suffix":""},{"dropping-particle":"","family":"Alcock","given":"Brian","non-dropping-particle":"","parse-names":false,"suffix":""},{"dropping-particle":"","family":"Waglechner","given":"Nicholas","non-dropping-particle":"","parse-names":false,"suffix":""},{"dropping-particle":"","family":"Guo","given":"Peiyao","non-dropping-particle":"","parse-names":false,"suffix":""},{"dropping-particle":"","family":"Tsang","given":"Kara K.","non-dropping-particle":"","parse-names":false,"suffix":""},{"dropping-particle":"","family":"Lago","given":"Briony A.","non-dropping-particle":"","parse-names":false,"suffix":""},{"dropping-particle":"","family":"Dave","given":"Biren M.","non-dropping-particle":"","parse-names":false,"suffix":""},{"dropping-particle":"","family":"Pereira","given":"Sheldon","non-dropping-particle":"","parse-names":false,"suffix":""},{"dropping-particle":"","family":"Sharma","given":"Arjun N.","non-dropping-particle":"","parse-names":false,"suffix":""},{"dropping-particle":"","family":"Doshi","given":"Sachin","non-dropping-particle":"","parse-names":false,"suffix":""},{"dropping-particle":"","family":"Courtot","given":"M??lanie","non-dropping-particle":"","parse-names":false,"suffix":""},{"dropping-particle":"","family":"Lo","given":"Raymond","non-dropping-particle":"","parse-names":false,"suffix":""},{"dropping-particle":"","family":"Williams","given":"Laura E.","non-dropping-particle":"","parse-names":false,"suffix":""},{"dropping-particle":"","family":"Frye","given":"Jonathan G.","non-dropping-particle":"","parse-names":false,"suffix":""},{"dropping-particle":"","family":"Elsayegh","given":"Tariq","non-dropping-particle":"","parse-names":false,"suffix":""},{"dropping-particle":"","family":"Sardar","given":"Daim","non-dropping-particle":"","parse-names":false,"suffix":""},{"dropping-particle":"","family":"Westman","given":"Erin L.","non-dropping-particle":"","parse-names":false,"suffix":""},{"dropping-particle":"","family":"Pawlowski","given":"Andrew C.","non-dropping-particle":"","parse-names":false,"suffix":""},{"dropping-particle":"","family":"Johnson","given":"Timothy A.","non-dropping-particle":"","parse-names":false,"suffix":""},{"dropping-particle":"","family":"Brinkman","given":"Fiona S L","non-dropping-particle":"","parse-names":false,"suffix":""},{"dropping-particle":"","family":"Wright","given":"Gerard D.","non-dropping-particle":"","parse-names":false,"suffix":""},{"dropping-particle":"","family":"McArthur","given":"Andrew G.","non-dropping-particle":"","parse-names":false,"suffix":""}],"container-title":"Nucleic Acids Research","id":"ITEM-1","issue":"D1","issued":{"date-parts":[["2017"]]},"page":"D566-D573","title":"CARD 2017: Expansion and model-centric curation of the comprehensive antibiotic resistance database","type":"article-journal","volume":"45"},"uris":["http://www.mendeley.com/documents/?uuid=5e9f5132-bfb8-48b4-b214-ac3727d2d78a"]}],"mendeley":{"formattedCitation":"&lt;sup&gt;21&lt;/sup&gt;","plainTextFormattedCitation":"21"},"properties":{"noteIndex":0},"schema":"https://github.com/citation-style-language/schema/raw/master/csl-citation.json"}</w:instrText>
      </w:r>
      <w:r w:rsidR="00AD5CA7">
        <w:rPr>
          <w:szCs w:val="20"/>
        </w:rPr>
        <w:fldChar w:fldCharType="separate"/>
      </w:r>
      <w:r w:rsidR="00AD5CA7" w:rsidRPr="00383DB9">
        <w:rPr>
          <w:noProof/>
          <w:szCs w:val="20"/>
          <w:vertAlign w:val="superscript"/>
        </w:rPr>
        <w:t>21</w:t>
      </w:r>
      <w:r w:rsidR="00AD5CA7">
        <w:rPr>
          <w:szCs w:val="20"/>
        </w:rPr>
        <w:fldChar w:fldCharType="end"/>
      </w:r>
      <w:r w:rsidRPr="003F42D4">
        <w:t>. For each gene, the ARO (Antibiotic Resistance Ontology) accession number and the CARD classification and category are indicated.</w:t>
      </w:r>
    </w:p>
    <w:p w14:paraId="400BF963" w14:textId="5D644616" w:rsidR="0059196E" w:rsidRDefault="00B172FF" w:rsidP="00B172FF">
      <w:pPr>
        <w:spacing w:before="120" w:after="120" w:line="360" w:lineRule="auto"/>
        <w:contextualSpacing/>
      </w:pPr>
      <w:r w:rsidRPr="003F42D4">
        <w:rPr>
          <w:b/>
        </w:rPr>
        <w:t>Supplementary File 5</w:t>
      </w:r>
      <w:r w:rsidRPr="003F42D4">
        <w:t xml:space="preserve">. List of all best reciprocal hits between </w:t>
      </w:r>
      <w:proofErr w:type="spellStart"/>
      <w:r w:rsidRPr="003F42D4">
        <w:rPr>
          <w:i/>
        </w:rPr>
        <w:t>Folsomia</w:t>
      </w:r>
      <w:proofErr w:type="spellEnd"/>
      <w:r w:rsidRPr="003F42D4">
        <w:rPr>
          <w:i/>
        </w:rPr>
        <w:t xml:space="preserve"> candida</w:t>
      </w:r>
      <w:r w:rsidRPr="003F42D4">
        <w:t>’s</w:t>
      </w:r>
      <w:r w:rsidRPr="003F42D4">
        <w:rPr>
          <w:i/>
        </w:rPr>
        <w:t xml:space="preserve"> </w:t>
      </w:r>
      <w:r w:rsidRPr="003F42D4">
        <w:t xml:space="preserve">genome and metagenome that are also predicted foreign genes (HGT), including their taxonomic and functional annotation. For each match between a metagenomic sequence (S) and a </w:t>
      </w:r>
      <w:r w:rsidRPr="003F42D4">
        <w:rPr>
          <w:i/>
        </w:rPr>
        <w:t>F. candida</w:t>
      </w:r>
      <w:r w:rsidRPr="003F42D4">
        <w:t xml:space="preserve">’s contig (F) the following information is given for the reciprocal comparison (S versus F and F versus S): percentage identity between the metagenomic read and the </w:t>
      </w:r>
      <w:r w:rsidRPr="003F42D4">
        <w:rPr>
          <w:i/>
        </w:rPr>
        <w:t>F. candida</w:t>
      </w:r>
      <w:r w:rsidRPr="003F42D4">
        <w:t xml:space="preserve"> contig over the length of the coverage area; length of the coverage area; e-value of the match; bit score of the match.</w:t>
      </w:r>
    </w:p>
    <w:sectPr w:rsidR="0059196E" w:rsidSect="009A5343">
      <w:footerReference w:type="default" r:id="rId7"/>
      <w:pgSz w:w="11906" w:h="16838"/>
      <w:pgMar w:top="1417" w:right="1417" w:bottom="1417" w:left="1417" w:header="360" w:footer="708"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71640" w14:textId="77777777" w:rsidR="00AA1218" w:rsidRDefault="008E670F">
      <w:pPr>
        <w:spacing w:after="0" w:line="240" w:lineRule="auto"/>
      </w:pPr>
      <w:r>
        <w:separator/>
      </w:r>
    </w:p>
  </w:endnote>
  <w:endnote w:type="continuationSeparator" w:id="0">
    <w:p w14:paraId="786A029F" w14:textId="77777777" w:rsidR="00AA1218" w:rsidRDefault="008E6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647048"/>
      <w:docPartObj>
        <w:docPartGallery w:val="Page Numbers (Bottom of Page)"/>
        <w:docPartUnique/>
      </w:docPartObj>
    </w:sdtPr>
    <w:sdtEndPr>
      <w:rPr>
        <w:noProof/>
      </w:rPr>
    </w:sdtEndPr>
    <w:sdtContent>
      <w:p w14:paraId="6222390E" w14:textId="77777777" w:rsidR="00547278" w:rsidRDefault="003F42D4">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55F3A7D9" w14:textId="77777777" w:rsidR="00547278" w:rsidRDefault="00A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95BD0" w14:textId="77777777" w:rsidR="00AA1218" w:rsidRDefault="008E670F">
      <w:pPr>
        <w:spacing w:after="0" w:line="240" w:lineRule="auto"/>
      </w:pPr>
      <w:r>
        <w:separator/>
      </w:r>
    </w:p>
  </w:footnote>
  <w:footnote w:type="continuationSeparator" w:id="0">
    <w:p w14:paraId="667911E8" w14:textId="77777777" w:rsidR="00AA1218" w:rsidRDefault="008E6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43"/>
    <w:rsid w:val="00134A98"/>
    <w:rsid w:val="0020285C"/>
    <w:rsid w:val="003F42D4"/>
    <w:rsid w:val="0059196E"/>
    <w:rsid w:val="008213BE"/>
    <w:rsid w:val="008D424C"/>
    <w:rsid w:val="008E670F"/>
    <w:rsid w:val="00AA1218"/>
    <w:rsid w:val="00AD5CA7"/>
    <w:rsid w:val="00B172FF"/>
    <w:rsid w:val="00F46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DD64"/>
  <w15:chartTrackingRefBased/>
  <w15:docId w15:val="{0911229C-5271-4E4E-BAFE-D27D621B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172FF"/>
    <w:pPr>
      <w:pBdr>
        <w:top w:val="nil"/>
        <w:left w:val="nil"/>
        <w:bottom w:val="nil"/>
        <w:right w:val="nil"/>
        <w:between w:val="nil"/>
      </w:pBdr>
      <w:spacing w:after="200" w:line="276" w:lineRule="auto"/>
    </w:pPr>
    <w:rPr>
      <w:rFonts w:ascii="Calibri" w:eastAsia="Calibri" w:hAnsi="Calibri" w:cs="Calibri"/>
      <w:color w:val="00000A"/>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17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2FF"/>
    <w:rPr>
      <w:rFonts w:ascii="Calibri" w:eastAsia="Calibri" w:hAnsi="Calibri" w:cs="Calibri"/>
      <w:color w:val="00000A"/>
      <w:lang w:val="en-US" w:eastAsia="nl-NL"/>
    </w:rPr>
  </w:style>
  <w:style w:type="character" w:styleId="LineNumber">
    <w:name w:val="line number"/>
    <w:basedOn w:val="DefaultParagraphFont"/>
    <w:uiPriority w:val="99"/>
    <w:semiHidden/>
    <w:unhideWhenUsed/>
    <w:rsid w:val="00B17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6AC9-D543-4F11-AB2C-54005829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1604</Words>
  <Characters>9033</Characters>
  <Application>Microsoft Office Word</Application>
  <DocSecurity>0</DocSecurity>
  <Lines>127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Agamennone, V. (Valeria)</dc:creator>
  <cp:keywords/>
  <dc:description/>
  <cp:lastModifiedBy>Agamennone, V. (Valeria)</cp:lastModifiedBy>
  <cp:revision>6</cp:revision>
  <dcterms:created xsi:type="dcterms:W3CDTF">2019-03-21T13:39:00Z</dcterms:created>
  <dcterms:modified xsi:type="dcterms:W3CDTF">2019-04-04T11:51:00Z</dcterms:modified>
</cp:coreProperties>
</file>