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BFC" w:rsidRPr="00890B69" w:rsidRDefault="009E5BFC" w:rsidP="009E5BFC">
      <w:pPr>
        <w:spacing w:after="0" w:line="360" w:lineRule="auto"/>
        <w:jc w:val="both"/>
        <w:rPr>
          <w:rFonts w:ascii="Arial" w:hAnsi="Arial" w:cs="Arial"/>
          <w:lang w:val="en-GB"/>
        </w:rPr>
      </w:pPr>
      <w:r w:rsidRPr="00890B69">
        <w:rPr>
          <w:rFonts w:ascii="Arial" w:hAnsi="Arial" w:cs="Arial"/>
          <w:b/>
          <w:lang w:val="en-GB"/>
        </w:rPr>
        <w:t xml:space="preserve">A </w:t>
      </w:r>
      <w:proofErr w:type="spellStart"/>
      <w:r w:rsidRPr="00890B69">
        <w:rPr>
          <w:rFonts w:ascii="Arial" w:hAnsi="Arial" w:cs="Arial"/>
          <w:b/>
          <w:lang w:val="en-GB"/>
        </w:rPr>
        <w:t>Pavlovian</w:t>
      </w:r>
      <w:proofErr w:type="spellEnd"/>
      <w:r w:rsidRPr="00890B69">
        <w:rPr>
          <w:rFonts w:ascii="Arial" w:hAnsi="Arial" w:cs="Arial"/>
          <w:b/>
          <w:lang w:val="en-GB"/>
        </w:rPr>
        <w:t xml:space="preserve"> account for paradoxical effects of motivation on controlling response vigour</w:t>
      </w:r>
    </w:p>
    <w:p w:rsidR="009E5BFC" w:rsidRPr="00890B69" w:rsidRDefault="009E5BFC" w:rsidP="009E5BFC">
      <w:pPr>
        <w:spacing w:line="360" w:lineRule="auto"/>
        <w:jc w:val="both"/>
        <w:rPr>
          <w:rFonts w:ascii="Arial" w:hAnsi="Arial" w:cs="Arial"/>
          <w:lang w:val="en-GB"/>
        </w:rPr>
      </w:pPr>
    </w:p>
    <w:p w:rsidR="009E5BFC" w:rsidRPr="00323723" w:rsidRDefault="009E5BFC" w:rsidP="009E5BFC">
      <w:pPr>
        <w:spacing w:line="360" w:lineRule="auto"/>
        <w:jc w:val="both"/>
        <w:rPr>
          <w:rFonts w:ascii="Arial" w:hAnsi="Arial" w:cs="Arial"/>
          <w:lang w:val="fr-FR"/>
        </w:rPr>
      </w:pPr>
      <w:r w:rsidRPr="00323723">
        <w:rPr>
          <w:rFonts w:ascii="Arial" w:hAnsi="Arial" w:cs="Arial"/>
          <w:lang w:val="fr-FR"/>
        </w:rPr>
        <w:t>Delphine Oudiette</w:t>
      </w:r>
      <w:r w:rsidRPr="00323723">
        <w:rPr>
          <w:rFonts w:ascii="Arial" w:hAnsi="Arial" w:cs="Arial"/>
          <w:vertAlign w:val="superscript"/>
          <w:lang w:val="fr-FR"/>
        </w:rPr>
        <w:t>1</w:t>
      </w:r>
      <w:proofErr w:type="gramStart"/>
      <w:r w:rsidRPr="00323723">
        <w:rPr>
          <w:rFonts w:ascii="Arial" w:hAnsi="Arial" w:cs="Arial"/>
          <w:vertAlign w:val="superscript"/>
          <w:lang w:val="fr-FR"/>
        </w:rPr>
        <w:t>,2</w:t>
      </w:r>
      <w:proofErr w:type="gramEnd"/>
      <w:r w:rsidRPr="00323723">
        <w:rPr>
          <w:rFonts w:ascii="Arial" w:hAnsi="Arial" w:cs="Arial"/>
          <w:vertAlign w:val="superscript"/>
          <w:lang w:val="fr-FR"/>
        </w:rPr>
        <w:t>*</w:t>
      </w:r>
      <w:r w:rsidRPr="00323723">
        <w:rPr>
          <w:rFonts w:ascii="Arial" w:hAnsi="Arial" w:cs="Arial"/>
          <w:lang w:val="fr-FR"/>
        </w:rPr>
        <w:t>, Fabien Vinckier</w:t>
      </w:r>
      <w:r w:rsidRPr="00323723">
        <w:rPr>
          <w:rFonts w:ascii="Arial" w:hAnsi="Arial" w:cs="Arial"/>
          <w:vertAlign w:val="superscript"/>
          <w:lang w:val="fr-FR"/>
        </w:rPr>
        <w:t>1,3</w:t>
      </w:r>
      <w:r w:rsidRPr="00323723">
        <w:rPr>
          <w:rFonts w:ascii="Arial" w:hAnsi="Arial" w:cs="Arial"/>
          <w:lang w:val="fr-FR"/>
        </w:rPr>
        <w:t>, Emmanuelle Bioud</w:t>
      </w:r>
      <w:r w:rsidRPr="00323723">
        <w:rPr>
          <w:rFonts w:ascii="Arial" w:hAnsi="Arial" w:cs="Arial"/>
          <w:vertAlign w:val="superscript"/>
          <w:lang w:val="fr-FR"/>
        </w:rPr>
        <w:t>1</w:t>
      </w:r>
      <w:r w:rsidRPr="00323723">
        <w:rPr>
          <w:rFonts w:ascii="Arial" w:hAnsi="Arial" w:cs="Arial"/>
          <w:lang w:val="fr-FR"/>
        </w:rPr>
        <w:t>, Mathias Pessiglione</w:t>
      </w:r>
      <w:r w:rsidRPr="00323723">
        <w:rPr>
          <w:rFonts w:ascii="Arial" w:hAnsi="Arial" w:cs="Arial"/>
          <w:vertAlign w:val="superscript"/>
          <w:lang w:val="fr-FR"/>
        </w:rPr>
        <w:t>1*</w:t>
      </w:r>
    </w:p>
    <w:p w:rsidR="009E5BFC" w:rsidRPr="00323723" w:rsidRDefault="009E5BFC" w:rsidP="009E5BFC">
      <w:pPr>
        <w:spacing w:line="360" w:lineRule="auto"/>
        <w:jc w:val="both"/>
        <w:rPr>
          <w:rFonts w:ascii="Arial" w:hAnsi="Arial" w:cs="Arial"/>
          <w:lang w:val="fr-FR"/>
        </w:rPr>
      </w:pPr>
    </w:p>
    <w:p w:rsidR="009E5BFC" w:rsidRPr="00323723" w:rsidRDefault="009E5BFC" w:rsidP="009E5BFC">
      <w:pPr>
        <w:spacing w:line="360" w:lineRule="auto"/>
        <w:jc w:val="both"/>
        <w:rPr>
          <w:rFonts w:ascii="Arial" w:hAnsi="Arial" w:cs="Arial"/>
          <w:lang w:val="fr-FR"/>
        </w:rPr>
      </w:pPr>
      <w:r w:rsidRPr="00323723">
        <w:rPr>
          <w:rFonts w:ascii="Arial" w:hAnsi="Arial" w:cs="Arial"/>
          <w:vertAlign w:val="superscript"/>
          <w:lang w:val="fr-FR"/>
        </w:rPr>
        <w:t>1</w:t>
      </w:r>
      <w:r w:rsidRPr="00323723">
        <w:rPr>
          <w:rFonts w:ascii="Arial" w:hAnsi="Arial" w:cs="Arial"/>
          <w:lang w:val="fr-FR"/>
        </w:rPr>
        <w:t xml:space="preserve"> Motivation, </w:t>
      </w:r>
      <w:proofErr w:type="spellStart"/>
      <w:r w:rsidRPr="00323723">
        <w:rPr>
          <w:rFonts w:ascii="Arial" w:hAnsi="Arial" w:cs="Arial"/>
          <w:lang w:val="fr-FR"/>
        </w:rPr>
        <w:t>Brain</w:t>
      </w:r>
      <w:proofErr w:type="spellEnd"/>
      <w:r w:rsidRPr="00323723">
        <w:rPr>
          <w:rFonts w:ascii="Arial" w:hAnsi="Arial" w:cs="Arial"/>
          <w:lang w:val="fr-FR"/>
        </w:rPr>
        <w:t xml:space="preserve"> and </w:t>
      </w:r>
      <w:proofErr w:type="spellStart"/>
      <w:r w:rsidRPr="00323723">
        <w:rPr>
          <w:rFonts w:ascii="Arial" w:hAnsi="Arial" w:cs="Arial"/>
          <w:lang w:val="fr-FR"/>
        </w:rPr>
        <w:t>Behavior</w:t>
      </w:r>
      <w:proofErr w:type="spellEnd"/>
      <w:r w:rsidRPr="00323723">
        <w:rPr>
          <w:rFonts w:ascii="Arial" w:hAnsi="Arial" w:cs="Arial"/>
          <w:lang w:val="fr-FR"/>
        </w:rPr>
        <w:t xml:space="preserve"> </w:t>
      </w:r>
      <w:proofErr w:type="spellStart"/>
      <w:r w:rsidRPr="00323723">
        <w:rPr>
          <w:rFonts w:ascii="Arial" w:hAnsi="Arial" w:cs="Arial"/>
          <w:lang w:val="fr-FR"/>
        </w:rPr>
        <w:t>lab</w:t>
      </w:r>
      <w:proofErr w:type="spellEnd"/>
      <w:r w:rsidRPr="00323723">
        <w:rPr>
          <w:rFonts w:ascii="Arial" w:hAnsi="Arial" w:cs="Arial"/>
          <w:lang w:val="fr-FR"/>
        </w:rPr>
        <w:t>, Institut du Cerveau et de la Moelle épinière (ICM); Inserm U1127 ; CNRS U7225 ; Sorbonne Universités, Paris, France</w:t>
      </w:r>
    </w:p>
    <w:p w:rsidR="009E5BFC" w:rsidRPr="00323723" w:rsidRDefault="009E5BFC" w:rsidP="009E5BFC">
      <w:pPr>
        <w:spacing w:line="360" w:lineRule="auto"/>
        <w:jc w:val="both"/>
        <w:rPr>
          <w:rFonts w:ascii="Arial" w:hAnsi="Arial" w:cs="Arial"/>
          <w:lang w:val="fr-FR"/>
        </w:rPr>
      </w:pPr>
      <w:r w:rsidRPr="00323723">
        <w:rPr>
          <w:rFonts w:ascii="Arial" w:hAnsi="Arial" w:cs="Arial"/>
          <w:vertAlign w:val="superscript"/>
          <w:lang w:val="fr-FR"/>
        </w:rPr>
        <w:t>2</w:t>
      </w:r>
      <w:r w:rsidRPr="00323723">
        <w:rPr>
          <w:rFonts w:ascii="Arial" w:hAnsi="Arial" w:cs="Arial"/>
          <w:lang w:val="fr-FR"/>
        </w:rPr>
        <w:t xml:space="preserve"> Unité des Pathologies du Sommeil, Hôpital de la </w:t>
      </w:r>
      <w:proofErr w:type="spellStart"/>
      <w:r w:rsidRPr="00323723">
        <w:rPr>
          <w:rFonts w:ascii="Arial" w:hAnsi="Arial" w:cs="Arial"/>
          <w:lang w:val="fr-FR"/>
        </w:rPr>
        <w:t>Pitié-Salpétrière</w:t>
      </w:r>
      <w:proofErr w:type="spellEnd"/>
      <w:r w:rsidRPr="00323723">
        <w:rPr>
          <w:rFonts w:ascii="Arial" w:hAnsi="Arial" w:cs="Arial"/>
          <w:lang w:val="fr-FR"/>
        </w:rPr>
        <w:t>, Assistance Publique - Hôpitaux de Paris, France</w:t>
      </w:r>
    </w:p>
    <w:p w:rsidR="009E5BFC" w:rsidRPr="00323723" w:rsidRDefault="009E5BFC" w:rsidP="009E5BFC">
      <w:pPr>
        <w:spacing w:after="240" w:line="360" w:lineRule="auto"/>
        <w:jc w:val="both"/>
        <w:rPr>
          <w:rFonts w:ascii="Arial" w:hAnsi="Arial" w:cs="Arial"/>
          <w:lang w:val="fr-FR"/>
        </w:rPr>
      </w:pPr>
      <w:r w:rsidRPr="00323723">
        <w:rPr>
          <w:rFonts w:ascii="Arial" w:hAnsi="Arial" w:cs="Arial"/>
          <w:vertAlign w:val="superscript"/>
          <w:lang w:val="fr-FR"/>
        </w:rPr>
        <w:t>3</w:t>
      </w:r>
      <w:r w:rsidRPr="00323723">
        <w:rPr>
          <w:rFonts w:ascii="Arial" w:hAnsi="Arial" w:cs="Arial"/>
          <w:lang w:val="fr-FR"/>
        </w:rPr>
        <w:t xml:space="preserve"> Département de Psychiatrie, Service </w:t>
      </w:r>
      <w:proofErr w:type="spellStart"/>
      <w:r w:rsidRPr="00323723">
        <w:rPr>
          <w:rFonts w:ascii="Arial" w:hAnsi="Arial" w:cs="Arial"/>
          <w:lang w:val="fr-FR"/>
        </w:rPr>
        <w:t>Hospitalo-Universitaire</w:t>
      </w:r>
      <w:proofErr w:type="spellEnd"/>
      <w:r w:rsidRPr="00323723">
        <w:rPr>
          <w:rFonts w:ascii="Arial" w:hAnsi="Arial" w:cs="Arial"/>
          <w:lang w:val="fr-FR"/>
        </w:rPr>
        <w:t>, Centre Hospitalier Sainte-Anne</w:t>
      </w:r>
    </w:p>
    <w:p w:rsidR="009E5BFC" w:rsidRPr="00323723" w:rsidRDefault="009E5BFC" w:rsidP="009E5BFC">
      <w:pPr>
        <w:spacing w:after="240" w:line="360" w:lineRule="auto"/>
        <w:jc w:val="both"/>
        <w:rPr>
          <w:rFonts w:ascii="Arial" w:hAnsi="Arial" w:cs="Arial"/>
          <w:lang w:val="fr-FR"/>
        </w:rPr>
      </w:pPr>
    </w:p>
    <w:p w:rsidR="009E5BFC" w:rsidRPr="00890B69" w:rsidRDefault="009E5BFC" w:rsidP="009E5BFC">
      <w:pPr>
        <w:spacing w:after="240" w:line="360" w:lineRule="auto"/>
        <w:jc w:val="both"/>
        <w:rPr>
          <w:rFonts w:ascii="Arial" w:hAnsi="Arial" w:cs="Arial"/>
          <w:lang w:val="en-GB"/>
        </w:rPr>
      </w:pPr>
      <w:r w:rsidRPr="00890B69">
        <w:rPr>
          <w:rFonts w:ascii="Arial" w:hAnsi="Arial" w:cs="Arial"/>
          <w:vertAlign w:val="superscript"/>
          <w:lang w:val="en-GB"/>
        </w:rPr>
        <w:t xml:space="preserve">* </w:t>
      </w:r>
      <w:r w:rsidRPr="00890B69">
        <w:rPr>
          <w:rFonts w:ascii="Arial" w:hAnsi="Arial" w:cs="Arial"/>
          <w:b/>
          <w:lang w:val="en-GB"/>
        </w:rPr>
        <w:t>Corresponding authors</w:t>
      </w:r>
      <w:r w:rsidRPr="00890B69">
        <w:rPr>
          <w:rFonts w:ascii="Arial" w:hAnsi="Arial" w:cs="Arial"/>
          <w:lang w:val="en-GB"/>
        </w:rPr>
        <w:t xml:space="preserve">: </w:t>
      </w:r>
      <w:hyperlink r:id="rId5" w:history="1">
        <w:r w:rsidRPr="00890B69">
          <w:rPr>
            <w:rStyle w:val="Hyperlink"/>
            <w:rFonts w:ascii="Arial" w:hAnsi="Arial" w:cs="Arial"/>
            <w:lang w:val="en-GB"/>
          </w:rPr>
          <w:t>delphine.oudiette@gmail.com</w:t>
        </w:r>
      </w:hyperlink>
      <w:r w:rsidRPr="00890B69">
        <w:rPr>
          <w:rFonts w:ascii="Arial" w:hAnsi="Arial" w:cs="Arial"/>
          <w:lang w:val="en-GB"/>
        </w:rPr>
        <w:t>, mathias.pessiglione@gmail.com</w:t>
      </w:r>
    </w:p>
    <w:p w:rsidR="009E5BFC" w:rsidRDefault="009E5BFC">
      <w:pPr>
        <w:rPr>
          <w:rFonts w:ascii="Arial" w:hAnsi="Arial" w:cs="Arial"/>
          <w:b/>
          <w:lang w:val="en-GB"/>
        </w:rPr>
      </w:pPr>
      <w:r>
        <w:rPr>
          <w:rFonts w:ascii="Arial" w:hAnsi="Arial" w:cs="Arial"/>
          <w:b/>
          <w:lang w:val="en-GB"/>
        </w:rPr>
        <w:br w:type="page"/>
      </w:r>
    </w:p>
    <w:p w:rsidR="00B927FA" w:rsidRDefault="00B927FA" w:rsidP="00B927FA">
      <w:pPr>
        <w:spacing w:after="160" w:line="259" w:lineRule="auto"/>
        <w:jc w:val="both"/>
        <w:rPr>
          <w:rFonts w:ascii="Arial" w:hAnsi="Arial" w:cs="Arial"/>
          <w:b/>
        </w:rPr>
      </w:pPr>
      <w:r>
        <w:rPr>
          <w:rFonts w:ascii="Arial" w:hAnsi="Arial" w:cs="Arial"/>
          <w:b/>
        </w:rPr>
        <w:lastRenderedPageBreak/>
        <w:t>Supplementary Figure legends</w:t>
      </w:r>
    </w:p>
    <w:p w:rsidR="00B927FA" w:rsidRDefault="00B927FA" w:rsidP="00B927FA">
      <w:pPr>
        <w:spacing w:after="160" w:line="259" w:lineRule="auto"/>
        <w:jc w:val="both"/>
        <w:rPr>
          <w:rFonts w:ascii="Arial" w:hAnsi="Arial" w:cs="Arial"/>
          <w:b/>
        </w:rPr>
      </w:pPr>
      <w:r>
        <w:rPr>
          <w:rFonts w:ascii="Arial" w:hAnsi="Arial" w:cs="Arial"/>
          <w:b/>
          <w:noProof/>
          <w:lang w:val="fr-FR" w:eastAsia="fr-FR"/>
        </w:rPr>
        <w:drawing>
          <wp:inline distT="0" distB="0" distL="0" distR="0">
            <wp:extent cx="5760720" cy="4930140"/>
            <wp:effectExtent l="19050" t="0" r="0" b="0"/>
            <wp:docPr id="5" name="Picture 4" descr="Supp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1.jpg"/>
                    <pic:cNvPicPr/>
                  </pic:nvPicPr>
                  <pic:blipFill>
                    <a:blip r:embed="rId6" cstate="print"/>
                    <a:stretch>
                      <a:fillRect/>
                    </a:stretch>
                  </pic:blipFill>
                  <pic:spPr>
                    <a:xfrm>
                      <a:off x="0" y="0"/>
                      <a:ext cx="5760720" cy="4930140"/>
                    </a:xfrm>
                    <a:prstGeom prst="rect">
                      <a:avLst/>
                    </a:prstGeom>
                  </pic:spPr>
                </pic:pic>
              </a:graphicData>
            </a:graphic>
          </wp:inline>
        </w:drawing>
      </w:r>
    </w:p>
    <w:p w:rsidR="00B927FA" w:rsidRDefault="00B927FA" w:rsidP="00B927FA">
      <w:pPr>
        <w:spacing w:after="160" w:line="259" w:lineRule="auto"/>
        <w:jc w:val="both"/>
        <w:rPr>
          <w:rFonts w:ascii="Arial" w:hAnsi="Arial" w:cs="Arial"/>
          <w:b/>
        </w:rPr>
      </w:pPr>
      <w:r>
        <w:rPr>
          <w:rFonts w:ascii="Arial" w:hAnsi="Arial" w:cs="Arial"/>
          <w:b/>
        </w:rPr>
        <w:t>Sup Figure 1</w:t>
      </w:r>
      <w:r w:rsidRPr="00CD27FD">
        <w:rPr>
          <w:rFonts w:ascii="Arial" w:hAnsi="Arial" w:cs="Arial"/>
          <w:b/>
        </w:rPr>
        <w:t xml:space="preserve">. </w:t>
      </w:r>
      <w:r>
        <w:rPr>
          <w:rFonts w:ascii="Arial" w:hAnsi="Arial" w:cs="Arial"/>
          <w:b/>
        </w:rPr>
        <w:t>Influence of gain and loss prospects on force precision (Exp 4)</w:t>
      </w:r>
    </w:p>
    <w:p w:rsidR="00B927FA" w:rsidRPr="009C3A44" w:rsidRDefault="00B927FA" w:rsidP="00B927FA">
      <w:pPr>
        <w:spacing w:after="160" w:line="259" w:lineRule="auto"/>
        <w:jc w:val="both"/>
        <w:rPr>
          <w:rFonts w:ascii="Arial" w:hAnsi="Arial" w:cs="Arial"/>
        </w:rPr>
      </w:pPr>
      <w:r w:rsidRPr="009C3A44">
        <w:rPr>
          <w:rFonts w:ascii="Arial" w:hAnsi="Arial" w:cs="Arial"/>
        </w:rPr>
        <w:t xml:space="preserve">Details about task design can be found </w:t>
      </w:r>
      <w:r w:rsidRPr="00CA491A">
        <w:rPr>
          <w:rFonts w:ascii="Arial" w:hAnsi="Arial" w:cs="Arial"/>
        </w:rPr>
        <w:t xml:space="preserve">in </w:t>
      </w:r>
      <w:proofErr w:type="spellStart"/>
      <w:r w:rsidRPr="00CA491A">
        <w:rPr>
          <w:rFonts w:ascii="Arial" w:hAnsi="Arial" w:cs="Arial"/>
        </w:rPr>
        <w:t>Vinckier</w:t>
      </w:r>
      <w:proofErr w:type="spellEnd"/>
      <w:r w:rsidRPr="00CA491A">
        <w:rPr>
          <w:rFonts w:ascii="Arial" w:hAnsi="Arial" w:cs="Arial"/>
        </w:rPr>
        <w:t xml:space="preserve"> et </w:t>
      </w:r>
      <w:r w:rsidRPr="00F46503">
        <w:rPr>
          <w:rFonts w:ascii="Arial" w:hAnsi="Arial" w:cs="Arial"/>
          <w:i/>
        </w:rPr>
        <w:t>al</w:t>
      </w:r>
      <w:r w:rsidRPr="00CA491A">
        <w:rPr>
          <w:rFonts w:ascii="Arial" w:hAnsi="Arial" w:cs="Arial"/>
        </w:rPr>
        <w:t xml:space="preserve">., 2018 </w:t>
      </w:r>
      <w:r w:rsidR="00784FD3" w:rsidRPr="00CA491A">
        <w:rPr>
          <w:rFonts w:ascii="Arial" w:hAnsi="Arial" w:cs="Arial"/>
        </w:rPr>
        <w:fldChar w:fldCharType="begin"/>
      </w:r>
      <w:r w:rsidRPr="00CA491A">
        <w:rPr>
          <w:rFonts w:ascii="Arial" w:hAnsi="Arial" w:cs="Arial"/>
        </w:rPr>
        <w:instrText xml:space="preserve"> </w:instrText>
      </w:r>
      <w:r>
        <w:rPr>
          <w:rFonts w:ascii="Arial" w:hAnsi="Arial" w:cs="Arial"/>
        </w:rPr>
        <w:instrText>ADDIN</w:instrText>
      </w:r>
      <w:r w:rsidRPr="00CA491A">
        <w:rPr>
          <w:rFonts w:ascii="Arial" w:hAnsi="Arial" w:cs="Arial"/>
        </w:rPr>
        <w:instrText xml:space="preserve"> ZOTERO_ITEM CSL_CITATION {"citationID":"rccX9zOw","properties":{"formattedCitation":"\\super 31\\nosupersub{}","plainCitation":"31","noteIndex":0},"citationItems":[{"id":546,"uris":["http://zotero.org/users/local/gBSeuGBa/items/4EVVND3K"],"uri":["http://zotero.org/users/local/gBSeuGBa/items/4EVVND3K"],"itemData":{"id":546,"type":"article-journal","title":"Neuro-computational account of how mood fluctuations arise and affect decision making","container-title":"Nature Communications","page":"1708","volume":"9","issue":"1","source":"PubMed","abstract":"The influence of mood on choices is a well-established but poorly understood phenomenon. Here, we suggest a three-fold neuro-computational account: (1) the integration of positive and negative events over time induce mood fluctuations, (2) which are underpinned by variations in the baseline activities of critical brain valuation regions, (3) which in turn modulate the relative weights assigned to key dimensions of choice options. We validate this model in healthy participants, using feedback in a quiz task to induce mood fluctuations, and a choice task (accepting vs. declining a motor challenge) to reveal their effects. Using fMRI, we demonstrate the pivotal role of the ventromedial prefrontal cortex and anterior insula, in which baseline activities respectively increase and decrease with theoretical mood level and respectively enhance the weighting of potential gains and losses during decision making. The same mechanisms might explain how decisions are biased in mood disorders at longer timescales.","DOI":"10.1038/s41467-018-03774-z","ISSN":"2041-1723","note":"PMID: 29700303\nPMCID: PMC5919935","journalAbbreviation":"Nat Commun","language":"eng","author":[{"family":"Vinckier","given":"Fabien"},{"family":"Rigoux","given":"Lionel"},{"family":"Oudiette","given":"Delphine"},{"family":"Pessiglione","given":"Mathias"}],"issued":{"date-parts":[["2018",4,26]]}}}],"schema":"https://github.com/citation-style-language/schema/raw/master/csl-citation.json"} </w:instrText>
      </w:r>
      <w:r w:rsidR="00784FD3" w:rsidRPr="00CA491A">
        <w:rPr>
          <w:rFonts w:ascii="Arial" w:hAnsi="Arial" w:cs="Arial"/>
        </w:rPr>
        <w:fldChar w:fldCharType="separate"/>
      </w:r>
      <w:r w:rsidRPr="00CA491A">
        <w:rPr>
          <w:rFonts w:ascii="Arial" w:hAnsi="Arial" w:cs="Arial"/>
          <w:szCs w:val="24"/>
          <w:vertAlign w:val="superscript"/>
        </w:rPr>
        <w:t>31</w:t>
      </w:r>
      <w:r w:rsidR="00784FD3" w:rsidRPr="00CA491A">
        <w:rPr>
          <w:rFonts w:ascii="Arial" w:hAnsi="Arial" w:cs="Arial"/>
        </w:rPr>
        <w:fldChar w:fldCharType="end"/>
      </w:r>
      <w:r w:rsidRPr="00CA491A">
        <w:rPr>
          <w:rFonts w:ascii="Arial" w:hAnsi="Arial" w:cs="Arial"/>
        </w:rPr>
        <w:t>.</w:t>
      </w:r>
    </w:p>
    <w:p w:rsidR="00B927FA" w:rsidRDefault="00B927FA" w:rsidP="00B927FA">
      <w:pPr>
        <w:pStyle w:val="ListParagraph"/>
        <w:numPr>
          <w:ilvl w:val="0"/>
          <w:numId w:val="1"/>
        </w:numPr>
        <w:spacing w:after="160" w:line="259" w:lineRule="auto"/>
        <w:jc w:val="both"/>
        <w:rPr>
          <w:rFonts w:ascii="Arial" w:hAnsi="Arial" w:cs="Arial"/>
        </w:rPr>
      </w:pPr>
      <w:r>
        <w:rPr>
          <w:rFonts w:ascii="Arial" w:hAnsi="Arial" w:cs="Arial"/>
        </w:rPr>
        <w:t xml:space="preserve">Example trial. Participants (n=61) performed two unrelated but interleaved tasks. The first was a cultural quiz, irrelevant to the present topic. The second involved both choice and force production, and can be considered as a variant of the motor precision tasks presented in the main text. Critical differences were that 1) due to the presence of a quiz task, and a rest period between the two tasks, force exertion was less frequent (one trial every 30 s on average), 2) the force target was always low (25% of maximal force), 3) the outcome was binary, depending upon whether force peak was within a force window around the target, 4) task difficulty (size of target window) was manipulated in addition to potential gain in case of success (10-cent coin images) and potential loss in case of failure (crossed coins), 5) participants could accept or decline the motor challenge, 6) there was no subjective estimation of force produced. </w:t>
      </w:r>
    </w:p>
    <w:p w:rsidR="00B927FA" w:rsidRDefault="00B927FA" w:rsidP="00B927FA">
      <w:pPr>
        <w:pStyle w:val="ListParagraph"/>
        <w:numPr>
          <w:ilvl w:val="0"/>
          <w:numId w:val="1"/>
        </w:numPr>
        <w:spacing w:after="160" w:line="259" w:lineRule="auto"/>
        <w:jc w:val="both"/>
        <w:rPr>
          <w:rFonts w:ascii="Arial" w:hAnsi="Arial" w:cs="Arial"/>
        </w:rPr>
      </w:pPr>
      <w:r>
        <w:rPr>
          <w:rFonts w:ascii="Arial" w:hAnsi="Arial" w:cs="Arial"/>
        </w:rPr>
        <w:t xml:space="preserve">Variations of peak force as a function of both gain and loss levels. Participants tended to overshoot the target, and even more with higher incentive levels. Data points are group-level means ± inter-subject </w:t>
      </w:r>
      <w:proofErr w:type="spellStart"/>
      <w:r>
        <w:rPr>
          <w:rFonts w:ascii="Arial" w:hAnsi="Arial" w:cs="Arial"/>
        </w:rPr>
        <w:t>s.e.m</w:t>
      </w:r>
      <w:proofErr w:type="spellEnd"/>
      <w:r>
        <w:rPr>
          <w:rFonts w:ascii="Arial" w:hAnsi="Arial" w:cs="Arial"/>
        </w:rPr>
        <w:t>. Variance between individual means has been removed from error bars to better illustrate the effect of incentives.</w:t>
      </w:r>
    </w:p>
    <w:p w:rsidR="00B927FA" w:rsidRDefault="00B927FA" w:rsidP="00B927FA">
      <w:pPr>
        <w:pStyle w:val="ListParagraph"/>
        <w:numPr>
          <w:ilvl w:val="0"/>
          <w:numId w:val="1"/>
        </w:numPr>
        <w:spacing w:after="160" w:line="259" w:lineRule="auto"/>
        <w:jc w:val="both"/>
        <w:rPr>
          <w:rFonts w:ascii="Arial" w:hAnsi="Arial" w:cs="Arial"/>
        </w:rPr>
      </w:pPr>
      <w:r>
        <w:rPr>
          <w:rFonts w:ascii="Arial" w:hAnsi="Arial" w:cs="Arial"/>
        </w:rPr>
        <w:lastRenderedPageBreak/>
        <w:t>Regression estimates (betas) of a linear model fitted to trial-by-trial series of force peaks. The model included a constant, potential gain, potential loss, target size and trial index. Participants overshot the target (29</w:t>
      </w:r>
      <w:r w:rsidRPr="008E38DC">
        <w:rPr>
          <w:rFonts w:ascii="Arial" w:hAnsi="Arial" w:cs="Arial"/>
        </w:rPr>
        <w:t>.</w:t>
      </w:r>
      <w:r>
        <w:rPr>
          <w:rFonts w:ascii="Arial" w:hAnsi="Arial" w:cs="Arial"/>
        </w:rPr>
        <w:t>3±0.6</w:t>
      </w:r>
      <w:r w:rsidRPr="008E38DC">
        <w:rPr>
          <w:rFonts w:ascii="Arial" w:hAnsi="Arial" w:cs="Arial"/>
        </w:rPr>
        <w:t>9 vs. 2</w:t>
      </w:r>
      <w:r>
        <w:rPr>
          <w:rFonts w:ascii="Arial" w:hAnsi="Arial" w:cs="Arial"/>
        </w:rPr>
        <w:t>5</w:t>
      </w:r>
      <w:r w:rsidRPr="008E38DC">
        <w:rPr>
          <w:rFonts w:ascii="Arial" w:hAnsi="Arial" w:cs="Arial"/>
        </w:rPr>
        <w:t xml:space="preserve">%, </w:t>
      </w:r>
      <w:proofErr w:type="gramStart"/>
      <w:r w:rsidRPr="008E38DC">
        <w:rPr>
          <w:rFonts w:ascii="Arial" w:hAnsi="Arial" w:cs="Arial"/>
        </w:rPr>
        <w:t>t(</w:t>
      </w:r>
      <w:proofErr w:type="gramEnd"/>
      <w:r>
        <w:rPr>
          <w:rFonts w:ascii="Arial" w:hAnsi="Arial" w:cs="Arial"/>
        </w:rPr>
        <w:t>60)=6</w:t>
      </w:r>
      <w:r w:rsidRPr="008E38DC">
        <w:rPr>
          <w:rFonts w:ascii="Arial" w:hAnsi="Arial" w:cs="Arial"/>
        </w:rPr>
        <w:t>.</w:t>
      </w:r>
      <w:r>
        <w:rPr>
          <w:rFonts w:ascii="Arial" w:hAnsi="Arial" w:cs="Arial"/>
        </w:rPr>
        <w:t>1</w:t>
      </w:r>
      <w:r w:rsidRPr="008E38DC">
        <w:rPr>
          <w:rFonts w:ascii="Arial" w:hAnsi="Arial" w:cs="Arial"/>
        </w:rPr>
        <w:t>; p</w:t>
      </w:r>
      <w:r>
        <w:rPr>
          <w:rFonts w:ascii="Arial" w:hAnsi="Arial" w:cs="Arial"/>
        </w:rPr>
        <w:t>&lt;0.001</w:t>
      </w:r>
      <w:r w:rsidRPr="008E38DC">
        <w:rPr>
          <w:rFonts w:ascii="Arial" w:hAnsi="Arial" w:cs="Arial"/>
        </w:rPr>
        <w:t>)</w:t>
      </w:r>
      <w:r>
        <w:rPr>
          <w:rFonts w:ascii="Arial" w:hAnsi="Arial" w:cs="Arial"/>
        </w:rPr>
        <w:t>. A significant positive modulation of peak force was found for potential gain, target size and trial index (all p&lt;0.001), but not for potential loss (</w:t>
      </w:r>
      <w:proofErr w:type="gramStart"/>
      <w:r w:rsidRPr="008E38DC">
        <w:rPr>
          <w:rFonts w:ascii="Arial" w:hAnsi="Arial" w:cs="Arial"/>
        </w:rPr>
        <w:t>t(</w:t>
      </w:r>
      <w:proofErr w:type="gramEnd"/>
      <w:r>
        <w:rPr>
          <w:rFonts w:ascii="Arial" w:hAnsi="Arial" w:cs="Arial"/>
        </w:rPr>
        <w:t>60)=0</w:t>
      </w:r>
      <w:r w:rsidRPr="008E38DC">
        <w:rPr>
          <w:rFonts w:ascii="Arial" w:hAnsi="Arial" w:cs="Arial"/>
        </w:rPr>
        <w:t>.</w:t>
      </w:r>
      <w:r>
        <w:rPr>
          <w:rFonts w:ascii="Arial" w:hAnsi="Arial" w:cs="Arial"/>
        </w:rPr>
        <w:t>3</w:t>
      </w:r>
      <w:r w:rsidRPr="008E38DC">
        <w:rPr>
          <w:rFonts w:ascii="Arial" w:hAnsi="Arial" w:cs="Arial"/>
        </w:rPr>
        <w:t>; p</w:t>
      </w:r>
      <w:r>
        <w:rPr>
          <w:rFonts w:ascii="Arial" w:hAnsi="Arial" w:cs="Arial"/>
        </w:rPr>
        <w:t>=0.77). Moreover, the direct comparison of reward vs. loss estimates was significant (</w:t>
      </w:r>
      <w:proofErr w:type="gramStart"/>
      <w:r w:rsidRPr="008E38DC">
        <w:rPr>
          <w:rFonts w:ascii="Arial" w:hAnsi="Arial" w:cs="Arial"/>
        </w:rPr>
        <w:t>t(</w:t>
      </w:r>
      <w:proofErr w:type="gramEnd"/>
      <w:r>
        <w:rPr>
          <w:rFonts w:ascii="Arial" w:hAnsi="Arial" w:cs="Arial"/>
        </w:rPr>
        <w:t>60)=3</w:t>
      </w:r>
      <w:r w:rsidRPr="008E38DC">
        <w:rPr>
          <w:rFonts w:ascii="Arial" w:hAnsi="Arial" w:cs="Arial"/>
        </w:rPr>
        <w:t>.</w:t>
      </w:r>
      <w:r>
        <w:rPr>
          <w:rFonts w:ascii="Arial" w:hAnsi="Arial" w:cs="Arial"/>
        </w:rPr>
        <w:t>0</w:t>
      </w:r>
      <w:r w:rsidRPr="008E38DC">
        <w:rPr>
          <w:rFonts w:ascii="Arial" w:hAnsi="Arial" w:cs="Arial"/>
        </w:rPr>
        <w:t>; p</w:t>
      </w:r>
      <w:r>
        <w:rPr>
          <w:rFonts w:ascii="Arial" w:hAnsi="Arial" w:cs="Arial"/>
        </w:rPr>
        <w:t>=0.003).</w:t>
      </w:r>
    </w:p>
    <w:p w:rsidR="00B927FA" w:rsidRDefault="00B927FA" w:rsidP="00B927FA">
      <w:pPr>
        <w:spacing w:after="160" w:line="259" w:lineRule="auto"/>
        <w:jc w:val="both"/>
        <w:rPr>
          <w:rFonts w:ascii="Arial" w:hAnsi="Arial" w:cs="Arial"/>
        </w:rPr>
      </w:pPr>
      <w:r>
        <w:rPr>
          <w:rFonts w:ascii="Arial" w:hAnsi="Arial" w:cs="Arial"/>
        </w:rPr>
        <w:br w:type="page"/>
      </w:r>
      <w:r>
        <w:rPr>
          <w:rFonts w:ascii="Arial" w:hAnsi="Arial" w:cs="Arial"/>
          <w:b/>
          <w:noProof/>
          <w:lang w:val="fr-FR" w:eastAsia="fr-FR"/>
        </w:rPr>
        <w:lastRenderedPageBreak/>
        <w:drawing>
          <wp:inline distT="0" distB="0" distL="0" distR="0">
            <wp:extent cx="5760720" cy="5316855"/>
            <wp:effectExtent l="19050" t="0" r="0" b="0"/>
            <wp:docPr id="6" name="Picture 5" descr="Supp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Fig2.jpg"/>
                    <pic:cNvPicPr/>
                  </pic:nvPicPr>
                  <pic:blipFill>
                    <a:blip r:embed="rId7" cstate="print"/>
                    <a:stretch>
                      <a:fillRect/>
                    </a:stretch>
                  </pic:blipFill>
                  <pic:spPr>
                    <a:xfrm>
                      <a:off x="0" y="0"/>
                      <a:ext cx="5760720" cy="5316855"/>
                    </a:xfrm>
                    <a:prstGeom prst="rect">
                      <a:avLst/>
                    </a:prstGeom>
                  </pic:spPr>
                </pic:pic>
              </a:graphicData>
            </a:graphic>
          </wp:inline>
        </w:drawing>
      </w:r>
    </w:p>
    <w:p w:rsidR="00B927FA" w:rsidRDefault="00B927FA" w:rsidP="00B927FA">
      <w:pPr>
        <w:spacing w:after="160" w:line="259" w:lineRule="auto"/>
        <w:jc w:val="both"/>
        <w:rPr>
          <w:rFonts w:ascii="Arial" w:hAnsi="Arial" w:cs="Arial"/>
          <w:b/>
        </w:rPr>
      </w:pPr>
      <w:r>
        <w:rPr>
          <w:rFonts w:ascii="Arial" w:hAnsi="Arial" w:cs="Arial"/>
          <w:b/>
        </w:rPr>
        <w:t>Sup Figure 2</w:t>
      </w:r>
      <w:r w:rsidRPr="00CD27FD">
        <w:rPr>
          <w:rFonts w:ascii="Arial" w:hAnsi="Arial" w:cs="Arial"/>
          <w:b/>
        </w:rPr>
        <w:t xml:space="preserve">. </w:t>
      </w:r>
      <w:r>
        <w:rPr>
          <w:rFonts w:ascii="Arial" w:hAnsi="Arial" w:cs="Arial"/>
          <w:b/>
        </w:rPr>
        <w:t>Influence of gain and loss prospects on force precision (Exp 5)</w:t>
      </w:r>
    </w:p>
    <w:p w:rsidR="00B927FA" w:rsidRPr="009C3A44" w:rsidRDefault="00B927FA" w:rsidP="00B927FA">
      <w:pPr>
        <w:spacing w:after="160" w:line="259" w:lineRule="auto"/>
        <w:jc w:val="both"/>
        <w:rPr>
          <w:rFonts w:ascii="Arial" w:hAnsi="Arial" w:cs="Arial"/>
        </w:rPr>
      </w:pPr>
    </w:p>
    <w:p w:rsidR="00B927FA" w:rsidRDefault="00B927FA" w:rsidP="00B927FA">
      <w:pPr>
        <w:pStyle w:val="ListParagraph"/>
        <w:numPr>
          <w:ilvl w:val="0"/>
          <w:numId w:val="2"/>
        </w:numPr>
        <w:spacing w:after="160" w:line="259" w:lineRule="auto"/>
        <w:jc w:val="both"/>
        <w:rPr>
          <w:rFonts w:ascii="Arial" w:hAnsi="Arial" w:cs="Arial"/>
        </w:rPr>
      </w:pPr>
      <w:r>
        <w:rPr>
          <w:rFonts w:ascii="Arial" w:hAnsi="Arial" w:cs="Arial"/>
        </w:rPr>
        <w:t xml:space="preserve">Example trial. Participants (n=21) performed another variant of task design, similar to that used in Exp 4. Critical difference were 1) the absence of the quiz task, 2) the introduction of a confidence judgment on a rating scale prior to effort exertion, which is the matter of another paper, 3) the presentation of incentives as unique coins and notes (instead of multiple 10-cent images) </w:t>
      </w:r>
    </w:p>
    <w:p w:rsidR="00B927FA" w:rsidRDefault="00B927FA" w:rsidP="00B927FA">
      <w:pPr>
        <w:pStyle w:val="ListParagraph"/>
        <w:numPr>
          <w:ilvl w:val="0"/>
          <w:numId w:val="2"/>
        </w:numPr>
        <w:spacing w:after="160" w:line="259" w:lineRule="auto"/>
        <w:jc w:val="both"/>
        <w:rPr>
          <w:rFonts w:ascii="Arial" w:hAnsi="Arial" w:cs="Arial"/>
        </w:rPr>
      </w:pPr>
      <w:proofErr w:type="gramStart"/>
      <w:r>
        <w:rPr>
          <w:rFonts w:ascii="Arial" w:hAnsi="Arial" w:cs="Arial"/>
        </w:rPr>
        <w:t>and</w:t>
      </w:r>
      <w:proofErr w:type="gramEnd"/>
      <w:r>
        <w:rPr>
          <w:rFonts w:ascii="Arial" w:hAnsi="Arial" w:cs="Arial"/>
        </w:rPr>
        <w:t xml:space="preserve"> (C) Same legend as previous figure. </w:t>
      </w:r>
      <w:r w:rsidRPr="002B1F0D">
        <w:rPr>
          <w:rFonts w:ascii="Arial" w:hAnsi="Arial" w:cs="Arial"/>
        </w:rPr>
        <w:t>As in Exp 4, participants overshot the target (</w:t>
      </w:r>
      <w:proofErr w:type="gramStart"/>
      <w:r w:rsidRPr="002B1F0D">
        <w:rPr>
          <w:rFonts w:ascii="Arial" w:hAnsi="Arial" w:cs="Arial"/>
        </w:rPr>
        <w:t>t(</w:t>
      </w:r>
      <w:proofErr w:type="gramEnd"/>
      <w:r w:rsidRPr="002B1F0D">
        <w:rPr>
          <w:rFonts w:ascii="Arial" w:hAnsi="Arial" w:cs="Arial"/>
        </w:rPr>
        <w:t>20)=3.5; p</w:t>
      </w:r>
      <w:r w:rsidRPr="00FB658F">
        <w:rPr>
          <w:rFonts w:ascii="Arial" w:hAnsi="Arial" w:cs="Arial"/>
        </w:rPr>
        <w:t xml:space="preserve">=0.0022). A significant positive modulation of peak force was found for potential gain </w:t>
      </w:r>
      <w:r>
        <w:rPr>
          <w:rFonts w:ascii="Arial" w:hAnsi="Arial" w:cs="Arial"/>
        </w:rPr>
        <w:t>(</w:t>
      </w:r>
      <w:proofErr w:type="gramStart"/>
      <w:r w:rsidRPr="002B1F0D">
        <w:rPr>
          <w:rFonts w:ascii="Arial" w:hAnsi="Arial" w:cs="Arial"/>
        </w:rPr>
        <w:t>t(</w:t>
      </w:r>
      <w:proofErr w:type="gramEnd"/>
      <w:r w:rsidRPr="002B1F0D">
        <w:rPr>
          <w:rFonts w:ascii="Arial" w:hAnsi="Arial" w:cs="Arial"/>
        </w:rPr>
        <w:t>2</w:t>
      </w:r>
      <w:r>
        <w:rPr>
          <w:rFonts w:ascii="Arial" w:hAnsi="Arial" w:cs="Arial"/>
        </w:rPr>
        <w:t>0)=4</w:t>
      </w:r>
      <w:r w:rsidRPr="002B1F0D">
        <w:rPr>
          <w:rFonts w:ascii="Arial" w:hAnsi="Arial" w:cs="Arial"/>
        </w:rPr>
        <w:t>.</w:t>
      </w:r>
      <w:r>
        <w:rPr>
          <w:rFonts w:ascii="Arial" w:hAnsi="Arial" w:cs="Arial"/>
        </w:rPr>
        <w:t>6</w:t>
      </w:r>
      <w:r w:rsidRPr="002B1F0D">
        <w:rPr>
          <w:rFonts w:ascii="Arial" w:hAnsi="Arial" w:cs="Arial"/>
        </w:rPr>
        <w:t xml:space="preserve">; </w:t>
      </w:r>
      <w:r>
        <w:rPr>
          <w:rFonts w:ascii="Arial" w:hAnsi="Arial" w:cs="Arial"/>
        </w:rPr>
        <w:t>p&lt;</w:t>
      </w:r>
      <w:r w:rsidRPr="00FB658F">
        <w:rPr>
          <w:rFonts w:ascii="Arial" w:hAnsi="Arial" w:cs="Arial"/>
        </w:rPr>
        <w:t>0.001), but not for potential loss (t(</w:t>
      </w:r>
      <w:r>
        <w:rPr>
          <w:rFonts w:ascii="Arial" w:hAnsi="Arial" w:cs="Arial"/>
        </w:rPr>
        <w:t>20)=1</w:t>
      </w:r>
      <w:r w:rsidRPr="00FB658F">
        <w:rPr>
          <w:rFonts w:ascii="Arial" w:hAnsi="Arial" w:cs="Arial"/>
        </w:rPr>
        <w:t>.</w:t>
      </w:r>
      <w:r>
        <w:rPr>
          <w:rFonts w:ascii="Arial" w:hAnsi="Arial" w:cs="Arial"/>
        </w:rPr>
        <w:t>1</w:t>
      </w:r>
      <w:r w:rsidRPr="00FB658F">
        <w:rPr>
          <w:rFonts w:ascii="Arial" w:hAnsi="Arial" w:cs="Arial"/>
        </w:rPr>
        <w:t>; p</w:t>
      </w:r>
      <w:r>
        <w:rPr>
          <w:rFonts w:ascii="Arial" w:hAnsi="Arial" w:cs="Arial"/>
        </w:rPr>
        <w:t>=0.27), trial index (</w:t>
      </w:r>
      <w:r w:rsidRPr="00FB658F">
        <w:rPr>
          <w:rFonts w:ascii="Arial" w:hAnsi="Arial" w:cs="Arial"/>
        </w:rPr>
        <w:t>t(</w:t>
      </w:r>
      <w:r>
        <w:rPr>
          <w:rFonts w:ascii="Arial" w:hAnsi="Arial" w:cs="Arial"/>
        </w:rPr>
        <w:t>20)=1</w:t>
      </w:r>
      <w:r w:rsidRPr="00FB658F">
        <w:rPr>
          <w:rFonts w:ascii="Arial" w:hAnsi="Arial" w:cs="Arial"/>
        </w:rPr>
        <w:t>.</w:t>
      </w:r>
      <w:r>
        <w:rPr>
          <w:rFonts w:ascii="Arial" w:hAnsi="Arial" w:cs="Arial"/>
        </w:rPr>
        <w:t>6</w:t>
      </w:r>
      <w:r w:rsidRPr="00FB658F">
        <w:rPr>
          <w:rFonts w:ascii="Arial" w:hAnsi="Arial" w:cs="Arial"/>
        </w:rPr>
        <w:t>; p</w:t>
      </w:r>
      <w:r>
        <w:rPr>
          <w:rFonts w:ascii="Arial" w:hAnsi="Arial" w:cs="Arial"/>
        </w:rPr>
        <w:t>=0.12)</w:t>
      </w:r>
      <w:r w:rsidRPr="00FB658F">
        <w:rPr>
          <w:rFonts w:ascii="Arial" w:hAnsi="Arial" w:cs="Arial"/>
        </w:rPr>
        <w:t xml:space="preserve"> </w:t>
      </w:r>
      <w:r>
        <w:rPr>
          <w:rFonts w:ascii="Arial" w:hAnsi="Arial" w:cs="Arial"/>
        </w:rPr>
        <w:t>or target size (</w:t>
      </w:r>
      <w:r w:rsidRPr="00FB658F">
        <w:rPr>
          <w:rFonts w:ascii="Arial" w:hAnsi="Arial" w:cs="Arial"/>
        </w:rPr>
        <w:t>t(</w:t>
      </w:r>
      <w:r>
        <w:rPr>
          <w:rFonts w:ascii="Arial" w:hAnsi="Arial" w:cs="Arial"/>
        </w:rPr>
        <w:t>20)=0</w:t>
      </w:r>
      <w:r w:rsidRPr="00FB658F">
        <w:rPr>
          <w:rFonts w:ascii="Arial" w:hAnsi="Arial" w:cs="Arial"/>
        </w:rPr>
        <w:t>.</w:t>
      </w:r>
      <w:r>
        <w:rPr>
          <w:rFonts w:ascii="Arial" w:hAnsi="Arial" w:cs="Arial"/>
        </w:rPr>
        <w:t>53</w:t>
      </w:r>
      <w:r w:rsidRPr="00FB658F">
        <w:rPr>
          <w:rFonts w:ascii="Arial" w:hAnsi="Arial" w:cs="Arial"/>
        </w:rPr>
        <w:t>; p</w:t>
      </w:r>
      <w:r>
        <w:rPr>
          <w:rFonts w:ascii="Arial" w:hAnsi="Arial" w:cs="Arial"/>
        </w:rPr>
        <w:t xml:space="preserve">=0.60. </w:t>
      </w:r>
      <w:r w:rsidRPr="00FB658F">
        <w:rPr>
          <w:rFonts w:ascii="Arial" w:hAnsi="Arial" w:cs="Arial"/>
        </w:rPr>
        <w:t>Moreover, the direct comparison of reward vs. loss estimates was significant (</w:t>
      </w:r>
      <w:proofErr w:type="gramStart"/>
      <w:r w:rsidRPr="00021891">
        <w:rPr>
          <w:rFonts w:ascii="Arial" w:hAnsi="Arial" w:cs="Arial"/>
        </w:rPr>
        <w:t>t(</w:t>
      </w:r>
      <w:proofErr w:type="gramEnd"/>
      <w:r w:rsidRPr="00021891">
        <w:rPr>
          <w:rFonts w:ascii="Arial" w:hAnsi="Arial" w:cs="Arial"/>
        </w:rPr>
        <w:t>60)=3.</w:t>
      </w:r>
      <w:r>
        <w:rPr>
          <w:rFonts w:ascii="Arial" w:hAnsi="Arial" w:cs="Arial"/>
        </w:rPr>
        <w:t>6</w:t>
      </w:r>
      <w:r w:rsidRPr="00021891">
        <w:rPr>
          <w:rFonts w:ascii="Arial" w:hAnsi="Arial" w:cs="Arial"/>
        </w:rPr>
        <w:t>; p</w:t>
      </w:r>
      <w:r>
        <w:rPr>
          <w:rFonts w:ascii="Arial" w:hAnsi="Arial" w:cs="Arial"/>
        </w:rPr>
        <w:t>=0.0018</w:t>
      </w:r>
      <w:r w:rsidRPr="00BC6885">
        <w:rPr>
          <w:rFonts w:ascii="Arial" w:hAnsi="Arial" w:cs="Arial"/>
        </w:rPr>
        <w:t>).</w:t>
      </w:r>
    </w:p>
    <w:p w:rsidR="006F7220" w:rsidRDefault="006F7220"/>
    <w:sectPr w:rsidR="006F7220" w:rsidSect="00225F8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A5200"/>
    <w:multiLevelType w:val="hybridMultilevel"/>
    <w:tmpl w:val="C7B0279C"/>
    <w:lvl w:ilvl="0" w:tplc="1AB6181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7A3059C7"/>
    <w:multiLevelType w:val="hybridMultilevel"/>
    <w:tmpl w:val="C7B0279C"/>
    <w:lvl w:ilvl="0" w:tplc="1AB6181C">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B927FA"/>
    <w:rsid w:val="00075DC6"/>
    <w:rsid w:val="00354308"/>
    <w:rsid w:val="006F7220"/>
    <w:rsid w:val="00784FD3"/>
    <w:rsid w:val="009E4156"/>
    <w:rsid w:val="009E5BFC"/>
    <w:rsid w:val="00B927FA"/>
    <w:rsid w:val="00D17264"/>
    <w:rsid w:val="00F4650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7F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27FA"/>
    <w:pPr>
      <w:ind w:left="720"/>
      <w:contextualSpacing/>
    </w:pPr>
  </w:style>
  <w:style w:type="paragraph" w:styleId="BalloonText">
    <w:name w:val="Balloon Text"/>
    <w:basedOn w:val="Normal"/>
    <w:link w:val="BalloonTextChar"/>
    <w:uiPriority w:val="99"/>
    <w:semiHidden/>
    <w:unhideWhenUsed/>
    <w:rsid w:val="00B92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27FA"/>
    <w:rPr>
      <w:rFonts w:ascii="Tahoma" w:hAnsi="Tahoma" w:cs="Tahoma"/>
      <w:sz w:val="16"/>
      <w:szCs w:val="16"/>
      <w:lang w:val="en-US"/>
    </w:rPr>
  </w:style>
  <w:style w:type="character" w:styleId="Hyperlink">
    <w:name w:val="Hyperlink"/>
    <w:basedOn w:val="DefaultParagraphFont"/>
    <w:uiPriority w:val="99"/>
    <w:unhideWhenUsed/>
    <w:rsid w:val="009E5BF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delphine.oudiette@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859</Words>
  <Characters>4726</Characters>
  <Application>Microsoft Office Word</Application>
  <DocSecurity>0</DocSecurity>
  <Lines>39</Lines>
  <Paragraphs>11</Paragraphs>
  <ScaleCrop>false</ScaleCrop>
  <Company>Grizli777</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delf</dc:creator>
  <cp:lastModifiedBy>delf</cp:lastModifiedBy>
  <cp:revision>4</cp:revision>
  <dcterms:created xsi:type="dcterms:W3CDTF">2019-02-21T15:31:00Z</dcterms:created>
  <dcterms:modified xsi:type="dcterms:W3CDTF">2019-02-26T13:39:00Z</dcterms:modified>
</cp:coreProperties>
</file>