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94B" w:rsidRPr="005B71CE" w:rsidRDefault="00C6294B" w:rsidP="00C6294B">
      <w:pPr>
        <w:spacing w:line="480" w:lineRule="auto"/>
        <w:jc w:val="center"/>
        <w:rPr>
          <w:rStyle w:val="Strong"/>
          <w:rFonts w:ascii="Arial" w:hAnsi="Arial" w:cs="Arial"/>
        </w:rPr>
      </w:pPr>
      <w:bookmarkStart w:id="0" w:name="_GoBack"/>
      <w:bookmarkEnd w:id="0"/>
      <w:r w:rsidRPr="005B71CE">
        <w:rPr>
          <w:rStyle w:val="Strong"/>
          <w:rFonts w:ascii="Arial" w:hAnsi="Arial" w:cs="Arial"/>
        </w:rPr>
        <w:t xml:space="preserve">Functional and metabolic </w:t>
      </w:r>
      <w:r>
        <w:rPr>
          <w:rStyle w:val="Strong"/>
          <w:rFonts w:ascii="Arial" w:hAnsi="Arial" w:cs="Arial"/>
        </w:rPr>
        <w:t>impairment</w:t>
      </w:r>
      <w:r w:rsidRPr="005B71CE">
        <w:rPr>
          <w:rStyle w:val="Strong"/>
          <w:rFonts w:ascii="Arial" w:hAnsi="Arial" w:cs="Arial"/>
        </w:rPr>
        <w:t xml:space="preserve"> in cigarette smoke-exposed macrophages is tied to oxidative stress</w:t>
      </w:r>
    </w:p>
    <w:p w:rsidR="00C6294B" w:rsidRPr="005B71CE" w:rsidRDefault="00C6294B" w:rsidP="00C6294B">
      <w:pPr>
        <w:spacing w:line="480" w:lineRule="auto"/>
        <w:rPr>
          <w:rStyle w:val="Strong"/>
          <w:rFonts w:ascii="Arial" w:hAnsi="Arial" w:cs="Arial"/>
          <w:b w:val="0"/>
          <w:vertAlign w:val="superscript"/>
        </w:rPr>
      </w:pPr>
      <w:r w:rsidRPr="005B71CE">
        <w:rPr>
          <w:rStyle w:val="Strong"/>
          <w:rFonts w:ascii="Arial" w:hAnsi="Arial" w:cs="Arial"/>
          <w:b w:val="0"/>
        </w:rPr>
        <w:t>Daniel S. Aridgides</w:t>
      </w:r>
      <w:r w:rsidRPr="005B71CE">
        <w:rPr>
          <w:rStyle w:val="Strong"/>
          <w:rFonts w:ascii="Arial" w:hAnsi="Arial" w:cs="Arial"/>
          <w:b w:val="0"/>
          <w:vertAlign w:val="superscript"/>
        </w:rPr>
        <w:t>1</w:t>
      </w:r>
      <w:r w:rsidRPr="005B71CE">
        <w:rPr>
          <w:rStyle w:val="Strong"/>
          <w:rFonts w:ascii="Arial" w:hAnsi="Arial" w:cs="Arial"/>
          <w:b w:val="0"/>
        </w:rPr>
        <w:t>, Diane L. Mellinger</w:t>
      </w:r>
      <w:r w:rsidRPr="005B71CE">
        <w:rPr>
          <w:rStyle w:val="Strong"/>
          <w:rFonts w:ascii="Arial" w:hAnsi="Arial" w:cs="Arial"/>
          <w:b w:val="0"/>
          <w:vertAlign w:val="superscript"/>
        </w:rPr>
        <w:t>1</w:t>
      </w:r>
      <w:r w:rsidRPr="005B71CE">
        <w:rPr>
          <w:rStyle w:val="Strong"/>
          <w:rFonts w:ascii="Arial" w:hAnsi="Arial" w:cs="Arial"/>
          <w:b w:val="0"/>
        </w:rPr>
        <w:t>, David A. Armstrong</w:t>
      </w:r>
      <w:r w:rsidRPr="005B71CE">
        <w:rPr>
          <w:rStyle w:val="Strong"/>
          <w:rFonts w:ascii="Arial" w:hAnsi="Arial" w:cs="Arial"/>
          <w:b w:val="0"/>
          <w:vertAlign w:val="superscript"/>
        </w:rPr>
        <w:t>1</w:t>
      </w:r>
      <w:r w:rsidRPr="005B71CE">
        <w:rPr>
          <w:rStyle w:val="Strong"/>
          <w:rFonts w:ascii="Arial" w:hAnsi="Arial" w:cs="Arial"/>
          <w:b w:val="0"/>
        </w:rPr>
        <w:t>, Haley F. Hazlett</w:t>
      </w:r>
      <w:r w:rsidRPr="005B71CE">
        <w:rPr>
          <w:rStyle w:val="Strong"/>
          <w:rFonts w:ascii="Arial" w:hAnsi="Arial" w:cs="Arial"/>
          <w:b w:val="0"/>
          <w:vertAlign w:val="superscript"/>
        </w:rPr>
        <w:t>2</w:t>
      </w:r>
      <w:r w:rsidRPr="005B71CE">
        <w:rPr>
          <w:rStyle w:val="Strong"/>
          <w:rFonts w:ascii="Arial" w:hAnsi="Arial" w:cs="Arial"/>
          <w:b w:val="0"/>
        </w:rPr>
        <w:t>, John A. Dessaint</w:t>
      </w:r>
      <w:r w:rsidRPr="005B71CE">
        <w:rPr>
          <w:rStyle w:val="Strong"/>
          <w:rFonts w:ascii="Arial" w:hAnsi="Arial" w:cs="Arial"/>
          <w:b w:val="0"/>
          <w:vertAlign w:val="superscript"/>
        </w:rPr>
        <w:t>1</w:t>
      </w:r>
      <w:r w:rsidRPr="005B71CE">
        <w:rPr>
          <w:rStyle w:val="Strong"/>
          <w:rFonts w:ascii="Arial" w:hAnsi="Arial" w:cs="Arial"/>
          <w:b w:val="0"/>
        </w:rPr>
        <w:t>, Thomas H. Hampton</w:t>
      </w:r>
      <w:r w:rsidRPr="005B71CE">
        <w:rPr>
          <w:rStyle w:val="Strong"/>
          <w:rFonts w:ascii="Arial" w:hAnsi="Arial" w:cs="Arial"/>
          <w:b w:val="0"/>
          <w:vertAlign w:val="superscript"/>
        </w:rPr>
        <w:t>2</w:t>
      </w:r>
      <w:r w:rsidRPr="005B71CE">
        <w:rPr>
          <w:rStyle w:val="Strong"/>
          <w:rFonts w:ascii="Arial" w:hAnsi="Arial" w:cs="Arial"/>
          <w:b w:val="0"/>
        </w:rPr>
        <w:t>, Graham T. Atkins</w:t>
      </w:r>
      <w:r w:rsidRPr="005B71CE">
        <w:rPr>
          <w:rStyle w:val="Strong"/>
          <w:rFonts w:ascii="Arial" w:hAnsi="Arial" w:cs="Arial"/>
          <w:b w:val="0"/>
          <w:vertAlign w:val="superscript"/>
        </w:rPr>
        <w:t>1</w:t>
      </w:r>
      <w:r w:rsidRPr="005B71CE">
        <w:rPr>
          <w:rStyle w:val="Strong"/>
          <w:rFonts w:ascii="Arial" w:hAnsi="Arial" w:cs="Arial"/>
          <w:b w:val="0"/>
        </w:rPr>
        <w:t>, James L. Carroll</w:t>
      </w:r>
      <w:r w:rsidRPr="005B71CE">
        <w:rPr>
          <w:rStyle w:val="Strong"/>
          <w:rFonts w:ascii="Arial" w:hAnsi="Arial" w:cs="Arial"/>
          <w:b w:val="0"/>
          <w:vertAlign w:val="superscript"/>
        </w:rPr>
        <w:t>1</w:t>
      </w:r>
      <w:r w:rsidRPr="005B71CE">
        <w:rPr>
          <w:rStyle w:val="Strong"/>
          <w:rFonts w:ascii="Arial" w:hAnsi="Arial" w:cs="Arial"/>
          <w:b w:val="0"/>
        </w:rPr>
        <w:t>, and Alix Ashare</w:t>
      </w:r>
      <w:r w:rsidRPr="005B71CE">
        <w:rPr>
          <w:rStyle w:val="Strong"/>
          <w:rFonts w:ascii="Arial" w:hAnsi="Arial" w:cs="Arial"/>
          <w:b w:val="0"/>
          <w:vertAlign w:val="superscript"/>
        </w:rPr>
        <w:t>1,2*</w:t>
      </w:r>
    </w:p>
    <w:p w:rsidR="00C6294B" w:rsidRPr="005B71CE" w:rsidRDefault="00C6294B" w:rsidP="00C6294B">
      <w:pPr>
        <w:spacing w:line="480" w:lineRule="auto"/>
        <w:rPr>
          <w:rStyle w:val="Strong"/>
          <w:rFonts w:ascii="Arial" w:hAnsi="Arial" w:cs="Arial"/>
          <w:b w:val="0"/>
        </w:rPr>
      </w:pPr>
      <w:r w:rsidRPr="005B71CE">
        <w:rPr>
          <w:rStyle w:val="Strong"/>
          <w:rFonts w:ascii="Arial" w:hAnsi="Arial" w:cs="Arial"/>
          <w:b w:val="0"/>
          <w:vertAlign w:val="superscript"/>
        </w:rPr>
        <w:t>1</w:t>
      </w:r>
      <w:r w:rsidRPr="005B71CE">
        <w:rPr>
          <w:rStyle w:val="Strong"/>
          <w:rFonts w:ascii="Arial" w:hAnsi="Arial" w:cs="Arial"/>
          <w:b w:val="0"/>
        </w:rPr>
        <w:t>Section of Pulmonary and Critical Care Medicine, Dartmouth-Hitchcock Medical Center, Lebanon, NH</w:t>
      </w:r>
    </w:p>
    <w:p w:rsidR="00C6294B" w:rsidRPr="005B71CE" w:rsidRDefault="00C6294B" w:rsidP="00C6294B">
      <w:pPr>
        <w:spacing w:line="480" w:lineRule="auto"/>
        <w:rPr>
          <w:rStyle w:val="Strong"/>
          <w:rFonts w:ascii="Arial" w:hAnsi="Arial" w:cs="Arial"/>
          <w:b w:val="0"/>
        </w:rPr>
      </w:pPr>
      <w:r w:rsidRPr="005B71CE">
        <w:rPr>
          <w:rStyle w:val="Strong"/>
          <w:rFonts w:ascii="Arial" w:hAnsi="Arial" w:cs="Arial"/>
          <w:b w:val="0"/>
          <w:vertAlign w:val="superscript"/>
        </w:rPr>
        <w:t>2</w:t>
      </w:r>
      <w:r w:rsidRPr="005B71CE">
        <w:rPr>
          <w:rStyle w:val="Strong"/>
          <w:rFonts w:ascii="Arial" w:hAnsi="Arial" w:cs="Arial"/>
          <w:b w:val="0"/>
        </w:rPr>
        <w:t>Department of Microbiology and Immunology, Geisel School of Medicine, Hanover, NH</w:t>
      </w:r>
    </w:p>
    <w:p w:rsidR="00C6294B" w:rsidRPr="005B71CE" w:rsidRDefault="00C6294B" w:rsidP="00C6294B">
      <w:pPr>
        <w:spacing w:line="480" w:lineRule="auto"/>
        <w:rPr>
          <w:rFonts w:ascii="Arial" w:hAnsi="Arial" w:cs="Arial"/>
          <w:bCs/>
        </w:rPr>
      </w:pPr>
      <w:r w:rsidRPr="005B71CE">
        <w:rPr>
          <w:rStyle w:val="Strong"/>
          <w:rFonts w:ascii="Arial" w:hAnsi="Arial" w:cs="Arial"/>
        </w:rPr>
        <w:t>* Correspondence</w:t>
      </w:r>
      <w:r w:rsidRPr="005B71CE">
        <w:rPr>
          <w:rStyle w:val="Strong"/>
          <w:rFonts w:ascii="Arial" w:hAnsi="Arial" w:cs="Arial"/>
          <w:b w:val="0"/>
        </w:rPr>
        <w:t xml:space="preserve">: </w:t>
      </w:r>
      <w:hyperlink r:id="rId5" w:history="1">
        <w:r w:rsidRPr="005B71CE">
          <w:rPr>
            <w:rStyle w:val="Hyperlink"/>
            <w:rFonts w:ascii="Arial" w:hAnsi="Arial" w:cs="Arial"/>
          </w:rPr>
          <w:t>Alix.Ashare@hitchcock.org</w:t>
        </w:r>
      </w:hyperlink>
    </w:p>
    <w:p w:rsidR="00C6294B" w:rsidRPr="005B71CE" w:rsidRDefault="00C6294B" w:rsidP="00C6294B">
      <w:pPr>
        <w:rPr>
          <w:rFonts w:ascii="Arial" w:hAnsi="Arial" w:cs="Arial"/>
          <w:b/>
        </w:rPr>
      </w:pPr>
      <w:r w:rsidRPr="005B71CE">
        <w:rPr>
          <w:rFonts w:ascii="Arial" w:hAnsi="Arial" w:cs="Arial"/>
          <w:b/>
        </w:rPr>
        <w:br w:type="page"/>
      </w:r>
    </w:p>
    <w:p w:rsidR="005A7669" w:rsidRDefault="002B6BB2" w:rsidP="002B6BB2">
      <w:pPr>
        <w:spacing w:line="480" w:lineRule="auto"/>
        <w:rPr>
          <w:b/>
          <w:sz w:val="24"/>
          <w:szCs w:val="24"/>
        </w:rPr>
      </w:pPr>
      <w:r>
        <w:rPr>
          <w:rStyle w:val="Strong"/>
          <w:sz w:val="24"/>
          <w:szCs w:val="24"/>
        </w:rPr>
        <w:lastRenderedPageBreak/>
        <w:t>Supplementa</w:t>
      </w:r>
      <w:r w:rsidR="008546FA">
        <w:rPr>
          <w:rStyle w:val="Strong"/>
          <w:sz w:val="24"/>
          <w:szCs w:val="24"/>
        </w:rPr>
        <w:t>ry</w:t>
      </w:r>
      <w:r>
        <w:rPr>
          <w:rStyle w:val="Strong"/>
          <w:sz w:val="24"/>
          <w:szCs w:val="24"/>
        </w:rPr>
        <w:t xml:space="preserve"> Information</w:t>
      </w:r>
    </w:p>
    <w:p w:rsidR="009F615B" w:rsidRDefault="009F615B" w:rsidP="009F615B">
      <w:pPr>
        <w:spacing w:line="480" w:lineRule="auto"/>
        <w:rPr>
          <w:b/>
          <w:sz w:val="24"/>
          <w:szCs w:val="24"/>
        </w:rPr>
      </w:pPr>
      <w:r>
        <w:rPr>
          <w:b/>
          <w:sz w:val="24"/>
          <w:szCs w:val="24"/>
        </w:rPr>
        <w:t>Materials</w:t>
      </w:r>
    </w:p>
    <w:p w:rsidR="009F615B" w:rsidRPr="00D42A0A" w:rsidRDefault="009F615B" w:rsidP="009F615B">
      <w:pPr>
        <w:spacing w:line="480" w:lineRule="auto"/>
        <w:rPr>
          <w:sz w:val="24"/>
          <w:szCs w:val="24"/>
        </w:rPr>
      </w:pPr>
      <w:r w:rsidRPr="00D42A0A">
        <w:rPr>
          <w:sz w:val="24"/>
          <w:szCs w:val="24"/>
        </w:rPr>
        <w:t>Phorbol 12-myr</w:t>
      </w:r>
      <w:r w:rsidR="004B54B2">
        <w:rPr>
          <w:sz w:val="24"/>
          <w:szCs w:val="24"/>
        </w:rPr>
        <w:t>istate 13-acetate (PMA), 2′,7′-d</w:t>
      </w:r>
      <w:r w:rsidRPr="00D42A0A">
        <w:rPr>
          <w:sz w:val="24"/>
          <w:szCs w:val="24"/>
        </w:rPr>
        <w:t>ichlorofluorescin diacetate (DCF-DA), N-acetylcysteine (NAC), Triton X-100, LB, LB agar, dimethylsulfoxide (DMSO), and hydrogen peroxide were from Sigma-Aldrich (St. Louis, MO). Phosphate buffered saline (PBS) and tissue culture plates were from Corning (Corning, NY). Ivacaftor and lumacaftor were from Selleckchem (Houston, TX). Gentamicin and fetal bovine serum were from Genesee Scientific (El Cajon, CA). RPMI + Glutamax, Nunc glass slides and coverslips, prolong g</w:t>
      </w:r>
      <w:r w:rsidR="00F85025">
        <w:rPr>
          <w:sz w:val="24"/>
          <w:szCs w:val="24"/>
        </w:rPr>
        <w:t>old, Alexa-555 conjugated secondary antibody (catalog number A21422)</w:t>
      </w:r>
      <w:r w:rsidRPr="00D42A0A">
        <w:rPr>
          <w:sz w:val="24"/>
          <w:szCs w:val="24"/>
        </w:rPr>
        <w:t>, Hoechst stain</w:t>
      </w:r>
      <w:r w:rsidR="008A70E9">
        <w:rPr>
          <w:sz w:val="24"/>
          <w:szCs w:val="24"/>
        </w:rPr>
        <w:t>, and LDH assay</w:t>
      </w:r>
      <w:r w:rsidRPr="00D42A0A">
        <w:rPr>
          <w:sz w:val="24"/>
          <w:szCs w:val="24"/>
        </w:rPr>
        <w:t xml:space="preserve"> were from ThermoFisher (Waltham, MA). Anti-CFTR Ab </w:t>
      </w:r>
      <w:r w:rsidR="00F85025">
        <w:rPr>
          <w:sz w:val="24"/>
          <w:szCs w:val="24"/>
        </w:rPr>
        <w:t xml:space="preserve">(catalog no. </w:t>
      </w:r>
      <w:r w:rsidR="00F85025" w:rsidRPr="00F85025">
        <w:rPr>
          <w:sz w:val="24"/>
          <w:szCs w:val="24"/>
        </w:rPr>
        <w:t>sc-376683</w:t>
      </w:r>
      <w:r w:rsidR="00F85025">
        <w:rPr>
          <w:sz w:val="24"/>
          <w:szCs w:val="24"/>
        </w:rPr>
        <w:t>)</w:t>
      </w:r>
      <w:r w:rsidR="00F85025" w:rsidRPr="00F85025">
        <w:rPr>
          <w:sz w:val="24"/>
          <w:szCs w:val="24"/>
        </w:rPr>
        <w:t xml:space="preserve"> </w:t>
      </w:r>
      <w:r w:rsidRPr="00D42A0A">
        <w:rPr>
          <w:sz w:val="24"/>
          <w:szCs w:val="24"/>
        </w:rPr>
        <w:t xml:space="preserve">was from Santa Cruz (Dallas, TX). Fetal bovine serum (FBS) was from Genesee Scientific (San Diego, CA). Pan-monocyte isolation kit and M-CSF were from Miltenyi biotech (Bergisch Gladbach, Germany). Primocin was from Invivogen (San Diego, CA). THP-1 cells were obtained from ATCC (Manassas, VA). </w:t>
      </w:r>
      <w:r w:rsidRPr="00D42A0A">
        <w:rPr>
          <w:i/>
          <w:sz w:val="24"/>
          <w:szCs w:val="24"/>
        </w:rPr>
        <w:t xml:space="preserve">Pseudomonas </w:t>
      </w:r>
      <w:r w:rsidRPr="00D42A0A">
        <w:rPr>
          <w:sz w:val="24"/>
          <w:szCs w:val="24"/>
        </w:rPr>
        <w:t>PA14 was a gif</w:t>
      </w:r>
      <w:r w:rsidR="00572D14">
        <w:rPr>
          <w:sz w:val="24"/>
          <w:szCs w:val="24"/>
        </w:rPr>
        <w:t>t from the lab of Deborah Hogan (Dartmouth Geisel School of Medicine).</w:t>
      </w:r>
      <w:r w:rsidRPr="00D42A0A">
        <w:rPr>
          <w:sz w:val="24"/>
          <w:szCs w:val="24"/>
        </w:rPr>
        <w:t xml:space="preserve"> L&amp;M filtered cigarettes (Phillip Morris, Richmond VA) were purchased locally. Mitostress and glycolytic rate assay kits were from Agilent (Santa Clara, CA).</w:t>
      </w:r>
      <w:r w:rsidR="008A70E9">
        <w:rPr>
          <w:sz w:val="24"/>
          <w:szCs w:val="24"/>
        </w:rPr>
        <w:t xml:space="preserve"> </w:t>
      </w:r>
    </w:p>
    <w:p w:rsidR="009F615B" w:rsidRPr="00D42A0A" w:rsidRDefault="009F615B" w:rsidP="009F615B">
      <w:pPr>
        <w:spacing w:line="480" w:lineRule="auto"/>
        <w:rPr>
          <w:sz w:val="24"/>
          <w:szCs w:val="24"/>
        </w:rPr>
      </w:pPr>
      <w:r w:rsidRPr="00D42A0A">
        <w:rPr>
          <w:b/>
          <w:sz w:val="24"/>
          <w:szCs w:val="24"/>
        </w:rPr>
        <w:t>Cell culture</w:t>
      </w:r>
    </w:p>
    <w:p w:rsidR="009F615B" w:rsidRDefault="005A461E" w:rsidP="009F615B">
      <w:pPr>
        <w:spacing w:line="480" w:lineRule="auto"/>
        <w:rPr>
          <w:b/>
          <w:sz w:val="24"/>
          <w:szCs w:val="24"/>
        </w:rPr>
      </w:pPr>
      <w:r>
        <w:rPr>
          <w:sz w:val="24"/>
          <w:szCs w:val="24"/>
        </w:rPr>
        <w:t>THP-1 cells</w:t>
      </w:r>
      <w:r w:rsidR="009F615B" w:rsidRPr="00D42A0A">
        <w:rPr>
          <w:sz w:val="24"/>
          <w:szCs w:val="24"/>
        </w:rPr>
        <w:t xml:space="preserve"> were maintained in RPMI with 10% FBS, 50 </w:t>
      </w:r>
      <w:r w:rsidR="009F615B" w:rsidRPr="00D42A0A">
        <w:rPr>
          <w:sz w:val="24"/>
          <w:szCs w:val="24"/>
          <w:lang w:val="el-GR"/>
        </w:rPr>
        <w:t>μ</w:t>
      </w:r>
      <w:r w:rsidR="009F615B" w:rsidRPr="00D42A0A">
        <w:rPr>
          <w:sz w:val="24"/>
          <w:szCs w:val="24"/>
        </w:rPr>
        <w:t xml:space="preserve">M </w:t>
      </w:r>
      <w:r w:rsidR="009F615B" w:rsidRPr="00D42A0A">
        <w:rPr>
          <w:sz w:val="24"/>
          <w:szCs w:val="24"/>
          <w:lang w:val="el-GR"/>
        </w:rPr>
        <w:t>β</w:t>
      </w:r>
      <w:r w:rsidR="009F615B" w:rsidRPr="00D42A0A">
        <w:rPr>
          <w:sz w:val="24"/>
          <w:szCs w:val="24"/>
        </w:rPr>
        <w:t xml:space="preserve">-mercaptoethanol, and gentamicin 50 </w:t>
      </w:r>
      <w:r w:rsidR="009F615B" w:rsidRPr="00D42A0A">
        <w:rPr>
          <w:sz w:val="24"/>
          <w:szCs w:val="24"/>
          <w:lang w:val="el-GR"/>
        </w:rPr>
        <w:t>μ</w:t>
      </w:r>
      <w:r w:rsidR="009F615B" w:rsidRPr="00D42A0A">
        <w:rPr>
          <w:sz w:val="24"/>
          <w:szCs w:val="24"/>
        </w:rPr>
        <w:t xml:space="preserve">g/mL. </w:t>
      </w:r>
      <w:r w:rsidR="00F85025">
        <w:rPr>
          <w:sz w:val="24"/>
          <w:szCs w:val="24"/>
        </w:rPr>
        <w:t>THP-1s are maintained at a density of 2-8 x 10</w:t>
      </w:r>
      <w:r w:rsidR="00F85025">
        <w:rPr>
          <w:sz w:val="24"/>
          <w:szCs w:val="24"/>
          <w:vertAlign w:val="superscript"/>
        </w:rPr>
        <w:t>5</w:t>
      </w:r>
      <w:r w:rsidR="00F85025">
        <w:rPr>
          <w:sz w:val="24"/>
          <w:szCs w:val="24"/>
        </w:rPr>
        <w:t xml:space="preserve"> cells/mL in 75 cm</w:t>
      </w:r>
      <w:r w:rsidR="00F85025">
        <w:rPr>
          <w:sz w:val="24"/>
          <w:szCs w:val="24"/>
          <w:vertAlign w:val="superscript"/>
        </w:rPr>
        <w:t>2</w:t>
      </w:r>
      <w:r w:rsidR="00F85025">
        <w:rPr>
          <w:sz w:val="24"/>
          <w:szCs w:val="24"/>
        </w:rPr>
        <w:t xml:space="preserve"> flasks, and viability is monitored and is routinely &gt;95%. They are used for 2-3 months before a new vial is thawed from liquid nitrogen-frozen aliquots. </w:t>
      </w:r>
      <w:r w:rsidR="009F615B" w:rsidRPr="00D42A0A">
        <w:rPr>
          <w:sz w:val="24"/>
          <w:szCs w:val="24"/>
        </w:rPr>
        <w:t>THP-1s were differentiated into M</w:t>
      </w:r>
      <w:r w:rsidR="009F615B" w:rsidRPr="00D42A0A">
        <w:rPr>
          <w:sz w:val="24"/>
          <w:szCs w:val="24"/>
          <w:lang w:val="el-GR"/>
        </w:rPr>
        <w:t>Φ</w:t>
      </w:r>
      <w:r w:rsidR="009F615B" w:rsidRPr="00D42A0A">
        <w:rPr>
          <w:sz w:val="24"/>
          <w:szCs w:val="24"/>
        </w:rPr>
        <w:t xml:space="preserve"> by treatment with 50 </w:t>
      </w:r>
      <w:r w:rsidR="009F615B" w:rsidRPr="00D42A0A">
        <w:rPr>
          <w:sz w:val="24"/>
          <w:szCs w:val="24"/>
        </w:rPr>
        <w:lastRenderedPageBreak/>
        <w:t xml:space="preserve">nM PMA for 48 hrs. </w:t>
      </w:r>
      <w:r w:rsidR="00524A0A">
        <w:rPr>
          <w:sz w:val="24"/>
          <w:szCs w:val="24"/>
        </w:rPr>
        <w:t>This was based upon the protocol of Lund et al. without the 24 hour washout period</w:t>
      </w:r>
      <w:r w:rsidR="00524A0A">
        <w:rPr>
          <w:sz w:val="24"/>
          <w:szCs w:val="24"/>
        </w:rPr>
        <w:fldChar w:fldCharType="begin"/>
      </w:r>
      <w:r w:rsidR="00524A0A">
        <w:rPr>
          <w:sz w:val="24"/>
          <w:szCs w:val="24"/>
        </w:rPr>
        <w:instrText xml:space="preserve"> ADDIN ZOTERO_ITEM CSL_CITATION {"citationID":"jhbjXZH6","properties":{"formattedCitation":"\\super 1\\nosupersub{}","plainCitation":"1","noteIndex":0},"citationItems":[{"id":2555,"uris":["http://zotero.org/users/1272057/items/6DGUDTLB"],"uri":["http://zotero.org/users/1272057/items/6DGUDTLB"],"itemData":{"id":2555,"type":"article-journal","title":"The choice of phorbol 12-myristate 13-acetate differentiation protocol influences the response of THP-1 macrophages to a pro-inflammatory stimulus","container-title":"Journal of Immunological Methods","page":"64-70","volume":"430","source":"PubMed","abstract":"The human monocytic cell line, THP-1, is the most widely used model for primary human monocytes/macrophages. This is because, following differentiation using phorbol 12-myristate 13-acetate (PMA), THP-1 cells acquire a macrophage-like phenotype, which mimics, in many respects, primary human macrophages. Despite the widespread use of THP-1 cells in studies elucidating macrophage responses to inflammatory stimuli, as well as the development and screening of potential therapeutics, there is currently no standardised protocol for the reliable differentiation of THP-1 monocytes to a macrophage phenotype using PMA. Consequently, reports using THP-1 cells have demonstrated significant phenotypic and functional differences between resultant THP-1 macrophage populations, which are largely attributable to the varying PMA differentiation methods used. Thus, to guarantee consistency and reproducibility between studies, and to ensure the relevance of THP-1 cells as an appropriate model for primary human macrophages, it is crucial to develop a standardised protocol for the differentiation of THP-1 macrophages. Accordingly, we compared the function and phenotype of THP-1 macrophages generated using the range of published PMA differentiation protocols, specifically in response to the pro-inflammatory stimulus, lipopolysaccharide (LPS). Our results demonstrated that the function of the resultant THP-1 macrophage populations, as determined by tumour necrosis factor (TNF) secretion in response to LPS stimulation, varied significantly, and was dependent upon the concentration of PMA used to stimulate the differentiation of monocytes, and the period of rest following PMA exposure. These data indicate that exposure of monocytic THP-1 cells to 25 nM PMA over 48 h, followed by a recovery period of 24h in culture in the absence of PMA, was the optimal protocol for the differentiation of THP-1 cells.","DOI":"10.1016/j.jim.2016.01.012","ISSN":"1872-7905","note":"PMID: 26826276","journalAbbreviation":"J. Immunol. Methods","language":"eng","author":[{"family":"Lund","given":"Maria E."},{"family":"To","given":"Joyce"},{"family":"O'Brien","given":"Bronwyn A."},{"family":"Donnelly","given":"Sheila"}],"issued":{"date-parts":[["2016",3]]}}}],"schema":"https://github.com/citation-style-language/schema/raw/master/csl-citation.json"} </w:instrText>
      </w:r>
      <w:r w:rsidR="00524A0A">
        <w:rPr>
          <w:sz w:val="24"/>
          <w:szCs w:val="24"/>
        </w:rPr>
        <w:fldChar w:fldCharType="separate"/>
      </w:r>
      <w:r w:rsidR="00524A0A" w:rsidRPr="00524A0A">
        <w:rPr>
          <w:rFonts w:ascii="Calibri" w:hAnsi="Calibri" w:cs="Times New Roman"/>
          <w:sz w:val="24"/>
          <w:szCs w:val="24"/>
          <w:vertAlign w:val="superscript"/>
        </w:rPr>
        <w:t>1</w:t>
      </w:r>
      <w:r w:rsidR="00524A0A">
        <w:rPr>
          <w:sz w:val="24"/>
          <w:szCs w:val="24"/>
        </w:rPr>
        <w:fldChar w:fldCharType="end"/>
      </w:r>
      <w:r w:rsidR="00524A0A">
        <w:rPr>
          <w:sz w:val="24"/>
          <w:szCs w:val="24"/>
        </w:rPr>
        <w:t xml:space="preserve">. </w:t>
      </w:r>
      <w:r w:rsidR="009F615B" w:rsidRPr="00D42A0A">
        <w:rPr>
          <w:sz w:val="24"/>
          <w:szCs w:val="24"/>
        </w:rPr>
        <w:t>Peripheral blood monocytes were isolated from whole blood of healthy volunteers as previously described</w:t>
      </w:r>
      <w:r w:rsidR="0041661C">
        <w:rPr>
          <w:sz w:val="24"/>
          <w:szCs w:val="24"/>
        </w:rPr>
        <w:fldChar w:fldCharType="begin"/>
      </w:r>
      <w:r w:rsidR="0041661C">
        <w:rPr>
          <w:sz w:val="24"/>
          <w:szCs w:val="24"/>
        </w:rPr>
        <w:instrText xml:space="preserve"> ADDIN ZOTERO_ITEM CSL_CITATION {"citationID":"8RgrFfku","properties":{"formattedCitation":"\\super 2\\nosupersub{}","plainCitation":"2","noteIndex":0},"citationItems":[{"id":1845,"uris":["http://zotero.org/users/1272057/items/MN46MC5F"],"uri":["http://zotero.org/users/1272057/items/MN46MC5F"],"itemData":{"id":1845,"type":"article-journal","title":"Lumacaftor (VX-809) restores the ability of CF macrophages to phagocytose and kill Pseudomonas aeruginosa","container-title":"American Journal of Physiology. Lung Cellular and Molecular Physiology","page":"ajplung004612017","source":"PubMed","abstract":"Cystic Fibrosis (CF), the most common lethal genetic disease in Caucasians, is characterized by chronic bacterial lung infection and excessive inflammation, which leads to progressive loss of lung function, and premature death. Although ivacaftor (VX-770) and the combination of ivacaftor and lumacaftor (VX-809) improve lung function in CF patients with the Gly551Asp and del508Phe mutation, respectively, the effects of these drugs on the function of human CF macrophages are unknown. Thus, studies were conducted to examine the effects of lumacaftor alone and in combination with ivacaftor (i.e., Orkambi) on the ability of human CF (del508Phe/del508Phe) monocyte derived macrophages (MDMs) to phagocytose and kill P. aeruginosa. Lumacaftor alone restored the ability of CF MDMs to phagocytose and kill P. aeruginosa to levels observed in MDMs obtained from non-CF donors (WT-CFTR). This effect contrasts with the partial correction (~15%) of del508Phe Cl- secretion of airway epithelial cells by lumacaftor. Ivacaftor reduced the ability of lumacaftor to stimulate phagocytosis and killing of P. aeruginosa. Lumacaftor had no effect on P. aeruginosa-stimulated cytokine secretion by CF MDMs. Ivacaftor (5 µM) alone, or in combination with lumacaftor, reduced the secretion of several pro-inflammatory cytokines. The clinical efficacy of Orkambi may be related in part to the ability of lumacaftor to stimulate phagocytosis and killing of P. aeruginosa by macrophages.","DOI":"10.1152/ajplung.00461.2017","ISSN":"1522-1504","note":"PMID: 29146575","journalAbbreviation":"Am. J. Physiol. Lung Cell Mol. Physiol.","language":"eng","author":[{"family":"Barnaby","given":"Roxanna"},{"family":"Koeppen","given":"Katja"},{"family":"Nymon","given":"Amanda"},{"family":"Hampton","given":"Thomas H."},{"family":"Berwin","given":"Brent"},{"family":"Ashare","given":"Alix"},{"family":"Stanton","given":"Bruce"}],"issued":{"date-parts":[["2017",11,16]]}}}],"schema":"https://github.com/citation-style-language/schema/raw/master/csl-citation.json"} </w:instrText>
      </w:r>
      <w:r w:rsidR="0041661C">
        <w:rPr>
          <w:sz w:val="24"/>
          <w:szCs w:val="24"/>
        </w:rPr>
        <w:fldChar w:fldCharType="separate"/>
      </w:r>
      <w:r w:rsidR="0041661C" w:rsidRPr="0041661C">
        <w:rPr>
          <w:rFonts w:ascii="Calibri" w:hAnsi="Calibri" w:cs="Times New Roman"/>
          <w:sz w:val="24"/>
          <w:szCs w:val="24"/>
          <w:vertAlign w:val="superscript"/>
        </w:rPr>
        <w:t>2</w:t>
      </w:r>
      <w:r w:rsidR="0041661C">
        <w:rPr>
          <w:sz w:val="24"/>
          <w:szCs w:val="24"/>
        </w:rPr>
        <w:fldChar w:fldCharType="end"/>
      </w:r>
      <w:r w:rsidR="009F615B" w:rsidRPr="00D42A0A">
        <w:rPr>
          <w:sz w:val="24"/>
          <w:szCs w:val="24"/>
        </w:rPr>
        <w:t>, and differentiated into M</w:t>
      </w:r>
      <w:r w:rsidR="009F615B" w:rsidRPr="00D42A0A">
        <w:rPr>
          <w:sz w:val="24"/>
          <w:szCs w:val="24"/>
          <w:lang w:val="el-GR"/>
        </w:rPr>
        <w:t>Φ</w:t>
      </w:r>
      <w:r w:rsidR="009F615B" w:rsidRPr="00D42A0A">
        <w:rPr>
          <w:sz w:val="24"/>
          <w:szCs w:val="24"/>
        </w:rPr>
        <w:t xml:space="preserve"> by treatment with M-CSF 100 ng/mL in RPMI/10% FBS/gentamicin for 7 days prior to use.</w:t>
      </w:r>
      <w:r w:rsidR="009F615B">
        <w:rPr>
          <w:sz w:val="24"/>
          <w:szCs w:val="24"/>
        </w:rPr>
        <w:t xml:space="preserve">  AM</w:t>
      </w:r>
      <w:r w:rsidR="009F615B">
        <w:rPr>
          <w:sz w:val="24"/>
          <w:szCs w:val="24"/>
          <w:lang w:val="el-GR"/>
        </w:rPr>
        <w:t>Φ</w:t>
      </w:r>
      <w:r w:rsidR="009F615B" w:rsidRPr="00D42A0A">
        <w:rPr>
          <w:sz w:val="24"/>
          <w:szCs w:val="24"/>
        </w:rPr>
        <w:t xml:space="preserve"> were plated overnight </w:t>
      </w:r>
      <w:r w:rsidR="009F615B">
        <w:rPr>
          <w:sz w:val="24"/>
          <w:szCs w:val="24"/>
        </w:rPr>
        <w:t xml:space="preserve">after bronchoscopy and purification </w:t>
      </w:r>
      <w:r w:rsidR="009F615B" w:rsidRPr="00D42A0A">
        <w:rPr>
          <w:sz w:val="24"/>
          <w:szCs w:val="24"/>
        </w:rPr>
        <w:t>in RPMI with glutamax and primocin 100 μg/mL prior to use</w:t>
      </w:r>
      <w:r w:rsidR="009F615B">
        <w:rPr>
          <w:sz w:val="24"/>
          <w:szCs w:val="24"/>
        </w:rPr>
        <w:t>.</w:t>
      </w:r>
    </w:p>
    <w:p w:rsidR="009F615B" w:rsidRPr="009F615B" w:rsidRDefault="009F615B" w:rsidP="009F615B">
      <w:pPr>
        <w:spacing w:line="480" w:lineRule="auto"/>
        <w:rPr>
          <w:b/>
          <w:sz w:val="24"/>
          <w:szCs w:val="24"/>
        </w:rPr>
      </w:pPr>
      <w:r>
        <w:rPr>
          <w:b/>
          <w:sz w:val="24"/>
          <w:szCs w:val="24"/>
        </w:rPr>
        <w:t>Phagocytosis assay</w:t>
      </w:r>
    </w:p>
    <w:p w:rsidR="009F615B" w:rsidRPr="00D42A0A" w:rsidRDefault="009F615B" w:rsidP="009F615B">
      <w:pPr>
        <w:spacing w:line="480" w:lineRule="auto"/>
        <w:rPr>
          <w:sz w:val="24"/>
          <w:szCs w:val="24"/>
        </w:rPr>
      </w:pPr>
      <w:r w:rsidRPr="00D42A0A">
        <w:rPr>
          <w:i/>
          <w:sz w:val="24"/>
          <w:szCs w:val="24"/>
        </w:rPr>
        <w:t>Pseudomonas aeruginosa</w:t>
      </w:r>
      <w:r w:rsidRPr="00D42A0A">
        <w:rPr>
          <w:sz w:val="24"/>
          <w:szCs w:val="24"/>
        </w:rPr>
        <w:t xml:space="preserve"> PA14 strain was cultured overnight in LB broth prior to the assay at 37</w:t>
      </w:r>
      <w:r w:rsidRPr="00D42A0A">
        <w:rPr>
          <w:sz w:val="24"/>
          <w:szCs w:val="24"/>
          <w:vertAlign w:val="superscript"/>
        </w:rPr>
        <w:t>o</w:t>
      </w:r>
      <w:r w:rsidRPr="00D42A0A">
        <w:rPr>
          <w:sz w:val="24"/>
          <w:szCs w:val="24"/>
        </w:rPr>
        <w:t xml:space="preserve"> C with agitation in a tube angled at 30 degrees. A 1:10 subculture was performed 1 hour prior to phagocytosis assay to obtain log-phase bacteria. At that time, bacteria were pelleted in a tabletop microcentrifuge, washed twice with antibiotic-free cell culture medium, and quantified by optical densitometry at 600 nm (OD600 of 1.0 = 2x10</w:t>
      </w:r>
      <w:r w:rsidRPr="00D42A0A">
        <w:rPr>
          <w:sz w:val="24"/>
          <w:szCs w:val="24"/>
          <w:vertAlign w:val="superscript"/>
        </w:rPr>
        <w:t>9</w:t>
      </w:r>
      <w:r w:rsidRPr="00D42A0A">
        <w:rPr>
          <w:sz w:val="24"/>
          <w:szCs w:val="24"/>
        </w:rPr>
        <w:t xml:space="preserve"> bacteria/mL). Meanwhile, macrophages were plated at 2.5 x 10</w:t>
      </w:r>
      <w:r w:rsidRPr="00D42A0A">
        <w:rPr>
          <w:sz w:val="24"/>
          <w:szCs w:val="24"/>
          <w:vertAlign w:val="superscript"/>
        </w:rPr>
        <w:t>5</w:t>
      </w:r>
      <w:r w:rsidRPr="00D42A0A">
        <w:rPr>
          <w:sz w:val="24"/>
          <w:szCs w:val="24"/>
        </w:rPr>
        <w:t xml:space="preserve">/mL then medium was replaced with identical antibiotic-free medium the morning of the assay. Where indicated, DMSO, ivacaftor (30 nM), and/or lumacaftor (3 </w:t>
      </w:r>
      <w:r w:rsidRPr="00D42A0A">
        <w:rPr>
          <w:sz w:val="24"/>
          <w:szCs w:val="24"/>
          <w:lang w:val="el-GR"/>
        </w:rPr>
        <w:t>μ</w:t>
      </w:r>
      <w:r w:rsidRPr="00D42A0A">
        <w:rPr>
          <w:sz w:val="24"/>
          <w:szCs w:val="24"/>
        </w:rPr>
        <w:t>M) were added for 48 hrs prior to assay, and replaced whenever medium was exchanged. CSE was added to the wells without exchanging medium for 20 min prior to infection. H</w:t>
      </w:r>
      <w:r w:rsidRPr="00D42A0A">
        <w:rPr>
          <w:sz w:val="24"/>
          <w:szCs w:val="24"/>
          <w:vertAlign w:val="subscript"/>
        </w:rPr>
        <w:t>2</w:t>
      </w:r>
      <w:r w:rsidRPr="00D42A0A">
        <w:rPr>
          <w:sz w:val="24"/>
          <w:szCs w:val="24"/>
        </w:rPr>
        <w:t>O</w:t>
      </w:r>
      <w:r w:rsidRPr="00D42A0A">
        <w:rPr>
          <w:sz w:val="24"/>
          <w:szCs w:val="24"/>
          <w:vertAlign w:val="subscript"/>
        </w:rPr>
        <w:t>2</w:t>
      </w:r>
      <w:r w:rsidRPr="00D42A0A">
        <w:rPr>
          <w:sz w:val="24"/>
          <w:szCs w:val="24"/>
        </w:rPr>
        <w:t xml:space="preserve"> was substituted for CSE where indicated. For N-acetylcysteine experiments, NAC was added 30 min before (preTx) or 30 min after (postTx) CSE or H</w:t>
      </w:r>
      <w:r w:rsidRPr="00D42A0A">
        <w:rPr>
          <w:sz w:val="24"/>
          <w:szCs w:val="24"/>
          <w:vertAlign w:val="subscript"/>
        </w:rPr>
        <w:t>2</w:t>
      </w:r>
      <w:r w:rsidRPr="00D42A0A">
        <w:rPr>
          <w:sz w:val="24"/>
          <w:szCs w:val="24"/>
          <w:lang w:val="el-GR"/>
        </w:rPr>
        <w:t>Ο</w:t>
      </w:r>
      <w:r w:rsidRPr="00D42A0A">
        <w:rPr>
          <w:sz w:val="24"/>
          <w:szCs w:val="24"/>
          <w:vertAlign w:val="subscript"/>
        </w:rPr>
        <w:t>2</w:t>
      </w:r>
      <w:r w:rsidRPr="00D42A0A">
        <w:rPr>
          <w:sz w:val="24"/>
          <w:szCs w:val="24"/>
        </w:rPr>
        <w:t xml:space="preserve">. </w:t>
      </w:r>
    </w:p>
    <w:p w:rsidR="009F615B" w:rsidRPr="0041661C" w:rsidRDefault="009F615B" w:rsidP="009F615B">
      <w:pPr>
        <w:spacing w:line="480" w:lineRule="auto"/>
        <w:rPr>
          <w:sz w:val="24"/>
          <w:szCs w:val="24"/>
          <w:vertAlign w:val="superscript"/>
        </w:rPr>
      </w:pPr>
      <w:r w:rsidRPr="00996D18">
        <w:rPr>
          <w:i/>
          <w:sz w:val="24"/>
          <w:szCs w:val="24"/>
        </w:rPr>
        <w:t>Pseudomonas</w:t>
      </w:r>
      <w:r w:rsidRPr="00D42A0A">
        <w:rPr>
          <w:sz w:val="24"/>
          <w:szCs w:val="24"/>
        </w:rPr>
        <w:t xml:space="preserve"> was then added at a multiplicity of infection (MOI) of 10 for 20 min to allow internalization, washed with PBS once then incubated with cell culture medium with 10x gentamicin added for 15 min to kill extracellular bacteria, then washed twice in PBS for 2 min each at 4</w:t>
      </w:r>
      <w:r w:rsidRPr="00D42A0A">
        <w:rPr>
          <w:sz w:val="24"/>
          <w:szCs w:val="24"/>
          <w:vertAlign w:val="superscript"/>
        </w:rPr>
        <w:t>o</w:t>
      </w:r>
      <w:r w:rsidRPr="00D42A0A">
        <w:rPr>
          <w:sz w:val="24"/>
          <w:szCs w:val="24"/>
        </w:rPr>
        <w:t xml:space="preserve"> C with gentle shaking. Cells were then lysed with PBS/0.1% Triton X-100 for 15 min at </w:t>
      </w:r>
      <w:r w:rsidRPr="00D42A0A">
        <w:rPr>
          <w:sz w:val="24"/>
          <w:szCs w:val="24"/>
        </w:rPr>
        <w:lastRenderedPageBreak/>
        <w:t>4</w:t>
      </w:r>
      <w:r w:rsidRPr="00D42A0A">
        <w:rPr>
          <w:sz w:val="24"/>
          <w:szCs w:val="24"/>
          <w:vertAlign w:val="superscript"/>
        </w:rPr>
        <w:t>o</w:t>
      </w:r>
      <w:r w:rsidRPr="00D42A0A">
        <w:rPr>
          <w:sz w:val="24"/>
          <w:szCs w:val="24"/>
        </w:rPr>
        <w:t xml:space="preserve"> C (500 μL per well on a 12-well plate). 10 μL of lysate was then streaked on an LB agar plate and incubated overnight at 37</w:t>
      </w:r>
      <w:r w:rsidRPr="00D42A0A">
        <w:rPr>
          <w:sz w:val="24"/>
          <w:szCs w:val="24"/>
          <w:vertAlign w:val="superscript"/>
        </w:rPr>
        <w:t>o</w:t>
      </w:r>
      <w:r w:rsidRPr="00D42A0A">
        <w:rPr>
          <w:sz w:val="24"/>
          <w:szCs w:val="24"/>
        </w:rPr>
        <w:t xml:space="preserve"> C. Colony forming units were counted</w:t>
      </w:r>
      <w:r w:rsidR="0041661C">
        <w:rPr>
          <w:sz w:val="24"/>
          <w:szCs w:val="24"/>
        </w:rPr>
        <w:t>, phagocytosis rates per one million macrophages were computed, and CFU were then log transformed for graphing.</w:t>
      </w:r>
    </w:p>
    <w:p w:rsidR="006C3972" w:rsidRPr="00700266" w:rsidRDefault="009F615B">
      <w:pPr>
        <w:rPr>
          <w:b/>
          <w:sz w:val="24"/>
        </w:rPr>
      </w:pPr>
      <w:r w:rsidRPr="00700266">
        <w:rPr>
          <w:b/>
          <w:sz w:val="24"/>
        </w:rPr>
        <w:t>Immunofluorescence</w:t>
      </w:r>
    </w:p>
    <w:p w:rsidR="009F615B" w:rsidRDefault="009F615B" w:rsidP="009F615B">
      <w:pPr>
        <w:spacing w:line="480" w:lineRule="auto"/>
        <w:rPr>
          <w:sz w:val="24"/>
          <w:szCs w:val="24"/>
        </w:rPr>
      </w:pPr>
      <w:r w:rsidRPr="00D42A0A">
        <w:rPr>
          <w:sz w:val="24"/>
          <w:szCs w:val="24"/>
        </w:rPr>
        <w:t xml:space="preserve">Primary </w:t>
      </w:r>
      <w:r w:rsidR="0041661C">
        <w:rPr>
          <w:sz w:val="24"/>
          <w:szCs w:val="24"/>
        </w:rPr>
        <w:t>AM</w:t>
      </w:r>
      <w:r w:rsidR="0041661C">
        <w:rPr>
          <w:sz w:val="24"/>
          <w:szCs w:val="24"/>
          <w:lang w:val="el-GR"/>
        </w:rPr>
        <w:t>Φ</w:t>
      </w:r>
      <w:r w:rsidRPr="00D42A0A">
        <w:rPr>
          <w:sz w:val="24"/>
          <w:szCs w:val="24"/>
        </w:rPr>
        <w:t xml:space="preserve"> were plated overnight, then treated with 5% cigarette smoke extract for one hour</w:t>
      </w:r>
      <w:r>
        <w:rPr>
          <w:sz w:val="24"/>
          <w:szCs w:val="24"/>
        </w:rPr>
        <w:t xml:space="preserve">. They </w:t>
      </w:r>
      <w:r w:rsidRPr="00D42A0A">
        <w:rPr>
          <w:sz w:val="24"/>
          <w:szCs w:val="24"/>
        </w:rPr>
        <w:t>were then washed with PBS, fixed in methanol for 5 min at -20</w:t>
      </w:r>
      <w:r w:rsidRPr="00D42A0A">
        <w:rPr>
          <w:sz w:val="24"/>
          <w:szCs w:val="24"/>
          <w:vertAlign w:val="superscript"/>
        </w:rPr>
        <w:t>o</w:t>
      </w:r>
      <w:r w:rsidRPr="00D42A0A">
        <w:rPr>
          <w:sz w:val="24"/>
          <w:szCs w:val="24"/>
        </w:rPr>
        <w:t xml:space="preserve"> C, washed, blocked for one hour at room temperature with PBS/10% goat serum, washed, and incubated overnight at 4</w:t>
      </w:r>
      <w:r w:rsidRPr="00D42A0A">
        <w:rPr>
          <w:sz w:val="24"/>
          <w:szCs w:val="24"/>
          <w:vertAlign w:val="superscript"/>
        </w:rPr>
        <w:t>o</w:t>
      </w:r>
      <w:r w:rsidRPr="00D42A0A">
        <w:rPr>
          <w:sz w:val="24"/>
          <w:szCs w:val="24"/>
        </w:rPr>
        <w:t xml:space="preserve"> C with anti-CFTR (1:100 in 1.5% goat serum). The following morning they were washed thrice with PBS and incubated with goat anti-mouse-Alexa555 (1:500 in 1.5% goat serum) for one hour at RT. They were washed three more times, stained with Hoechst (10 </w:t>
      </w:r>
      <w:r w:rsidRPr="00D42A0A">
        <w:rPr>
          <w:sz w:val="24"/>
          <w:szCs w:val="24"/>
          <w:lang w:val="el-GR"/>
        </w:rPr>
        <w:t>μ</w:t>
      </w:r>
      <w:r w:rsidRPr="00D42A0A">
        <w:rPr>
          <w:sz w:val="24"/>
          <w:szCs w:val="24"/>
        </w:rPr>
        <w:t>g/mL, 5 min), washed again and mounted in Prolong Gold and allowed to cure for 7 days prior to imaging. Images were obtained with a Zeiss confocal microscope using Zen software and a 20x objective. Ten 0.82 μm thick cuts were obtained per field, and images flattened by averaging signal intensity through the z-stack. Mean fluorescence was quantified in each field and divided by the number of nuclei. Three fields per well were obtained times three wells per condition per experiment for quantitation. All imaging parameters were identical between conditions.</w:t>
      </w:r>
    </w:p>
    <w:p w:rsidR="009F615B" w:rsidRDefault="009F615B" w:rsidP="009F615B">
      <w:pPr>
        <w:spacing w:line="480" w:lineRule="auto"/>
        <w:rPr>
          <w:b/>
          <w:sz w:val="24"/>
          <w:szCs w:val="24"/>
        </w:rPr>
      </w:pPr>
      <w:r>
        <w:rPr>
          <w:b/>
          <w:sz w:val="24"/>
          <w:szCs w:val="24"/>
        </w:rPr>
        <w:t>Extracellular flux assay reagents</w:t>
      </w:r>
    </w:p>
    <w:p w:rsidR="0064503E" w:rsidRDefault="009F615B" w:rsidP="009F615B">
      <w:pPr>
        <w:spacing w:line="480" w:lineRule="auto"/>
        <w:rPr>
          <w:sz w:val="24"/>
          <w:szCs w:val="24"/>
        </w:rPr>
      </w:pPr>
      <w:r w:rsidRPr="00D42A0A">
        <w:rPr>
          <w:sz w:val="24"/>
          <w:szCs w:val="24"/>
        </w:rPr>
        <w:t xml:space="preserve">CSE final concentration was 5 or 10%, Oligomycin was 1 μM, carbonyl cyanide-p-trifluoromethoxyphenylhydrazone (FCCP) was 0.5 μM, Rotenone/Antimycin A were 0.5 μM each, and 2-decoxyglucose was 50 mM (for glycolytic rate assay). Depending on the number of cells available, 4-8 wells per condition were run per experiment. Assay was run in an Agilent </w:t>
      </w:r>
      <w:r w:rsidRPr="00D42A0A">
        <w:rPr>
          <w:sz w:val="24"/>
          <w:szCs w:val="24"/>
        </w:rPr>
        <w:lastRenderedPageBreak/>
        <w:t>Seahorse XFe96 analyzer. For mitostress assays XF base medium without phenol red was used, for glycolytic rate assay 5 mM HEPES was added.</w:t>
      </w:r>
    </w:p>
    <w:p w:rsidR="008A70E9" w:rsidRDefault="008A70E9" w:rsidP="009F615B">
      <w:pPr>
        <w:spacing w:line="480" w:lineRule="auto"/>
        <w:rPr>
          <w:b/>
          <w:sz w:val="24"/>
          <w:szCs w:val="24"/>
        </w:rPr>
      </w:pPr>
      <w:r>
        <w:rPr>
          <w:b/>
          <w:sz w:val="24"/>
          <w:szCs w:val="24"/>
        </w:rPr>
        <w:t>Cytotoxicity assay</w:t>
      </w:r>
    </w:p>
    <w:p w:rsidR="008A70E9" w:rsidRDefault="008A70E9" w:rsidP="008A70E9">
      <w:pPr>
        <w:spacing w:line="480" w:lineRule="auto"/>
        <w:rPr>
          <w:bCs/>
          <w:sz w:val="24"/>
          <w:szCs w:val="24"/>
        </w:rPr>
      </w:pPr>
      <w:r w:rsidRPr="008A70E9">
        <w:rPr>
          <w:bCs/>
          <w:sz w:val="24"/>
          <w:szCs w:val="24"/>
        </w:rPr>
        <w:t>THP-1 derived macrophages were treated with CSE on a 12-well plate.  A</w:t>
      </w:r>
      <w:r>
        <w:rPr>
          <w:bCs/>
          <w:sz w:val="24"/>
          <w:szCs w:val="24"/>
        </w:rPr>
        <w:t>f</w:t>
      </w:r>
      <w:r w:rsidRPr="008A70E9">
        <w:rPr>
          <w:bCs/>
          <w:sz w:val="24"/>
          <w:szCs w:val="24"/>
        </w:rPr>
        <w:t>t</w:t>
      </w:r>
      <w:r>
        <w:rPr>
          <w:bCs/>
          <w:sz w:val="24"/>
          <w:szCs w:val="24"/>
        </w:rPr>
        <w:t>er</w:t>
      </w:r>
      <w:r w:rsidRPr="008A70E9">
        <w:rPr>
          <w:bCs/>
          <w:sz w:val="24"/>
          <w:szCs w:val="24"/>
        </w:rPr>
        <w:t xml:space="preserve"> 20 min, 2 hr</w:t>
      </w:r>
      <w:r>
        <w:rPr>
          <w:bCs/>
          <w:sz w:val="24"/>
          <w:szCs w:val="24"/>
        </w:rPr>
        <w:t>s</w:t>
      </w:r>
      <w:r w:rsidRPr="008A70E9">
        <w:rPr>
          <w:bCs/>
          <w:sz w:val="24"/>
          <w:szCs w:val="24"/>
        </w:rPr>
        <w:t xml:space="preserve">, and 24 hrs an aliquot of </w:t>
      </w:r>
      <w:r w:rsidR="00F85025">
        <w:rPr>
          <w:bCs/>
          <w:sz w:val="24"/>
          <w:szCs w:val="24"/>
        </w:rPr>
        <w:t>supernatant</w:t>
      </w:r>
      <w:r w:rsidRPr="008A70E9">
        <w:rPr>
          <w:bCs/>
          <w:sz w:val="24"/>
          <w:szCs w:val="24"/>
        </w:rPr>
        <w:t xml:space="preserve"> was collected, spun down to remove cells and debris, transferred to a new tube, and frozen at -20</w:t>
      </w:r>
      <w:r w:rsidR="003C6323">
        <w:rPr>
          <w:bCs/>
          <w:sz w:val="24"/>
          <w:szCs w:val="24"/>
          <w:vertAlign w:val="superscript"/>
        </w:rPr>
        <w:t>o</w:t>
      </w:r>
      <w:r w:rsidR="003C6323">
        <w:rPr>
          <w:bCs/>
          <w:sz w:val="24"/>
          <w:szCs w:val="24"/>
        </w:rPr>
        <w:t xml:space="preserve"> </w:t>
      </w:r>
      <w:r w:rsidRPr="008A70E9">
        <w:rPr>
          <w:bCs/>
          <w:sz w:val="24"/>
          <w:szCs w:val="24"/>
        </w:rPr>
        <w:t xml:space="preserve">C.  </w:t>
      </w:r>
      <w:r w:rsidR="00F85025">
        <w:rPr>
          <w:bCs/>
          <w:sz w:val="24"/>
          <w:szCs w:val="24"/>
        </w:rPr>
        <w:t xml:space="preserve">We chose these timepoints to represent the short (20 min) and medium-term (2 hour) exposures to which our cells would be subjected in our functional assays, and added a 24-hour timepoint to look for more subacute effects. </w:t>
      </w:r>
      <w:r w:rsidRPr="008A70E9">
        <w:rPr>
          <w:bCs/>
          <w:sz w:val="24"/>
          <w:szCs w:val="24"/>
        </w:rPr>
        <w:t>At the 24 hr timepoint, monolayers were treated with lysis buffer per manufacturer instructions to quantify maximal LDH in cultured cells.  Cell lysates were likewise cleared by centrifugation and frozen.  The following day, an LDH colorimetric assay was performed accordi</w:t>
      </w:r>
      <w:r>
        <w:rPr>
          <w:bCs/>
          <w:sz w:val="24"/>
          <w:szCs w:val="24"/>
        </w:rPr>
        <w:t xml:space="preserve">ng to manufacturer instructions. </w:t>
      </w:r>
      <w:r w:rsidRPr="008A70E9">
        <w:rPr>
          <w:bCs/>
          <w:sz w:val="24"/>
          <w:szCs w:val="24"/>
        </w:rPr>
        <w:t>Values obtained using media alone were subtracted fro</w:t>
      </w:r>
      <w:r>
        <w:rPr>
          <w:bCs/>
          <w:sz w:val="24"/>
          <w:szCs w:val="24"/>
        </w:rPr>
        <w:t xml:space="preserve">m each point. </w:t>
      </w:r>
      <w:r w:rsidR="003C6323">
        <w:rPr>
          <w:bCs/>
          <w:sz w:val="24"/>
          <w:szCs w:val="24"/>
        </w:rPr>
        <w:t>For AM</w:t>
      </w:r>
      <w:r w:rsidR="003C6323">
        <w:rPr>
          <w:bCs/>
          <w:sz w:val="24"/>
          <w:szCs w:val="24"/>
          <w:lang w:val="el-GR"/>
        </w:rPr>
        <w:t>Φ</w:t>
      </w:r>
      <w:r w:rsidR="003C6323">
        <w:rPr>
          <w:bCs/>
          <w:sz w:val="24"/>
          <w:szCs w:val="24"/>
        </w:rPr>
        <w:t xml:space="preserve"> experiment, supernatants from one phagocytosis assay were tested after being cleared by centrifugation and frozen at -20</w:t>
      </w:r>
      <w:r w:rsidR="003C6323">
        <w:rPr>
          <w:bCs/>
          <w:sz w:val="24"/>
          <w:szCs w:val="24"/>
          <w:vertAlign w:val="superscript"/>
        </w:rPr>
        <w:t>o</w:t>
      </w:r>
      <w:r w:rsidR="003C6323">
        <w:rPr>
          <w:bCs/>
          <w:sz w:val="24"/>
          <w:szCs w:val="24"/>
        </w:rPr>
        <w:t xml:space="preserve"> C.</w:t>
      </w:r>
    </w:p>
    <w:p w:rsidR="0041661C" w:rsidRPr="0041661C" w:rsidRDefault="0041661C" w:rsidP="008A70E9">
      <w:pPr>
        <w:spacing w:line="480" w:lineRule="auto"/>
        <w:rPr>
          <w:b/>
          <w:bCs/>
          <w:sz w:val="24"/>
          <w:szCs w:val="24"/>
        </w:rPr>
      </w:pPr>
      <w:r>
        <w:rPr>
          <w:b/>
          <w:bCs/>
          <w:sz w:val="24"/>
          <w:szCs w:val="24"/>
        </w:rPr>
        <w:t>Supplemental References</w:t>
      </w:r>
    </w:p>
    <w:p w:rsidR="0041661C" w:rsidRPr="0041661C" w:rsidRDefault="00524A0A" w:rsidP="0041661C">
      <w:pPr>
        <w:pStyle w:val="Bibliography"/>
        <w:rPr>
          <w:rFonts w:ascii="Calibri" w:hAnsi="Calibri"/>
          <w:sz w:val="24"/>
        </w:rPr>
      </w:pPr>
      <w:r>
        <w:rPr>
          <w:bCs/>
        </w:rPr>
        <w:fldChar w:fldCharType="begin"/>
      </w:r>
      <w:r>
        <w:rPr>
          <w:bCs/>
        </w:rPr>
        <w:instrText xml:space="preserve"> ADDIN ZOTERO_BIBL {"uncited":[],"omitted":[],"custom":[]} CSL_BIBLIOGRAPHY </w:instrText>
      </w:r>
      <w:r>
        <w:rPr>
          <w:bCs/>
        </w:rPr>
        <w:fldChar w:fldCharType="separate"/>
      </w:r>
      <w:r w:rsidR="0041661C" w:rsidRPr="0041661C">
        <w:rPr>
          <w:rFonts w:ascii="Calibri" w:hAnsi="Calibri"/>
          <w:sz w:val="24"/>
        </w:rPr>
        <w:t>1.</w:t>
      </w:r>
      <w:r w:rsidR="0041661C" w:rsidRPr="0041661C">
        <w:rPr>
          <w:rFonts w:ascii="Calibri" w:hAnsi="Calibri"/>
          <w:sz w:val="24"/>
        </w:rPr>
        <w:tab/>
        <w:t xml:space="preserve">Lund, M. E., To, J., O’Brien, B. A. &amp; Donnelly, S. The choice of phorbol 12-myristate 13-acetate differentiation protocol influences the response of THP-1 macrophages to a pro-inflammatory stimulus. </w:t>
      </w:r>
      <w:r w:rsidR="0041661C" w:rsidRPr="0041661C">
        <w:rPr>
          <w:rFonts w:ascii="Calibri" w:hAnsi="Calibri"/>
          <w:i/>
          <w:iCs/>
          <w:sz w:val="24"/>
        </w:rPr>
        <w:t>J. Immunol. Methods</w:t>
      </w:r>
      <w:r w:rsidR="0041661C" w:rsidRPr="0041661C">
        <w:rPr>
          <w:rFonts w:ascii="Calibri" w:hAnsi="Calibri"/>
          <w:sz w:val="24"/>
        </w:rPr>
        <w:t xml:space="preserve"> </w:t>
      </w:r>
      <w:r w:rsidR="0041661C" w:rsidRPr="0041661C">
        <w:rPr>
          <w:rFonts w:ascii="Calibri" w:hAnsi="Calibri"/>
          <w:b/>
          <w:bCs/>
          <w:sz w:val="24"/>
        </w:rPr>
        <w:t>430</w:t>
      </w:r>
      <w:r w:rsidR="0041661C" w:rsidRPr="0041661C">
        <w:rPr>
          <w:rFonts w:ascii="Calibri" w:hAnsi="Calibri"/>
          <w:sz w:val="24"/>
        </w:rPr>
        <w:t>, 64–70 (2016).</w:t>
      </w:r>
    </w:p>
    <w:p w:rsidR="0041661C" w:rsidRPr="0041661C" w:rsidRDefault="0041661C" w:rsidP="0041661C">
      <w:pPr>
        <w:pStyle w:val="Bibliography"/>
        <w:rPr>
          <w:rFonts w:ascii="Calibri" w:hAnsi="Calibri"/>
          <w:sz w:val="24"/>
        </w:rPr>
      </w:pPr>
      <w:r w:rsidRPr="0041661C">
        <w:rPr>
          <w:rFonts w:ascii="Calibri" w:hAnsi="Calibri"/>
          <w:sz w:val="24"/>
        </w:rPr>
        <w:t>2.</w:t>
      </w:r>
      <w:r w:rsidRPr="0041661C">
        <w:rPr>
          <w:rFonts w:ascii="Calibri" w:hAnsi="Calibri"/>
          <w:sz w:val="24"/>
        </w:rPr>
        <w:tab/>
        <w:t xml:space="preserve">Barnaby, R. </w:t>
      </w:r>
      <w:r w:rsidRPr="0041661C">
        <w:rPr>
          <w:rFonts w:ascii="Calibri" w:hAnsi="Calibri"/>
          <w:i/>
          <w:iCs/>
          <w:sz w:val="24"/>
        </w:rPr>
        <w:t>et al.</w:t>
      </w:r>
      <w:r w:rsidRPr="0041661C">
        <w:rPr>
          <w:rFonts w:ascii="Calibri" w:hAnsi="Calibri"/>
          <w:sz w:val="24"/>
        </w:rPr>
        <w:t xml:space="preserve"> Lumacaftor (VX-809) restores the ability of CF macrophages to phagocytose and kill Pseudomonas aeruginosa. </w:t>
      </w:r>
      <w:r w:rsidRPr="0041661C">
        <w:rPr>
          <w:rFonts w:ascii="Calibri" w:hAnsi="Calibri"/>
          <w:i/>
          <w:iCs/>
          <w:sz w:val="24"/>
        </w:rPr>
        <w:t>Am. J. Physiol. Lung Cell. Mol. Physiol.</w:t>
      </w:r>
      <w:r w:rsidRPr="0041661C">
        <w:rPr>
          <w:rFonts w:ascii="Calibri" w:hAnsi="Calibri"/>
          <w:sz w:val="24"/>
        </w:rPr>
        <w:t xml:space="preserve"> ajplung004612017 (2017). doi:10.1152/ajplung.00461.2017</w:t>
      </w:r>
    </w:p>
    <w:p w:rsidR="00524A0A" w:rsidRPr="003C6323" w:rsidRDefault="00524A0A" w:rsidP="008A70E9">
      <w:pPr>
        <w:spacing w:line="480" w:lineRule="auto"/>
        <w:rPr>
          <w:bCs/>
          <w:sz w:val="24"/>
          <w:szCs w:val="24"/>
        </w:rPr>
      </w:pPr>
      <w:r>
        <w:rPr>
          <w:bCs/>
          <w:sz w:val="24"/>
          <w:szCs w:val="24"/>
        </w:rPr>
        <w:lastRenderedPageBreak/>
        <w:fldChar w:fldCharType="end"/>
      </w:r>
    </w:p>
    <w:p w:rsidR="006C2DE2" w:rsidRPr="008A70E9" w:rsidRDefault="006C2DE2" w:rsidP="008A70E9">
      <w:pPr>
        <w:spacing w:line="480" w:lineRule="auto"/>
        <w:rPr>
          <w:bCs/>
          <w:sz w:val="24"/>
          <w:szCs w:val="24"/>
        </w:rPr>
      </w:pPr>
    </w:p>
    <w:p w:rsidR="008A70E9" w:rsidRPr="008A70E9" w:rsidRDefault="008A70E9" w:rsidP="009F615B">
      <w:pPr>
        <w:spacing w:line="480" w:lineRule="auto"/>
        <w:rPr>
          <w:b/>
          <w:sz w:val="24"/>
          <w:szCs w:val="24"/>
        </w:rPr>
      </w:pPr>
    </w:p>
    <w:p w:rsidR="0064503E" w:rsidRDefault="0064503E">
      <w:pPr>
        <w:rPr>
          <w:sz w:val="24"/>
          <w:szCs w:val="24"/>
        </w:rPr>
      </w:pPr>
      <w:r>
        <w:rPr>
          <w:sz w:val="24"/>
          <w:szCs w:val="24"/>
        </w:rPr>
        <w:br w:type="page"/>
      </w:r>
    </w:p>
    <w:p w:rsidR="008A70E9" w:rsidRDefault="008A70E9">
      <w:pPr>
        <w:rPr>
          <w:sz w:val="24"/>
          <w:szCs w:val="24"/>
        </w:rPr>
      </w:pPr>
    </w:p>
    <w:p w:rsidR="006C2DE2" w:rsidRPr="00700266" w:rsidRDefault="00C6294B" w:rsidP="009F615B">
      <w:pPr>
        <w:spacing w:line="480" w:lineRule="auto"/>
        <w:rPr>
          <w:b/>
          <w:sz w:val="24"/>
          <w:szCs w:val="24"/>
        </w:rPr>
      </w:pPr>
      <w:r>
        <w:rPr>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pt;margin-top:-2.95pt;width:261.3pt;height:196.75pt;z-index:-251658241" filled="t">
            <v:imagedata r:id="rId6" o:title=""/>
          </v:shape>
          <o:OLEObject Type="Embed" ProgID="Prism7.Document" ShapeID="_x0000_s1029" DrawAspect="Content" ObjectID="_1620212323" r:id="rId7"/>
        </w:object>
      </w:r>
      <w:r>
        <w:rPr>
          <w:b/>
          <w:noProof/>
          <w:sz w:val="24"/>
          <w:szCs w:val="24"/>
        </w:rPr>
        <w:object w:dxaOrig="1440" w:dyaOrig="1440">
          <v:shape id="_x0000_s1028" type="#_x0000_t75" style="position:absolute;margin-left:265.05pt;margin-top:-9.05pt;width:228.8pt;height:223.7pt;z-index:-251652096" filled="t">
            <v:imagedata r:id="rId8" o:title=""/>
          </v:shape>
          <o:OLEObject Type="Embed" ProgID="Prism7.Document" ShapeID="_x0000_s1028" DrawAspect="Content" ObjectID="_1620212324" r:id="rId9"/>
        </w:object>
      </w:r>
      <w:r w:rsidR="00700266" w:rsidRPr="00700266">
        <w:rPr>
          <w:b/>
          <w:sz w:val="24"/>
          <w:szCs w:val="24"/>
        </w:rPr>
        <w:t>a</w:t>
      </w:r>
      <w:r w:rsidR="00700266">
        <w:rPr>
          <w:b/>
          <w:sz w:val="24"/>
          <w:szCs w:val="24"/>
        </w:rPr>
        <w:tab/>
      </w:r>
      <w:r w:rsidR="00700266">
        <w:rPr>
          <w:b/>
          <w:sz w:val="24"/>
          <w:szCs w:val="24"/>
        </w:rPr>
        <w:tab/>
      </w:r>
      <w:r w:rsidR="00700266">
        <w:rPr>
          <w:b/>
          <w:sz w:val="24"/>
          <w:szCs w:val="24"/>
        </w:rPr>
        <w:tab/>
      </w:r>
      <w:r w:rsidR="00700266">
        <w:rPr>
          <w:b/>
          <w:sz w:val="24"/>
          <w:szCs w:val="24"/>
        </w:rPr>
        <w:tab/>
      </w:r>
      <w:r w:rsidR="00700266">
        <w:rPr>
          <w:b/>
          <w:sz w:val="24"/>
          <w:szCs w:val="24"/>
        </w:rPr>
        <w:tab/>
      </w:r>
      <w:r w:rsidR="00700266">
        <w:rPr>
          <w:b/>
          <w:sz w:val="24"/>
          <w:szCs w:val="24"/>
        </w:rPr>
        <w:tab/>
      </w:r>
      <w:r w:rsidR="00700266">
        <w:rPr>
          <w:b/>
          <w:sz w:val="24"/>
          <w:szCs w:val="24"/>
        </w:rPr>
        <w:tab/>
        <w:t xml:space="preserve">          b</w:t>
      </w:r>
    </w:p>
    <w:p w:rsidR="006C2DE2" w:rsidRPr="00700266" w:rsidRDefault="006C2DE2" w:rsidP="006C2DE2">
      <w:pPr>
        <w:spacing w:line="480" w:lineRule="auto"/>
        <w:ind w:left="720" w:firstLine="720"/>
        <w:rPr>
          <w:b/>
          <w:sz w:val="24"/>
          <w:szCs w:val="24"/>
        </w:rPr>
      </w:pPr>
    </w:p>
    <w:p w:rsidR="00700266" w:rsidRDefault="00700266" w:rsidP="00700266">
      <w:pPr>
        <w:spacing w:line="480" w:lineRule="auto"/>
        <w:rPr>
          <w:b/>
          <w:bCs/>
          <w:sz w:val="24"/>
          <w:szCs w:val="24"/>
        </w:rPr>
      </w:pPr>
    </w:p>
    <w:p w:rsidR="00700266" w:rsidRDefault="00700266" w:rsidP="00700266">
      <w:pPr>
        <w:spacing w:line="480" w:lineRule="auto"/>
        <w:rPr>
          <w:b/>
          <w:bCs/>
          <w:sz w:val="24"/>
          <w:szCs w:val="24"/>
        </w:rPr>
      </w:pPr>
    </w:p>
    <w:p w:rsidR="00700266" w:rsidRDefault="00700266" w:rsidP="00700266">
      <w:pPr>
        <w:spacing w:line="480" w:lineRule="auto"/>
        <w:rPr>
          <w:b/>
          <w:bCs/>
          <w:sz w:val="24"/>
          <w:szCs w:val="24"/>
        </w:rPr>
      </w:pPr>
    </w:p>
    <w:p w:rsidR="00700266" w:rsidRDefault="00700266" w:rsidP="00700266">
      <w:pPr>
        <w:spacing w:line="480" w:lineRule="auto"/>
        <w:rPr>
          <w:b/>
          <w:bCs/>
          <w:sz w:val="24"/>
          <w:szCs w:val="24"/>
        </w:rPr>
      </w:pPr>
    </w:p>
    <w:p w:rsidR="00700266" w:rsidRDefault="00700266" w:rsidP="00700266">
      <w:pPr>
        <w:spacing w:line="480" w:lineRule="auto"/>
        <w:rPr>
          <w:b/>
          <w:bCs/>
          <w:sz w:val="24"/>
          <w:szCs w:val="24"/>
        </w:rPr>
      </w:pPr>
    </w:p>
    <w:p w:rsidR="00700266" w:rsidRPr="008A70E9" w:rsidRDefault="008546FA" w:rsidP="00700266">
      <w:pPr>
        <w:spacing w:line="480" w:lineRule="auto"/>
        <w:rPr>
          <w:b/>
          <w:bCs/>
          <w:sz w:val="24"/>
          <w:szCs w:val="24"/>
        </w:rPr>
      </w:pPr>
      <w:r>
        <w:rPr>
          <w:b/>
          <w:bCs/>
          <w:sz w:val="24"/>
          <w:szCs w:val="24"/>
        </w:rPr>
        <w:t xml:space="preserve">Supplementary </w:t>
      </w:r>
      <w:r w:rsidR="00700266">
        <w:rPr>
          <w:b/>
          <w:bCs/>
          <w:sz w:val="24"/>
          <w:szCs w:val="24"/>
        </w:rPr>
        <w:t>Figure S1.  CSE is not cytotoxic to macrophages at low doses</w:t>
      </w:r>
    </w:p>
    <w:p w:rsidR="00700266" w:rsidRPr="006C2DE2" w:rsidRDefault="00700266" w:rsidP="00700266">
      <w:pPr>
        <w:spacing w:line="480" w:lineRule="auto"/>
        <w:rPr>
          <w:bCs/>
          <w:sz w:val="24"/>
          <w:szCs w:val="24"/>
        </w:rPr>
      </w:pPr>
      <w:r>
        <w:rPr>
          <w:b/>
          <w:bCs/>
          <w:sz w:val="24"/>
          <w:szCs w:val="24"/>
        </w:rPr>
        <w:t>a</w:t>
      </w:r>
      <w:r w:rsidRPr="006C2DE2">
        <w:rPr>
          <w:b/>
          <w:bCs/>
          <w:sz w:val="24"/>
          <w:szCs w:val="24"/>
        </w:rPr>
        <w:t xml:space="preserve">) </w:t>
      </w:r>
      <w:r w:rsidRPr="008A70E9">
        <w:rPr>
          <w:bCs/>
          <w:sz w:val="24"/>
          <w:szCs w:val="24"/>
        </w:rPr>
        <w:t xml:space="preserve">THP-1 derived macrophages were treated with </w:t>
      </w:r>
      <w:r>
        <w:rPr>
          <w:bCs/>
          <w:sz w:val="24"/>
          <w:szCs w:val="24"/>
        </w:rPr>
        <w:t>increasing</w:t>
      </w:r>
      <w:r w:rsidRPr="008A70E9">
        <w:rPr>
          <w:bCs/>
          <w:sz w:val="24"/>
          <w:szCs w:val="24"/>
        </w:rPr>
        <w:t xml:space="preserve"> doses of CSE on a 12-well plate.  </w:t>
      </w:r>
      <w:r>
        <w:rPr>
          <w:bCs/>
          <w:sz w:val="24"/>
          <w:szCs w:val="24"/>
        </w:rPr>
        <w:t>LDH measurements at 20 min, 2 hr and 24 hr were performed, and cells were lysed a</w:t>
      </w:r>
      <w:r w:rsidRPr="008A70E9">
        <w:rPr>
          <w:bCs/>
          <w:sz w:val="24"/>
          <w:szCs w:val="24"/>
        </w:rPr>
        <w:t xml:space="preserve">t 24 hr </w:t>
      </w:r>
      <w:r>
        <w:rPr>
          <w:bCs/>
          <w:sz w:val="24"/>
          <w:szCs w:val="24"/>
        </w:rPr>
        <w:t>to determine maximal LDH release</w:t>
      </w:r>
      <w:r w:rsidRPr="008A70E9">
        <w:rPr>
          <w:bCs/>
          <w:sz w:val="24"/>
          <w:szCs w:val="24"/>
        </w:rPr>
        <w:t>.  Points were performed in triplicate and mean +/- s.d. are graphed</w:t>
      </w:r>
      <w:r>
        <w:rPr>
          <w:bCs/>
          <w:sz w:val="24"/>
          <w:szCs w:val="24"/>
        </w:rPr>
        <w:t>.</w:t>
      </w:r>
      <w:r w:rsidRPr="006C2DE2">
        <w:rPr>
          <w:bCs/>
          <w:sz w:val="24"/>
          <w:szCs w:val="24"/>
        </w:rPr>
        <w:t xml:space="preserve"> </w:t>
      </w:r>
      <w:r>
        <w:rPr>
          <w:b/>
          <w:bCs/>
          <w:sz w:val="24"/>
          <w:szCs w:val="24"/>
        </w:rPr>
        <w:t>b</w:t>
      </w:r>
      <w:r w:rsidRPr="006C2DE2">
        <w:rPr>
          <w:b/>
          <w:bCs/>
          <w:sz w:val="24"/>
          <w:szCs w:val="24"/>
        </w:rPr>
        <w:t xml:space="preserve">) </w:t>
      </w:r>
      <w:r>
        <w:rPr>
          <w:bCs/>
          <w:sz w:val="24"/>
          <w:szCs w:val="24"/>
        </w:rPr>
        <w:t xml:space="preserve">Supernatants from phagocytosis assay in </w:t>
      </w:r>
      <w:r w:rsidRPr="00700266">
        <w:rPr>
          <w:bCs/>
          <w:sz w:val="24"/>
          <w:szCs w:val="24"/>
        </w:rPr>
        <w:t>Fig.</w:t>
      </w:r>
      <w:r>
        <w:rPr>
          <w:bCs/>
          <w:sz w:val="24"/>
          <w:szCs w:val="24"/>
        </w:rPr>
        <w:t xml:space="preserve"> 1d were tested for LDH release after 20 min CSE followed by 20 min </w:t>
      </w:r>
      <w:r>
        <w:rPr>
          <w:bCs/>
          <w:i/>
          <w:sz w:val="24"/>
          <w:szCs w:val="24"/>
        </w:rPr>
        <w:t>Pseudomonas</w:t>
      </w:r>
      <w:r>
        <w:rPr>
          <w:bCs/>
          <w:sz w:val="24"/>
          <w:szCs w:val="24"/>
        </w:rPr>
        <w:t xml:space="preserve"> infection. </w:t>
      </w:r>
      <w:r>
        <w:rPr>
          <w:b/>
          <w:bCs/>
          <w:sz w:val="24"/>
          <w:szCs w:val="24"/>
        </w:rPr>
        <w:t xml:space="preserve"> </w:t>
      </w:r>
      <w:r>
        <w:rPr>
          <w:bCs/>
          <w:sz w:val="24"/>
          <w:szCs w:val="24"/>
        </w:rPr>
        <w:t>LDH positive control is shown on the right, points were performed in triplicate and mean + s.d. graphed. Differences between experimental groups are not significant by ANOVA with Tukey’s post-hoc test.</w:t>
      </w:r>
    </w:p>
    <w:p w:rsidR="006C2DE2" w:rsidRPr="00700266" w:rsidRDefault="006C2DE2" w:rsidP="009F615B">
      <w:pPr>
        <w:spacing w:line="480" w:lineRule="auto"/>
        <w:rPr>
          <w:b/>
          <w:sz w:val="24"/>
          <w:szCs w:val="24"/>
        </w:rPr>
      </w:pPr>
    </w:p>
    <w:p w:rsidR="006C2DE2" w:rsidRPr="00700266" w:rsidRDefault="006C2DE2" w:rsidP="009F615B">
      <w:pPr>
        <w:spacing w:line="480" w:lineRule="auto"/>
        <w:rPr>
          <w:b/>
          <w:sz w:val="24"/>
          <w:szCs w:val="24"/>
        </w:rPr>
      </w:pPr>
    </w:p>
    <w:p w:rsidR="006C2DE2" w:rsidRPr="00700266" w:rsidRDefault="006C2DE2" w:rsidP="009F615B">
      <w:pPr>
        <w:spacing w:line="480" w:lineRule="auto"/>
        <w:rPr>
          <w:b/>
          <w:sz w:val="24"/>
          <w:szCs w:val="24"/>
        </w:rPr>
      </w:pPr>
    </w:p>
    <w:p w:rsidR="009F615B" w:rsidRPr="009F615B" w:rsidRDefault="009F615B" w:rsidP="009F615B">
      <w:pPr>
        <w:spacing w:line="480" w:lineRule="auto"/>
        <w:rPr>
          <w:b/>
          <w:sz w:val="24"/>
          <w:szCs w:val="24"/>
        </w:rPr>
      </w:pPr>
    </w:p>
    <w:p w:rsidR="0064503E" w:rsidRDefault="0064503E"/>
    <w:p w:rsidR="005241D6" w:rsidRDefault="003310A2">
      <w:pPr>
        <w:rPr>
          <w:sz w:val="24"/>
          <w:szCs w:val="24"/>
        </w:rPr>
      </w:pPr>
      <w:r w:rsidRPr="0064503E">
        <w:rPr>
          <w:noProof/>
        </w:rPr>
        <mc:AlternateContent>
          <mc:Choice Requires="wps">
            <w:drawing>
              <wp:anchor distT="0" distB="0" distL="114300" distR="114300" simplePos="0" relativeHeight="251668480" behindDoc="0" locked="0" layoutInCell="1" allowOverlap="1" wp14:anchorId="6A17CA46" wp14:editId="2DB7DB5D">
                <wp:simplePos x="0" y="0"/>
                <wp:positionH relativeFrom="column">
                  <wp:posOffset>2990850</wp:posOffset>
                </wp:positionH>
                <wp:positionV relativeFrom="paragraph">
                  <wp:posOffset>0</wp:posOffset>
                </wp:positionV>
                <wp:extent cx="272415" cy="307340"/>
                <wp:effectExtent l="0" t="0" r="0" b="0"/>
                <wp:wrapNone/>
                <wp:docPr id="4" name="TextBox 8"/>
                <wp:cNvGraphicFramePr/>
                <a:graphic xmlns:a="http://schemas.openxmlformats.org/drawingml/2006/main">
                  <a:graphicData uri="http://schemas.microsoft.com/office/word/2010/wordprocessingShape">
                    <wps:wsp>
                      <wps:cNvSpPr txBox="1"/>
                      <wps:spPr>
                        <a:xfrm>
                          <a:off x="0" y="0"/>
                          <a:ext cx="272415" cy="307340"/>
                        </a:xfrm>
                        <a:prstGeom prst="rect">
                          <a:avLst/>
                        </a:prstGeom>
                        <a:noFill/>
                      </wps:spPr>
                      <wps:txbx>
                        <w:txbxContent>
                          <w:p w:rsidR="003310A2" w:rsidRDefault="003310A2" w:rsidP="003310A2">
                            <w:pPr>
                              <w:pStyle w:val="Bibliography"/>
                            </w:pPr>
                            <w:r>
                              <w:rPr>
                                <w:rFonts w:hAnsi="Calibri"/>
                                <w:b/>
                                <w:bCs/>
                                <w:color w:val="000000" w:themeColor="text1"/>
                                <w:kern w:val="24"/>
                                <w:sz w:val="28"/>
                                <w:szCs w:val="28"/>
                              </w:rPr>
                              <w:t>b</w:t>
                            </w:r>
                          </w:p>
                        </w:txbxContent>
                      </wps:txbx>
                      <wps:bodyPr wrap="none" rtlCol="0">
                        <a:spAutoFit/>
                      </wps:bodyPr>
                    </wps:wsp>
                  </a:graphicData>
                </a:graphic>
              </wp:anchor>
            </w:drawing>
          </mc:Choice>
          <mc:Fallback>
            <w:pict>
              <v:shapetype w14:anchorId="6A17CA46" id="_x0000_t202" coordsize="21600,21600" o:spt="202" path="m,l,21600r21600,l21600,xe">
                <v:stroke joinstyle="miter"/>
                <v:path gradientshapeok="t" o:connecttype="rect"/>
              </v:shapetype>
              <v:shape id="TextBox 8" o:spid="_x0000_s1026" type="#_x0000_t202" style="position:absolute;margin-left:235.5pt;margin-top:0;width:21.45pt;height:24.2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" filled="f" stroked="f">
                <v:textbox style="mso-fit-shape-to-text:t">
                  <w:txbxContent>
                    <w:p w:rsidR="003310A2" w:rsidRDefault="003310A2" w:rsidP="003310A2">
                      <w:pPr>
                        <w:pStyle w:val="Bibliography"/>
                      </w:pPr>
                      <w:proofErr w:type="gramStart"/>
                      <w:r>
                        <w:rPr>
                          <w:rFonts w:hAnsi="Calibri"/>
                          <w:b/>
                          <w:bCs/>
                          <w:color w:val="000000" w:themeColor="text1"/>
                          <w:kern w:val="24"/>
                          <w:sz w:val="28"/>
                          <w:szCs w:val="28"/>
                        </w:rPr>
                        <w:t>b</w:t>
                      </w:r>
                      <w:proofErr w:type="gramEnd"/>
                    </w:p>
                  </w:txbxContent>
                </v:textbox>
              </v:shape>
            </w:pict>
          </mc:Fallback>
        </mc:AlternateContent>
      </w:r>
      <w:r w:rsidRPr="0064503E">
        <w:rPr>
          <w:noProof/>
        </w:rPr>
        <mc:AlternateContent>
          <mc:Choice Requires="wps">
            <w:drawing>
              <wp:anchor distT="0" distB="0" distL="114300" distR="114300" simplePos="0" relativeHeight="251666432" behindDoc="0" locked="0" layoutInCell="1" allowOverlap="1" wp14:anchorId="251B272D" wp14:editId="1DBA9C9A">
                <wp:simplePos x="0" y="0"/>
                <wp:positionH relativeFrom="column">
                  <wp:posOffset>0</wp:posOffset>
                </wp:positionH>
                <wp:positionV relativeFrom="paragraph">
                  <wp:posOffset>0</wp:posOffset>
                </wp:positionV>
                <wp:extent cx="272415" cy="307340"/>
                <wp:effectExtent l="0" t="0" r="0" b="0"/>
                <wp:wrapNone/>
                <wp:docPr id="3" name="TextBox 8"/>
                <wp:cNvGraphicFramePr/>
                <a:graphic xmlns:a="http://schemas.openxmlformats.org/drawingml/2006/main">
                  <a:graphicData uri="http://schemas.microsoft.com/office/word/2010/wordprocessingShape">
                    <wps:wsp>
                      <wps:cNvSpPr txBox="1"/>
                      <wps:spPr>
                        <a:xfrm>
                          <a:off x="0" y="0"/>
                          <a:ext cx="272415" cy="307340"/>
                        </a:xfrm>
                        <a:prstGeom prst="rect">
                          <a:avLst/>
                        </a:prstGeom>
                        <a:noFill/>
                      </wps:spPr>
                      <wps:txbx>
                        <w:txbxContent>
                          <w:p w:rsidR="003310A2" w:rsidRDefault="003310A2" w:rsidP="003310A2">
                            <w:pPr>
                              <w:pStyle w:val="NormalWeb"/>
                              <w:spacing w:before="0" w:beforeAutospacing="0" w:after="0" w:afterAutospacing="0"/>
                            </w:pPr>
                            <w:r>
                              <w:rPr>
                                <w:rFonts w:asciiTheme="minorHAnsi" w:hAnsi="Calibri" w:cstheme="minorBidi"/>
                                <w:b/>
                                <w:bCs/>
                                <w:color w:val="000000" w:themeColor="text1"/>
                                <w:kern w:val="24"/>
                                <w:sz w:val="28"/>
                                <w:szCs w:val="28"/>
                              </w:rPr>
                              <w:t>a</w:t>
                            </w:r>
                          </w:p>
                        </w:txbxContent>
                      </wps:txbx>
                      <wps:bodyPr wrap="none" rtlCol="0">
                        <a:spAutoFit/>
                      </wps:bodyPr>
                    </wps:wsp>
                  </a:graphicData>
                </a:graphic>
              </wp:anchor>
            </w:drawing>
          </mc:Choice>
          <mc:Fallback>
            <w:pict>
              <v:shape w14:anchorId="251B272D" id="_x0000_s1027" type="#_x0000_t202" style="position:absolute;margin-left:0;margin-top:0;width:21.45pt;height:24.2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" filled="f" stroked="f">
                <v:textbox style="mso-fit-shape-to-text:t">
                  <w:txbxContent>
                    <w:p w:rsidR="003310A2" w:rsidRDefault="003310A2" w:rsidP="003310A2">
                      <w:pPr>
                        <w:pStyle w:val="NormalWeb"/>
                        <w:spacing w:before="0" w:beforeAutospacing="0" w:after="0" w:afterAutospacing="0"/>
                      </w:pPr>
                      <w:proofErr w:type="gramStart"/>
                      <w:r>
                        <w:rPr>
                          <w:rFonts w:asciiTheme="minorHAnsi" w:hAnsi="Calibri" w:cstheme="minorBidi"/>
                          <w:b/>
                          <w:bCs/>
                          <w:color w:val="000000" w:themeColor="text1"/>
                          <w:kern w:val="24"/>
                          <w:sz w:val="28"/>
                          <w:szCs w:val="28"/>
                        </w:rPr>
                        <w:t>a</w:t>
                      </w:r>
                      <w:proofErr w:type="gramEnd"/>
                    </w:p>
                  </w:txbxContent>
                </v:textbox>
              </v:shape>
            </w:pict>
          </mc:Fallback>
        </mc:AlternateContent>
      </w:r>
      <w:r>
        <w:object w:dxaOrig="14683" w:dyaOrig="6360">
          <v:shape id="_x0000_i1027" type="#_x0000_t75" style="width:467.65pt;height:202.55pt" o:ole="">
            <v:imagedata r:id="rId10" o:title=""/>
          </v:shape>
          <o:OLEObject Type="Embed" ProgID="Prism8.Document" ShapeID="_x0000_i1027" DrawAspect="Content" ObjectID="_1620212322" r:id="rId11"/>
        </w:object>
      </w:r>
    </w:p>
    <w:p w:rsidR="005241D6" w:rsidRDefault="005241D6">
      <w:pPr>
        <w:rPr>
          <w:sz w:val="24"/>
          <w:szCs w:val="24"/>
        </w:rPr>
      </w:pPr>
    </w:p>
    <w:p w:rsidR="005241D6" w:rsidRDefault="00412006">
      <w:pPr>
        <w:rPr>
          <w:b/>
          <w:sz w:val="24"/>
          <w:szCs w:val="24"/>
        </w:rPr>
      </w:pPr>
      <w:r>
        <w:rPr>
          <w:b/>
          <w:sz w:val="24"/>
          <w:szCs w:val="24"/>
        </w:rPr>
        <w:t>Figure S2</w:t>
      </w:r>
      <w:r w:rsidR="005241D6">
        <w:rPr>
          <w:b/>
          <w:sz w:val="24"/>
          <w:szCs w:val="24"/>
        </w:rPr>
        <w:t>.</w:t>
      </w:r>
      <w:r w:rsidR="003310A2">
        <w:rPr>
          <w:b/>
          <w:sz w:val="24"/>
          <w:szCs w:val="24"/>
        </w:rPr>
        <w:t xml:space="preserve"> Ivacaftor and Lumacaftor do not affect THP-1 phagocytosis over a wide range of concentrations with or without CSE exposure</w:t>
      </w:r>
    </w:p>
    <w:p w:rsidR="005241D6" w:rsidRPr="005241D6" w:rsidRDefault="003310A2">
      <w:pPr>
        <w:rPr>
          <w:sz w:val="24"/>
          <w:szCs w:val="24"/>
        </w:rPr>
      </w:pPr>
      <w:r>
        <w:rPr>
          <w:sz w:val="24"/>
          <w:szCs w:val="24"/>
        </w:rPr>
        <w:t>THP-1 macrophages were treated with varied concentrations of Ivacaftor (</w:t>
      </w:r>
      <w:r w:rsidRPr="003310A2">
        <w:rPr>
          <w:b/>
          <w:sz w:val="24"/>
          <w:szCs w:val="24"/>
        </w:rPr>
        <w:t>a</w:t>
      </w:r>
      <w:r>
        <w:rPr>
          <w:sz w:val="24"/>
          <w:szCs w:val="24"/>
        </w:rPr>
        <w:t xml:space="preserve">) </w:t>
      </w:r>
      <w:r w:rsidRPr="003310A2">
        <w:rPr>
          <w:sz w:val="24"/>
          <w:szCs w:val="24"/>
        </w:rPr>
        <w:t>or</w:t>
      </w:r>
      <w:r>
        <w:rPr>
          <w:sz w:val="24"/>
          <w:szCs w:val="24"/>
        </w:rPr>
        <w:t xml:space="preserve"> Lumacaftor (</w:t>
      </w:r>
      <w:r w:rsidRPr="003310A2">
        <w:rPr>
          <w:b/>
          <w:sz w:val="24"/>
          <w:szCs w:val="24"/>
        </w:rPr>
        <w:t>b</w:t>
      </w:r>
      <w:r>
        <w:rPr>
          <w:sz w:val="24"/>
          <w:szCs w:val="24"/>
        </w:rPr>
        <w:t>) for 48 hours. They were then subjected to a phagocytosis assay as in Fig. 1a, Ivacaftor or Lumacaftor was replaced after media exchange and was present throughout the phagocytosis experiment. Four technical replicates per condition were performed and mean and SEM of three independent experiments are graphed. No concentrations of either drug resulted in a statistically significant deviation from control DMSO treated conditions either in the presence or absence of 5% CSE by two way ANOVA.</w:t>
      </w:r>
    </w:p>
    <w:p w:rsidR="005241D6" w:rsidRDefault="0099501D">
      <w:pPr>
        <w:rPr>
          <w:sz w:val="24"/>
          <w:szCs w:val="24"/>
        </w:rPr>
      </w:pPr>
      <w:r>
        <w:rPr>
          <w:sz w:val="24"/>
          <w:szCs w:val="24"/>
        </w:rPr>
        <w:br w:type="page"/>
      </w:r>
    </w:p>
    <w:p w:rsidR="00412006" w:rsidRDefault="00412006" w:rsidP="00412006">
      <w:pPr>
        <w:spacing w:line="480" w:lineRule="auto"/>
      </w:pPr>
      <w:r w:rsidRPr="0064503E">
        <w:rPr>
          <w:noProof/>
        </w:rPr>
        <w:lastRenderedPageBreak/>
        <w:drawing>
          <wp:anchor distT="0" distB="0" distL="114300" distR="114300" simplePos="0" relativeHeight="251670528" behindDoc="1" locked="0" layoutInCell="1" allowOverlap="1" wp14:anchorId="4768E95D" wp14:editId="1ECD60D7">
            <wp:simplePos x="0" y="0"/>
            <wp:positionH relativeFrom="column">
              <wp:posOffset>-207034</wp:posOffset>
            </wp:positionH>
            <wp:positionV relativeFrom="paragraph">
              <wp:posOffset>172193</wp:posOffset>
            </wp:positionV>
            <wp:extent cx="5581291" cy="2389517"/>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84108" cy="2390723"/>
                    </a:xfrm>
                    <a:prstGeom prst="rect">
                      <a:avLst/>
                    </a:prstGeom>
                  </pic:spPr>
                </pic:pic>
              </a:graphicData>
            </a:graphic>
            <wp14:sizeRelH relativeFrom="margin">
              <wp14:pctWidth>0</wp14:pctWidth>
            </wp14:sizeRelH>
            <wp14:sizeRelV relativeFrom="margin">
              <wp14:pctHeight>0</wp14:pctHeight>
            </wp14:sizeRelV>
          </wp:anchor>
        </w:drawing>
      </w:r>
      <w:r w:rsidRPr="0064503E">
        <w:rPr>
          <w:noProof/>
        </w:rPr>
        <mc:AlternateContent>
          <mc:Choice Requires="wps">
            <w:drawing>
              <wp:anchor distT="0" distB="0" distL="114300" distR="114300" simplePos="0" relativeHeight="251672576" behindDoc="0" locked="0" layoutInCell="1" allowOverlap="1" wp14:anchorId="4808D998" wp14:editId="16906C9F">
                <wp:simplePos x="0" y="0"/>
                <wp:positionH relativeFrom="column">
                  <wp:posOffset>-68580</wp:posOffset>
                </wp:positionH>
                <wp:positionV relativeFrom="paragraph">
                  <wp:posOffset>427990</wp:posOffset>
                </wp:positionV>
                <wp:extent cx="272415" cy="307340"/>
                <wp:effectExtent l="0" t="0" r="0" b="0"/>
                <wp:wrapNone/>
                <wp:docPr id="9" name="TextBox 8"/>
                <wp:cNvGraphicFramePr/>
                <a:graphic xmlns:a="http://schemas.openxmlformats.org/drawingml/2006/main">
                  <a:graphicData uri="http://schemas.microsoft.com/office/word/2010/wordprocessingShape">
                    <wps:wsp>
                      <wps:cNvSpPr txBox="1"/>
                      <wps:spPr>
                        <a:xfrm>
                          <a:off x="0" y="0"/>
                          <a:ext cx="272415" cy="307340"/>
                        </a:xfrm>
                        <a:prstGeom prst="rect">
                          <a:avLst/>
                        </a:prstGeom>
                        <a:noFill/>
                      </wps:spPr>
                      <wps:txbx>
                        <w:txbxContent>
                          <w:p w:rsidR="00412006" w:rsidRDefault="00412006" w:rsidP="00412006">
                            <w:pPr>
                              <w:pStyle w:val="NormalWeb"/>
                              <w:spacing w:before="0" w:beforeAutospacing="0" w:after="0" w:afterAutospacing="0"/>
                            </w:pPr>
                            <w:r>
                              <w:rPr>
                                <w:rFonts w:asciiTheme="minorHAnsi" w:hAnsi="Calibri" w:cstheme="minorBidi"/>
                                <w:b/>
                                <w:bCs/>
                                <w:color w:val="000000" w:themeColor="text1"/>
                                <w:kern w:val="24"/>
                                <w:sz w:val="28"/>
                                <w:szCs w:val="28"/>
                              </w:rPr>
                              <w:t>a</w:t>
                            </w:r>
                          </w:p>
                        </w:txbxContent>
                      </wps:txbx>
                      <wps:bodyPr wrap="none" rtlCol="0">
                        <a:spAutoFit/>
                      </wps:bodyPr>
                    </wps:wsp>
                  </a:graphicData>
                </a:graphic>
              </wp:anchor>
            </w:drawing>
          </mc:Choice>
          <mc:Fallback>
            <w:pict>
              <v:shape w14:anchorId="4808D998" id="_x0000_s1028" type="#_x0000_t202" style="position:absolute;margin-left:-5.4pt;margin-top:33.7pt;width:21.45pt;height:24.2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" filled="f" stroked="f">
                <v:textbox style="mso-fit-shape-to-text:t">
                  <w:txbxContent>
                    <w:p w:rsidR="00412006" w:rsidRDefault="00412006" w:rsidP="00412006">
                      <w:pPr>
                        <w:pStyle w:val="NormalWeb"/>
                        <w:spacing w:before="0" w:beforeAutospacing="0" w:after="0" w:afterAutospacing="0"/>
                      </w:pPr>
                      <w:proofErr w:type="gramStart"/>
                      <w:r>
                        <w:rPr>
                          <w:rFonts w:asciiTheme="minorHAnsi" w:hAnsi="Calibri" w:cstheme="minorBidi"/>
                          <w:b/>
                          <w:bCs/>
                          <w:color w:val="000000" w:themeColor="text1"/>
                          <w:kern w:val="24"/>
                          <w:sz w:val="28"/>
                          <w:szCs w:val="28"/>
                        </w:rPr>
                        <w:t>a</w:t>
                      </w:r>
                      <w:proofErr w:type="gramEnd"/>
                    </w:p>
                  </w:txbxContent>
                </v:textbox>
              </v:shape>
            </w:pict>
          </mc:Fallback>
        </mc:AlternateContent>
      </w:r>
      <w:r>
        <w:t xml:space="preserve"> </w:t>
      </w: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r w:rsidRPr="0064503E">
        <w:rPr>
          <w:noProof/>
        </w:rPr>
        <w:drawing>
          <wp:anchor distT="0" distB="0" distL="114300" distR="114300" simplePos="0" relativeHeight="251671552" behindDoc="1" locked="0" layoutInCell="1" allowOverlap="1" wp14:anchorId="3DA3BF6B" wp14:editId="4DF3336D">
            <wp:simplePos x="0" y="0"/>
            <wp:positionH relativeFrom="column">
              <wp:posOffset>-207645</wp:posOffset>
            </wp:positionH>
            <wp:positionV relativeFrom="paragraph">
              <wp:posOffset>348400</wp:posOffset>
            </wp:positionV>
            <wp:extent cx="5761990" cy="279463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stretch>
                      <a:fillRect/>
                    </a:stretch>
                  </pic:blipFill>
                  <pic:spPr>
                    <a:xfrm>
                      <a:off x="0" y="0"/>
                      <a:ext cx="5761990" cy="2794635"/>
                    </a:xfrm>
                    <a:prstGeom prst="rect">
                      <a:avLst/>
                    </a:prstGeom>
                  </pic:spPr>
                </pic:pic>
              </a:graphicData>
            </a:graphic>
            <wp14:sizeRelH relativeFrom="margin">
              <wp14:pctWidth>0</wp14:pctWidth>
            </wp14:sizeRelH>
            <wp14:sizeRelV relativeFrom="margin">
              <wp14:pctHeight>0</wp14:pctHeight>
            </wp14:sizeRelV>
          </wp:anchor>
        </w:drawing>
      </w:r>
    </w:p>
    <w:p w:rsidR="00412006" w:rsidRDefault="00412006" w:rsidP="00412006">
      <w:pPr>
        <w:spacing w:line="480" w:lineRule="auto"/>
      </w:pPr>
      <w:r w:rsidRPr="0064503E">
        <w:rPr>
          <w:noProof/>
        </w:rPr>
        <mc:AlternateContent>
          <mc:Choice Requires="wps">
            <w:drawing>
              <wp:anchor distT="0" distB="0" distL="114300" distR="114300" simplePos="0" relativeHeight="251673600" behindDoc="0" locked="0" layoutInCell="1" allowOverlap="1" wp14:anchorId="0608C859" wp14:editId="19FAB974">
                <wp:simplePos x="0" y="0"/>
                <wp:positionH relativeFrom="column">
                  <wp:posOffset>-13910</wp:posOffset>
                </wp:positionH>
                <wp:positionV relativeFrom="paragraph">
                  <wp:posOffset>50620</wp:posOffset>
                </wp:positionV>
                <wp:extent cx="280670" cy="307340"/>
                <wp:effectExtent l="0" t="0" r="0" b="0"/>
                <wp:wrapNone/>
                <wp:docPr id="10" name="TextBox 9"/>
                <wp:cNvGraphicFramePr/>
                <a:graphic xmlns:a="http://schemas.openxmlformats.org/drawingml/2006/main">
                  <a:graphicData uri="http://schemas.microsoft.com/office/word/2010/wordprocessingShape">
                    <wps:wsp>
                      <wps:cNvSpPr txBox="1"/>
                      <wps:spPr>
                        <a:xfrm>
                          <a:off x="0" y="0"/>
                          <a:ext cx="280670" cy="307340"/>
                        </a:xfrm>
                        <a:prstGeom prst="rect">
                          <a:avLst/>
                        </a:prstGeom>
                        <a:noFill/>
                      </wps:spPr>
                      <wps:txbx>
                        <w:txbxContent>
                          <w:p w:rsidR="00412006" w:rsidRDefault="00412006" w:rsidP="00412006">
                            <w:pPr>
                              <w:pStyle w:val="NormalWeb"/>
                              <w:spacing w:before="0" w:beforeAutospacing="0" w:after="0" w:afterAutospacing="0"/>
                            </w:pPr>
                            <w:r>
                              <w:rPr>
                                <w:rFonts w:asciiTheme="minorHAnsi" w:hAnsi="Calibri" w:cstheme="minorBidi"/>
                                <w:b/>
                                <w:bCs/>
                                <w:color w:val="000000" w:themeColor="text1"/>
                                <w:kern w:val="24"/>
                                <w:sz w:val="28"/>
                                <w:szCs w:val="28"/>
                              </w:rPr>
                              <w:t>b</w:t>
                            </w:r>
                          </w:p>
                        </w:txbxContent>
                      </wps:txbx>
                      <wps:bodyPr wrap="none" rtlCol="0">
                        <a:spAutoFit/>
                      </wps:bodyPr>
                    </wps:wsp>
                  </a:graphicData>
                </a:graphic>
              </wp:anchor>
            </w:drawing>
          </mc:Choice>
          <mc:Fallback>
            <w:pict>
              <v:shape w14:anchorId="0608C859" id="TextBox 9" o:spid="_x0000_s1029" type="#_x0000_t202" style="position:absolute;margin-left:-1.1pt;margin-top:4pt;width:22.1pt;height:24.2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" filled="f" stroked="f">
                <v:textbox style="mso-fit-shape-to-text:t">
                  <w:txbxContent>
                    <w:p w:rsidR="00412006" w:rsidRDefault="00412006" w:rsidP="00412006">
                      <w:pPr>
                        <w:pStyle w:val="NormalWeb"/>
                        <w:spacing w:before="0" w:beforeAutospacing="0" w:after="0" w:afterAutospacing="0"/>
                      </w:pPr>
                      <w:proofErr w:type="gramStart"/>
                      <w:r>
                        <w:rPr>
                          <w:rFonts w:asciiTheme="minorHAnsi" w:hAnsi="Calibri" w:cstheme="minorBidi"/>
                          <w:b/>
                          <w:bCs/>
                          <w:color w:val="000000" w:themeColor="text1"/>
                          <w:kern w:val="24"/>
                          <w:sz w:val="28"/>
                          <w:szCs w:val="28"/>
                        </w:rPr>
                        <w:t>b</w:t>
                      </w:r>
                      <w:proofErr w:type="gramEnd"/>
                    </w:p>
                  </w:txbxContent>
                </v:textbox>
              </v:shape>
            </w:pict>
          </mc:Fallback>
        </mc:AlternateContent>
      </w: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p>
    <w:p w:rsidR="00412006" w:rsidRDefault="00412006" w:rsidP="00412006">
      <w:pPr>
        <w:spacing w:line="480" w:lineRule="auto"/>
      </w:pPr>
    </w:p>
    <w:p w:rsidR="00412006" w:rsidRPr="0064503E" w:rsidRDefault="00412006" w:rsidP="00412006">
      <w:pPr>
        <w:spacing w:line="480" w:lineRule="auto"/>
        <w:rPr>
          <w:sz w:val="24"/>
          <w:szCs w:val="24"/>
        </w:rPr>
      </w:pPr>
      <w:r>
        <w:rPr>
          <w:b/>
          <w:bCs/>
          <w:sz w:val="24"/>
          <w:szCs w:val="24"/>
        </w:rPr>
        <w:t xml:space="preserve">Supplementary </w:t>
      </w:r>
      <w:r w:rsidRPr="0064503E">
        <w:rPr>
          <w:b/>
          <w:bCs/>
          <w:sz w:val="24"/>
          <w:szCs w:val="24"/>
        </w:rPr>
        <w:t xml:space="preserve">Figure </w:t>
      </w:r>
      <w:r>
        <w:rPr>
          <w:b/>
          <w:bCs/>
          <w:sz w:val="24"/>
          <w:szCs w:val="24"/>
        </w:rPr>
        <w:t>S3</w:t>
      </w:r>
      <w:r w:rsidRPr="0064503E">
        <w:rPr>
          <w:b/>
          <w:bCs/>
          <w:sz w:val="24"/>
          <w:szCs w:val="24"/>
        </w:rPr>
        <w:t>. CFTR modulators have no effect on CSE-induced metabolic shifts</w:t>
      </w:r>
    </w:p>
    <w:p w:rsidR="00412006" w:rsidRDefault="00412006" w:rsidP="00412006">
      <w:pPr>
        <w:spacing w:line="480" w:lineRule="auto"/>
        <w:rPr>
          <w:sz w:val="24"/>
          <w:szCs w:val="24"/>
        </w:rPr>
      </w:pPr>
      <w:r w:rsidRPr="0064503E">
        <w:rPr>
          <w:b/>
          <w:bCs/>
          <w:sz w:val="24"/>
          <w:szCs w:val="24"/>
        </w:rPr>
        <w:t xml:space="preserve">a) </w:t>
      </w:r>
      <w:r w:rsidRPr="0064503E">
        <w:rPr>
          <w:sz w:val="24"/>
          <w:szCs w:val="24"/>
        </w:rPr>
        <w:t>THP-1 derived M</w:t>
      </w:r>
      <w:r w:rsidRPr="0064503E">
        <w:rPr>
          <w:sz w:val="24"/>
          <w:szCs w:val="24"/>
          <w:lang w:val="el-GR"/>
        </w:rPr>
        <w:t>Φ</w:t>
      </w:r>
      <w:r w:rsidRPr="0064503E">
        <w:rPr>
          <w:sz w:val="24"/>
          <w:szCs w:val="24"/>
        </w:rPr>
        <w:t xml:space="preserve"> or </w:t>
      </w:r>
      <w:r w:rsidRPr="0064503E">
        <w:rPr>
          <w:b/>
          <w:bCs/>
          <w:sz w:val="24"/>
          <w:szCs w:val="24"/>
        </w:rPr>
        <w:t>b)</w:t>
      </w:r>
      <w:r w:rsidRPr="0064503E">
        <w:rPr>
          <w:sz w:val="24"/>
          <w:szCs w:val="24"/>
        </w:rPr>
        <w:t xml:space="preserve"> primary AM</w:t>
      </w:r>
      <w:r w:rsidRPr="0064503E">
        <w:rPr>
          <w:sz w:val="24"/>
          <w:szCs w:val="24"/>
          <w:lang w:val="el-GR"/>
        </w:rPr>
        <w:t>Φ</w:t>
      </w:r>
      <w:r w:rsidRPr="0064503E">
        <w:rPr>
          <w:sz w:val="24"/>
          <w:szCs w:val="24"/>
        </w:rPr>
        <w:t xml:space="preserve"> were cultured for 48 hrs in the presence of ivacaftor 30 nM, lumcaftor 3 </w:t>
      </w:r>
      <w:r w:rsidRPr="0064503E">
        <w:rPr>
          <w:sz w:val="24"/>
          <w:szCs w:val="24"/>
          <w:lang w:val="el-GR"/>
        </w:rPr>
        <w:t>μ</w:t>
      </w:r>
      <w:r w:rsidRPr="0064503E">
        <w:rPr>
          <w:sz w:val="24"/>
          <w:szCs w:val="24"/>
        </w:rPr>
        <w:t xml:space="preserve">M, both or DMSO prior to standard mitostress assay as in </w:t>
      </w:r>
      <w:r>
        <w:rPr>
          <w:b/>
          <w:bCs/>
          <w:sz w:val="24"/>
          <w:szCs w:val="24"/>
        </w:rPr>
        <w:t>Fig.</w:t>
      </w:r>
      <w:r w:rsidRPr="0064503E">
        <w:rPr>
          <w:b/>
          <w:bCs/>
          <w:sz w:val="24"/>
          <w:szCs w:val="24"/>
        </w:rPr>
        <w:t xml:space="preserve"> </w:t>
      </w:r>
      <w:r>
        <w:rPr>
          <w:b/>
          <w:bCs/>
          <w:sz w:val="24"/>
          <w:szCs w:val="24"/>
        </w:rPr>
        <w:t>3</w:t>
      </w:r>
      <w:r w:rsidRPr="0064503E">
        <w:rPr>
          <w:sz w:val="24"/>
          <w:szCs w:val="24"/>
        </w:rPr>
        <w:t xml:space="preserve"> with injection of CSE (10% CSE for THP-1 and 5% for AM</w:t>
      </w:r>
      <w:r w:rsidRPr="0064503E">
        <w:rPr>
          <w:sz w:val="24"/>
          <w:szCs w:val="24"/>
          <w:lang w:val="el-GR"/>
        </w:rPr>
        <w:t>Φ</w:t>
      </w:r>
      <w:r w:rsidRPr="0064503E">
        <w:rPr>
          <w:sz w:val="24"/>
          <w:szCs w:val="24"/>
        </w:rPr>
        <w:t>).  Data are representative of three independent experiments, each performed with 4-8 wells per condition.</w:t>
      </w:r>
    </w:p>
    <w:p w:rsidR="009F615B" w:rsidRPr="002B6BB2" w:rsidRDefault="009F615B" w:rsidP="002B6BB2">
      <w:pPr>
        <w:spacing w:line="480" w:lineRule="auto"/>
        <w:rPr>
          <w:sz w:val="24"/>
          <w:szCs w:val="24"/>
        </w:rPr>
      </w:pPr>
    </w:p>
    <w:sectPr w:rsidR="009F615B" w:rsidRPr="002B6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5B"/>
    <w:rsid w:val="000E1595"/>
    <w:rsid w:val="00281E65"/>
    <w:rsid w:val="002B6BB2"/>
    <w:rsid w:val="003310A2"/>
    <w:rsid w:val="003C6323"/>
    <w:rsid w:val="00412006"/>
    <w:rsid w:val="0041661C"/>
    <w:rsid w:val="004B54B2"/>
    <w:rsid w:val="005241D6"/>
    <w:rsid w:val="00524A0A"/>
    <w:rsid w:val="00572D14"/>
    <w:rsid w:val="005A461E"/>
    <w:rsid w:val="005A7669"/>
    <w:rsid w:val="005C1461"/>
    <w:rsid w:val="0064503E"/>
    <w:rsid w:val="006C2DE2"/>
    <w:rsid w:val="006C3972"/>
    <w:rsid w:val="006E2134"/>
    <w:rsid w:val="006E6E91"/>
    <w:rsid w:val="00700266"/>
    <w:rsid w:val="007F4C79"/>
    <w:rsid w:val="00801812"/>
    <w:rsid w:val="00832497"/>
    <w:rsid w:val="008546FA"/>
    <w:rsid w:val="008A70E9"/>
    <w:rsid w:val="008C6224"/>
    <w:rsid w:val="0099501D"/>
    <w:rsid w:val="009F615B"/>
    <w:rsid w:val="00BF5D3A"/>
    <w:rsid w:val="00C6294B"/>
    <w:rsid w:val="00C75B43"/>
    <w:rsid w:val="00F25683"/>
    <w:rsid w:val="00F85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02B0A16"/>
  <w15:chartTrackingRefBased/>
  <w15:docId w15:val="{0BA35C1F-85A7-421E-BBF4-9119ED8E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1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E6E91"/>
    <w:pPr>
      <w:tabs>
        <w:tab w:val="left" w:pos="264"/>
      </w:tabs>
      <w:spacing w:after="0" w:line="480" w:lineRule="auto"/>
      <w:ind w:left="264" w:hanging="264"/>
    </w:pPr>
  </w:style>
  <w:style w:type="paragraph" w:styleId="NormalWeb">
    <w:name w:val="Normal (Web)"/>
    <w:basedOn w:val="Normal"/>
    <w:uiPriority w:val="99"/>
    <w:semiHidden/>
    <w:unhideWhenUsed/>
    <w:rsid w:val="0064503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5A7669"/>
    <w:rPr>
      <w:b/>
      <w:bCs/>
    </w:rPr>
  </w:style>
  <w:style w:type="character" w:styleId="Hyperlink">
    <w:name w:val="Hyperlink"/>
    <w:basedOn w:val="DefaultParagraphFont"/>
    <w:uiPriority w:val="99"/>
    <w:unhideWhenUsed/>
    <w:rsid w:val="00C629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37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hyperlink" Target="mailto:Alix.Ashare@hitchcock.org" TargetMode="Externa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7240B-87C1-4B5E-A551-94468A01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9</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Aridgides</dc:creator>
  <cp:keywords/>
  <dc:description/>
  <cp:lastModifiedBy>Daniel S. Aridgides</cp:lastModifiedBy>
  <cp:revision>5</cp:revision>
  <cp:lastPrinted>2018-08-10T19:35:00Z</cp:lastPrinted>
  <dcterms:created xsi:type="dcterms:W3CDTF">2018-07-26T15:05:00Z</dcterms:created>
  <dcterms:modified xsi:type="dcterms:W3CDTF">2019-05-24T18:12:00Z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id="BQm5q2An"/&gt;&lt;style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