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27E9A" w14:textId="6503BDD3" w:rsidR="002F625D" w:rsidRPr="00A90701" w:rsidRDefault="002F625D" w:rsidP="00F86027">
      <w:pPr>
        <w:pStyle w:val="Heading1"/>
        <w:spacing w:line="480" w:lineRule="auto"/>
      </w:pPr>
      <w:r>
        <w:t xml:space="preserve">Cathepsin Z as </w:t>
      </w:r>
      <w:r w:rsidR="008C6654">
        <w:t xml:space="preserve">a </w:t>
      </w:r>
      <w:r>
        <w:t>novel potential biomarker for osteoporosis</w:t>
      </w:r>
    </w:p>
    <w:p w14:paraId="65FFD234" w14:textId="16318DDE" w:rsidR="002F625D" w:rsidRDefault="002F625D" w:rsidP="00D07F72">
      <w:pPr>
        <w:spacing w:line="480" w:lineRule="auto"/>
      </w:pPr>
      <w:r w:rsidRPr="00BF1126">
        <w:t>Ayed A. Dera</w:t>
      </w:r>
      <w:r w:rsidRPr="00BF1126">
        <w:rPr>
          <w:vertAlign w:val="superscript"/>
        </w:rPr>
        <w:t>1</w:t>
      </w:r>
      <w:r>
        <w:rPr>
          <w:vertAlign w:val="superscript"/>
        </w:rPr>
        <w:t>,5</w:t>
      </w:r>
      <w:r w:rsidRPr="00BF1126">
        <w:t>, Lakshminarayan Ranganath</w:t>
      </w:r>
      <w:r>
        <w:rPr>
          <w:vertAlign w:val="superscript"/>
        </w:rPr>
        <w:t>2</w:t>
      </w:r>
      <w:r w:rsidRPr="00BF1126">
        <w:t>, Roger Barraclough</w:t>
      </w:r>
      <w:r>
        <w:rPr>
          <w:vertAlign w:val="superscript"/>
        </w:rPr>
        <w:t>3</w:t>
      </w:r>
      <w:r w:rsidRPr="00BF1126">
        <w:t>,</w:t>
      </w:r>
      <w:r w:rsidRPr="00BF1126">
        <w:rPr>
          <w:vertAlign w:val="superscript"/>
        </w:rPr>
        <w:t xml:space="preserve"> </w:t>
      </w:r>
      <w:proofErr w:type="spellStart"/>
      <w:r w:rsidRPr="00BF1126">
        <w:t>Sobhan</w:t>
      </w:r>
      <w:proofErr w:type="spellEnd"/>
      <w:r w:rsidRPr="00BF1126">
        <w:t xml:space="preserve"> Vinjamuri</w:t>
      </w:r>
      <w:r>
        <w:rPr>
          <w:vertAlign w:val="superscript"/>
        </w:rPr>
        <w:t>4</w:t>
      </w:r>
      <w:r w:rsidRPr="00BF1126">
        <w:t>,</w:t>
      </w:r>
      <w:r w:rsidRPr="00BF1126">
        <w:rPr>
          <w:vertAlign w:val="superscript"/>
        </w:rPr>
        <w:t xml:space="preserve"> </w:t>
      </w:r>
      <w:r w:rsidRPr="00BF1126">
        <w:t>Sandra Hamill</w:t>
      </w:r>
      <w:r>
        <w:rPr>
          <w:vertAlign w:val="superscript"/>
        </w:rPr>
        <w:t>4</w:t>
      </w:r>
      <w:r w:rsidRPr="00BF1126">
        <w:t xml:space="preserve">, </w:t>
      </w:r>
      <w:r w:rsidRPr="00BF1126">
        <w:rPr>
          <w:vertAlign w:val="superscript"/>
        </w:rPr>
        <w:t xml:space="preserve"> </w:t>
      </w:r>
      <w:r w:rsidRPr="00BF1126">
        <w:t>Dong L. Barraclough</w:t>
      </w:r>
      <w:r w:rsidRPr="00BF1126">
        <w:rPr>
          <w:vertAlign w:val="superscript"/>
        </w:rPr>
        <w:t>1</w:t>
      </w:r>
      <w:r>
        <w:rPr>
          <w:vertAlign w:val="superscript"/>
        </w:rPr>
        <w:t>*</w:t>
      </w:r>
    </w:p>
    <w:p w14:paraId="5A0E1A32" w14:textId="77777777" w:rsidR="00B91A27" w:rsidRDefault="00B91A27" w:rsidP="00B91A27">
      <w:pPr>
        <w:spacing w:line="360" w:lineRule="auto"/>
        <w:rPr>
          <w:rFonts w:ascii="Calibri" w:hAnsi="Calibri" w:cs="Calibri"/>
          <w:b/>
          <w:color w:val="000000"/>
        </w:rPr>
      </w:pPr>
    </w:p>
    <w:p w14:paraId="307C7B38" w14:textId="52F580E0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  <w:r w:rsidRPr="00E9352A">
        <w:rPr>
          <w:rFonts w:ascii="Calibri" w:hAnsi="Calibri" w:cs="Calibri"/>
          <w:b/>
          <w:color w:val="000000"/>
        </w:rPr>
        <w:t>Supplementary Figure S1. The relationship between cathepsin Z mRNA levels in PBMCs and chronic inflammation.</w:t>
      </w:r>
      <w:r w:rsidRPr="00E9352A">
        <w:rPr>
          <w:rFonts w:ascii="Calibri" w:hAnsi="Calibri" w:cs="Calibri"/>
          <w:color w:val="000000"/>
        </w:rPr>
        <w:t xml:space="preserve">  Panels a and b: box and whisker plots show that the levels of cathepsin Z mRNA are not significantly different between PBMCs from all the osteopenia and osteoporosis pa</w:t>
      </w:r>
      <w:r>
        <w:rPr>
          <w:rFonts w:ascii="Calibri" w:hAnsi="Calibri" w:cs="Calibri"/>
          <w:color w:val="000000"/>
        </w:rPr>
        <w:t>tients</w:t>
      </w:r>
      <w:r w:rsidRPr="00E9352A">
        <w:rPr>
          <w:rFonts w:ascii="Calibri" w:hAnsi="Calibri" w:cs="Calibri"/>
          <w:color w:val="000000"/>
        </w:rPr>
        <w:t xml:space="preserve">, without or with </w:t>
      </w:r>
      <w:r>
        <w:rPr>
          <w:rFonts w:ascii="Calibri" w:hAnsi="Calibri" w:cs="Calibri"/>
          <w:color w:val="000000"/>
        </w:rPr>
        <w:t xml:space="preserve">chronic </w:t>
      </w:r>
      <w:r w:rsidRPr="00E9352A">
        <w:rPr>
          <w:rFonts w:ascii="Calibri" w:hAnsi="Calibri" w:cs="Calibri"/>
          <w:color w:val="000000"/>
        </w:rPr>
        <w:t>inflammatory</w:t>
      </w:r>
      <w:r>
        <w:rPr>
          <w:rFonts w:ascii="Calibri" w:hAnsi="Calibri" w:cs="Calibri"/>
          <w:color w:val="000000"/>
        </w:rPr>
        <w:t xml:space="preserve"> </w:t>
      </w:r>
      <w:r w:rsidRPr="00E9352A">
        <w:rPr>
          <w:rFonts w:ascii="Calibri" w:hAnsi="Calibri" w:cs="Calibri"/>
          <w:color w:val="000000"/>
        </w:rPr>
        <w:t>disorders (</w:t>
      </w:r>
      <w:r>
        <w:rPr>
          <w:rFonts w:ascii="Calibri" w:hAnsi="Calibri" w:cs="Calibri"/>
          <w:color w:val="000000"/>
        </w:rPr>
        <w:t xml:space="preserve">Panel a, </w:t>
      </w:r>
      <w:r w:rsidRPr="00E9352A">
        <w:rPr>
          <w:rFonts w:ascii="Calibri" w:hAnsi="Calibri" w:cs="Calibri"/>
          <w:color w:val="000000"/>
        </w:rPr>
        <w:t xml:space="preserve">95% CI = -0.180 to 0.134, </w:t>
      </w:r>
      <w:r w:rsidRPr="00E9352A">
        <w:rPr>
          <w:rFonts w:ascii="Calibri" w:hAnsi="Calibri" w:cs="Calibri"/>
          <w:i/>
          <w:color w:val="000000"/>
        </w:rPr>
        <w:t>P</w:t>
      </w:r>
      <w:r w:rsidRPr="00E9352A">
        <w:rPr>
          <w:rFonts w:ascii="Calibri" w:hAnsi="Calibri" w:cs="Calibri"/>
          <w:color w:val="000000"/>
        </w:rPr>
        <w:t xml:space="preserve"> = 0.774, Student’s t test) or PBMCs from the female osteopenia and osteoporosis pa</w:t>
      </w:r>
      <w:r>
        <w:rPr>
          <w:rFonts w:ascii="Calibri" w:hAnsi="Calibri" w:cs="Calibri"/>
          <w:color w:val="000000"/>
        </w:rPr>
        <w:t>tients</w:t>
      </w:r>
      <w:r w:rsidRPr="00E9352A">
        <w:rPr>
          <w:rFonts w:ascii="Calibri" w:hAnsi="Calibri" w:cs="Calibri"/>
          <w:color w:val="000000"/>
        </w:rPr>
        <w:t xml:space="preserve"> over the age of 50 (</w:t>
      </w:r>
      <w:r>
        <w:rPr>
          <w:rFonts w:ascii="Calibri" w:hAnsi="Calibri" w:cs="Calibri"/>
          <w:color w:val="000000"/>
        </w:rPr>
        <w:t xml:space="preserve">Panel b, </w:t>
      </w:r>
      <w:r w:rsidRPr="00E9352A">
        <w:rPr>
          <w:rFonts w:ascii="Calibri" w:hAnsi="Calibri" w:cs="Calibri"/>
          <w:color w:val="000000"/>
        </w:rPr>
        <w:t xml:space="preserve">95% CI = -0.244 to 0.157, </w:t>
      </w:r>
      <w:r>
        <w:rPr>
          <w:rFonts w:ascii="Calibri" w:hAnsi="Calibri" w:cs="Calibri"/>
          <w:i/>
          <w:color w:val="000000"/>
        </w:rPr>
        <w:t>P</w:t>
      </w:r>
      <w:r w:rsidRPr="00E9352A">
        <w:rPr>
          <w:rFonts w:ascii="Calibri" w:hAnsi="Calibri" w:cs="Calibri"/>
          <w:color w:val="000000"/>
        </w:rPr>
        <w:t xml:space="preserve"> = 0.666, Student’s t-test). </w:t>
      </w:r>
      <w:r w:rsidR="00D92626" w:rsidRPr="00E9352A">
        <w:rPr>
          <w:rFonts w:ascii="Calibri" w:hAnsi="Calibri" w:cs="Calibri"/>
          <w:color w:val="000000"/>
        </w:rPr>
        <w:t xml:space="preserve"> </w:t>
      </w:r>
      <w:bookmarkStart w:id="0" w:name="_Hlk9075542"/>
      <w:r w:rsidR="00D92626" w:rsidRPr="001470E9">
        <w:rPr>
          <w:rFonts w:cstheme="minorHAnsi"/>
        </w:rPr>
        <w:t>On each box and whisker plot, the black diamond shows the median value, the cross shows the mean value, white and black circles denote outliers of 1.5 times and 3 times the interquartile range, respectively.</w:t>
      </w:r>
      <w:bookmarkEnd w:id="0"/>
    </w:p>
    <w:p w14:paraId="328FCDCA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241BB015" wp14:editId="553ED099">
            <wp:extent cx="5727700" cy="4295775"/>
            <wp:effectExtent l="0" t="0" r="6350" b="9525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-patients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68BEF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</w:p>
    <w:p w14:paraId="2EC32997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</w:p>
    <w:p w14:paraId="1C625B76" w14:textId="6EAA6FC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  <w:bookmarkStart w:id="1" w:name="_GoBack"/>
      <w:bookmarkEnd w:id="1"/>
      <w:r w:rsidRPr="00E9352A">
        <w:rPr>
          <w:rFonts w:ascii="Calibri" w:hAnsi="Calibri" w:cs="Calibri"/>
          <w:b/>
          <w:color w:val="000000"/>
        </w:rPr>
        <w:lastRenderedPageBreak/>
        <w:t>Supplementary Figure S2</w:t>
      </w:r>
      <w:r w:rsidRPr="00E9352A">
        <w:rPr>
          <w:rFonts w:ascii="Calibri" w:hAnsi="Calibri" w:cs="Calibri"/>
          <w:color w:val="000000"/>
        </w:rPr>
        <w:t xml:space="preserve">. </w:t>
      </w:r>
      <w:r w:rsidRPr="003048AB">
        <w:rPr>
          <w:rFonts w:cstheme="minorHAnsi"/>
          <w:b/>
        </w:rPr>
        <w:t>Association with osteoporosis</w:t>
      </w:r>
      <w:r w:rsidRPr="00E9352A">
        <w:rPr>
          <w:rFonts w:cstheme="minorHAnsi"/>
          <w:b/>
        </w:rPr>
        <w:t xml:space="preserve"> of interferon-induced protein</w:t>
      </w:r>
      <w:r w:rsidRPr="003048A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16 (IFI16) </w:t>
      </w:r>
      <w:r w:rsidRPr="00E9352A">
        <w:rPr>
          <w:rFonts w:cstheme="minorHAnsi"/>
          <w:b/>
        </w:rPr>
        <w:t xml:space="preserve">mRNA </w:t>
      </w:r>
      <w:r w:rsidRPr="003048AB">
        <w:rPr>
          <w:rFonts w:cstheme="minorHAnsi"/>
          <w:b/>
        </w:rPr>
        <w:t xml:space="preserve">levels in peripheral blood mononuclear cells.  </w:t>
      </w:r>
      <w:r w:rsidRPr="00E9352A">
        <w:rPr>
          <w:rFonts w:ascii="Calibri" w:hAnsi="Calibri" w:cs="Calibri"/>
          <w:color w:val="000000"/>
        </w:rPr>
        <w:t xml:space="preserve">Panels a and b: box and whisker plots show that the levels of mRNA for interferon-induced protein 16 (IFI16) are not significantly different between PBMCs from non-osteoporotic controls, osteopenia or osteoporosis patients when all </w:t>
      </w:r>
      <w:r w:rsidRPr="00CD71B9">
        <w:rPr>
          <w:rFonts w:ascii="Calibri" w:hAnsi="Calibri" w:cs="Calibri"/>
          <w:color w:val="000000"/>
        </w:rPr>
        <w:t xml:space="preserve">participants (Panel a, one-way ANOVA (F(2,84) = 2.05, </w:t>
      </w:r>
      <w:r w:rsidRPr="00CD71B9">
        <w:rPr>
          <w:rFonts w:ascii="Calibri" w:hAnsi="Calibri" w:cs="Calibri"/>
          <w:i/>
          <w:color w:val="000000"/>
        </w:rPr>
        <w:t>P</w:t>
      </w:r>
      <w:r w:rsidRPr="00CD71B9">
        <w:rPr>
          <w:rFonts w:ascii="Calibri" w:hAnsi="Calibri" w:cs="Calibri"/>
          <w:color w:val="000000"/>
        </w:rPr>
        <w:t xml:space="preserve"> = 0.135) or female participants over the age of 50 (Panel b, one-way ANOVA (F(2,60) = 0.612), </w:t>
      </w:r>
      <w:r w:rsidRPr="00CD71B9">
        <w:rPr>
          <w:rFonts w:ascii="Calibri" w:hAnsi="Calibri" w:cs="Calibri"/>
          <w:i/>
          <w:color w:val="000000"/>
        </w:rPr>
        <w:t>p</w:t>
      </w:r>
      <w:r w:rsidRPr="00CD71B9">
        <w:rPr>
          <w:rFonts w:ascii="Calibri" w:hAnsi="Calibri" w:cs="Calibri"/>
          <w:color w:val="000000"/>
        </w:rPr>
        <w:t xml:space="preserve"> = 0.546) were included.</w:t>
      </w:r>
      <w:r w:rsidRPr="00E9352A">
        <w:rPr>
          <w:rFonts w:ascii="Calibri" w:hAnsi="Calibri" w:cs="Calibri"/>
          <w:color w:val="000000"/>
        </w:rPr>
        <w:t xml:space="preserve"> </w:t>
      </w:r>
      <w:r w:rsidR="00086367" w:rsidRPr="001470E9">
        <w:rPr>
          <w:rFonts w:cstheme="minorHAnsi"/>
        </w:rPr>
        <w:t>On each box and whisker plot, the black diamond shows the median value, the cross shows the mean value, white and black circles denote outliers of 1.5 times and 3 times the interquartile range, respectively.</w:t>
      </w:r>
    </w:p>
    <w:p w14:paraId="045B8BB9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</w:p>
    <w:p w14:paraId="470BE11E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65D5558C" wp14:editId="443FBF24">
            <wp:extent cx="5727700" cy="4295775"/>
            <wp:effectExtent l="0" t="0" r="6350" b="9525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2 paste up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4DC20" w14:textId="77777777" w:rsidR="00B91A27" w:rsidRDefault="00B91A27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2DC81C7C" w14:textId="245CF76D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  <w:r w:rsidRPr="00E9352A">
        <w:rPr>
          <w:rFonts w:ascii="Calibri" w:hAnsi="Calibri" w:cs="Calibri"/>
          <w:b/>
          <w:color w:val="000000"/>
        </w:rPr>
        <w:lastRenderedPageBreak/>
        <w:t xml:space="preserve">Supplementary Figure S3. The relationship between interferon induced protein 16 (IFI16) mRNA </w:t>
      </w:r>
      <w:r w:rsidR="00086367">
        <w:rPr>
          <w:rFonts w:ascii="Calibri" w:hAnsi="Calibri" w:cs="Calibri"/>
          <w:b/>
          <w:color w:val="000000"/>
        </w:rPr>
        <w:t xml:space="preserve">levels </w:t>
      </w:r>
      <w:r w:rsidRPr="00E9352A">
        <w:rPr>
          <w:rFonts w:ascii="Calibri" w:hAnsi="Calibri" w:cs="Calibri"/>
          <w:b/>
          <w:color w:val="000000"/>
        </w:rPr>
        <w:t>in PBMCs and chronic inflammation.</w:t>
      </w:r>
      <w:r w:rsidRPr="00E9352A">
        <w:rPr>
          <w:rFonts w:ascii="Calibri" w:hAnsi="Calibri" w:cs="Calibri"/>
          <w:color w:val="000000"/>
        </w:rPr>
        <w:t xml:space="preserve">  Panels a and b: box and whisker plots show that the levels of IFI16 mRNA are not significantly different between PBMCs from all the osteopenia and </w:t>
      </w:r>
      <w:r w:rsidRPr="00CD71B9">
        <w:rPr>
          <w:rFonts w:ascii="Calibri" w:hAnsi="Calibri" w:cs="Calibri"/>
          <w:color w:val="000000"/>
        </w:rPr>
        <w:t>osteoporosis pa</w:t>
      </w:r>
      <w:r>
        <w:rPr>
          <w:rFonts w:ascii="Calibri" w:hAnsi="Calibri" w:cs="Calibri"/>
          <w:color w:val="000000"/>
        </w:rPr>
        <w:t>tients</w:t>
      </w:r>
      <w:r w:rsidRPr="00CD71B9">
        <w:rPr>
          <w:rFonts w:ascii="Calibri" w:hAnsi="Calibri" w:cs="Calibri"/>
          <w:color w:val="000000"/>
        </w:rPr>
        <w:t>, without or with chronic inflammatory disorders (Panel a, 95% CI = -0.0</w:t>
      </w:r>
      <w:r w:rsidR="00086367">
        <w:rPr>
          <w:rFonts w:ascii="Calibri" w:hAnsi="Calibri" w:cs="Calibri"/>
          <w:color w:val="000000"/>
        </w:rPr>
        <w:t>32</w:t>
      </w:r>
      <w:r w:rsidRPr="00CD71B9">
        <w:rPr>
          <w:rFonts w:ascii="Calibri" w:hAnsi="Calibri" w:cs="Calibri"/>
          <w:color w:val="000000"/>
        </w:rPr>
        <w:t xml:space="preserve"> to 0.</w:t>
      </w:r>
      <w:r w:rsidR="00086367">
        <w:rPr>
          <w:rFonts w:ascii="Calibri" w:hAnsi="Calibri" w:cs="Calibri"/>
          <w:color w:val="000000"/>
        </w:rPr>
        <w:t>097</w:t>
      </w:r>
      <w:r w:rsidRPr="00CD71B9">
        <w:rPr>
          <w:rFonts w:ascii="Calibri" w:hAnsi="Calibri" w:cs="Calibri"/>
          <w:color w:val="000000"/>
        </w:rPr>
        <w:t xml:space="preserve">, </w:t>
      </w:r>
      <w:r w:rsidRPr="00CD71B9">
        <w:rPr>
          <w:rFonts w:ascii="Calibri" w:hAnsi="Calibri" w:cs="Calibri"/>
          <w:i/>
          <w:color w:val="000000"/>
        </w:rPr>
        <w:t>P</w:t>
      </w:r>
      <w:r w:rsidRPr="00CD71B9">
        <w:rPr>
          <w:rFonts w:ascii="Calibri" w:hAnsi="Calibri" w:cs="Calibri"/>
          <w:color w:val="000000"/>
        </w:rPr>
        <w:t xml:space="preserve"> = 0.318, Student’s t test) or PBMCs from the female osteopenia and osteoporosis pa</w:t>
      </w:r>
      <w:r>
        <w:rPr>
          <w:rFonts w:ascii="Calibri" w:hAnsi="Calibri" w:cs="Calibri"/>
          <w:color w:val="000000"/>
        </w:rPr>
        <w:t>tients</w:t>
      </w:r>
      <w:r w:rsidRPr="00CD71B9">
        <w:rPr>
          <w:rFonts w:ascii="Calibri" w:hAnsi="Calibri" w:cs="Calibri"/>
          <w:color w:val="000000"/>
        </w:rPr>
        <w:t xml:space="preserve"> over the age of 50 (Panel b, 95% CI = -0.075 to 0.088, </w:t>
      </w:r>
      <w:r w:rsidRPr="00CD71B9">
        <w:rPr>
          <w:rFonts w:ascii="Calibri" w:hAnsi="Calibri" w:cs="Calibri"/>
          <w:i/>
          <w:color w:val="000000"/>
        </w:rPr>
        <w:t>P</w:t>
      </w:r>
      <w:r w:rsidRPr="00CD71B9">
        <w:rPr>
          <w:rFonts w:ascii="Calibri" w:hAnsi="Calibri" w:cs="Calibri"/>
          <w:color w:val="000000"/>
        </w:rPr>
        <w:t xml:space="preserve"> = 0.876, Student’s t-test).</w:t>
      </w:r>
      <w:r w:rsidRPr="00E9352A">
        <w:rPr>
          <w:rFonts w:ascii="Calibri" w:hAnsi="Calibri" w:cs="Calibri"/>
          <w:color w:val="000000"/>
        </w:rPr>
        <w:t xml:space="preserve">  </w:t>
      </w:r>
      <w:r w:rsidR="00086367" w:rsidRPr="001470E9">
        <w:rPr>
          <w:rFonts w:cstheme="minorHAnsi"/>
        </w:rPr>
        <w:t>On each box and whisker plot, the black diamond shows the median value, the cross shows the mean value, white and black circles denote outliers of 1.5 times and 3 times the interquartile range, respectively.</w:t>
      </w:r>
    </w:p>
    <w:p w14:paraId="70F979B1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</w:p>
    <w:p w14:paraId="2DBE616E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5C949567" wp14:editId="4B347BA4">
            <wp:extent cx="5727700" cy="4295775"/>
            <wp:effectExtent l="0" t="0" r="6350" b="9525"/>
            <wp:docPr id="19" name="Picture 19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. S3-patients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C829D" w14:textId="77777777" w:rsidR="00B91A27" w:rsidRPr="00E9352A" w:rsidRDefault="00B91A27" w:rsidP="00B91A27">
      <w:pPr>
        <w:spacing w:line="360" w:lineRule="auto"/>
        <w:rPr>
          <w:rFonts w:ascii="Calibri" w:hAnsi="Calibri" w:cs="Calibri"/>
          <w:color w:val="000000"/>
        </w:rPr>
      </w:pPr>
    </w:p>
    <w:p w14:paraId="2F13FE2F" w14:textId="1EBAEA89" w:rsidR="00B14D50" w:rsidRDefault="00B14D50" w:rsidP="00D07F72">
      <w:pPr>
        <w:spacing w:line="480" w:lineRule="auto"/>
        <w:rPr>
          <w:b/>
        </w:rPr>
      </w:pPr>
    </w:p>
    <w:p w14:paraId="363F9351" w14:textId="77777777" w:rsidR="00B91A27" w:rsidRDefault="00B91A27">
      <w:pPr>
        <w:rPr>
          <w:b/>
        </w:rPr>
      </w:pPr>
      <w:r>
        <w:rPr>
          <w:b/>
        </w:rPr>
        <w:br w:type="page"/>
      </w:r>
    </w:p>
    <w:p w14:paraId="6E52F8D9" w14:textId="505DB6ED" w:rsidR="002F625D" w:rsidRPr="00381CB9" w:rsidRDefault="002F625D" w:rsidP="00D07F72">
      <w:pPr>
        <w:spacing w:line="480" w:lineRule="auto"/>
        <w:rPr>
          <w:b/>
        </w:rPr>
      </w:pPr>
      <w:r w:rsidRPr="00381CB9">
        <w:rPr>
          <w:b/>
        </w:rPr>
        <w:lastRenderedPageBreak/>
        <w:t xml:space="preserve">Supplementary Table S1. A list of </w:t>
      </w:r>
      <w:r>
        <w:rPr>
          <w:b/>
        </w:rPr>
        <w:t>Qiagen primers used to amplify specific mRNAs by</w:t>
      </w:r>
      <w:r w:rsidRPr="00381CB9">
        <w:rPr>
          <w:b/>
        </w:rPr>
        <w:t xml:space="preserve"> RT-qPCR</w:t>
      </w:r>
      <w:r>
        <w:rPr>
          <w:b/>
        </w:rPr>
        <w:t>.</w:t>
      </w:r>
    </w:p>
    <w:tbl>
      <w:tblPr>
        <w:tblStyle w:val="TableGrid"/>
        <w:tblW w:w="9292" w:type="dxa"/>
        <w:tblLook w:val="04A0" w:firstRow="1" w:lastRow="0" w:firstColumn="1" w:lastColumn="0" w:noHBand="0" w:noVBand="1"/>
      </w:tblPr>
      <w:tblGrid>
        <w:gridCol w:w="1680"/>
        <w:gridCol w:w="965"/>
        <w:gridCol w:w="1660"/>
        <w:gridCol w:w="3685"/>
        <w:gridCol w:w="1302"/>
      </w:tblGrid>
      <w:tr w:rsidR="002F625D" w14:paraId="3A220137" w14:textId="77777777" w:rsidTr="003C43AA">
        <w:tc>
          <w:tcPr>
            <w:tcW w:w="1680" w:type="dxa"/>
          </w:tcPr>
          <w:p w14:paraId="0021849D" w14:textId="77777777" w:rsidR="002F625D" w:rsidRPr="00381CB9" w:rsidRDefault="002F625D" w:rsidP="00D07F72">
            <w:pPr>
              <w:spacing w:line="480" w:lineRule="auto"/>
              <w:rPr>
                <w:b/>
              </w:rPr>
            </w:pPr>
            <w:r w:rsidRPr="00381CB9">
              <w:rPr>
                <w:b/>
              </w:rPr>
              <w:t>mRNA</w:t>
            </w:r>
          </w:p>
        </w:tc>
        <w:tc>
          <w:tcPr>
            <w:tcW w:w="965" w:type="dxa"/>
          </w:tcPr>
          <w:p w14:paraId="20E91E2E" w14:textId="77777777" w:rsidR="002F625D" w:rsidRPr="00381CB9" w:rsidRDefault="002F625D" w:rsidP="00D07F72">
            <w:pPr>
              <w:spacing w:line="480" w:lineRule="auto"/>
              <w:rPr>
                <w:b/>
              </w:rPr>
            </w:pPr>
            <w:r w:rsidRPr="00381CB9">
              <w:rPr>
                <w:b/>
              </w:rPr>
              <w:t>Gene Symbol</w:t>
            </w:r>
          </w:p>
        </w:tc>
        <w:tc>
          <w:tcPr>
            <w:tcW w:w="1660" w:type="dxa"/>
          </w:tcPr>
          <w:p w14:paraId="2A378575" w14:textId="77777777" w:rsidR="002F625D" w:rsidRPr="00381CB9" w:rsidRDefault="002F625D" w:rsidP="00D07F72">
            <w:pPr>
              <w:spacing w:line="480" w:lineRule="auto"/>
              <w:rPr>
                <w:b/>
              </w:rPr>
            </w:pPr>
            <w:r w:rsidRPr="00381CB9">
              <w:rPr>
                <w:b/>
              </w:rPr>
              <w:t>Accession Number</w:t>
            </w:r>
          </w:p>
        </w:tc>
        <w:tc>
          <w:tcPr>
            <w:tcW w:w="3685" w:type="dxa"/>
          </w:tcPr>
          <w:p w14:paraId="2F07AAF4" w14:textId="77777777" w:rsidR="002F625D" w:rsidRPr="00381CB9" w:rsidRDefault="002F625D" w:rsidP="00D07F72">
            <w:pPr>
              <w:spacing w:line="480" w:lineRule="auto"/>
              <w:rPr>
                <w:b/>
              </w:rPr>
            </w:pPr>
            <w:r w:rsidRPr="00381CB9">
              <w:rPr>
                <w:b/>
              </w:rPr>
              <w:t>Primer Sequence</w:t>
            </w:r>
          </w:p>
        </w:tc>
        <w:tc>
          <w:tcPr>
            <w:tcW w:w="1302" w:type="dxa"/>
          </w:tcPr>
          <w:p w14:paraId="54361720" w14:textId="77777777" w:rsidR="002F625D" w:rsidRPr="00381CB9" w:rsidRDefault="002F625D" w:rsidP="00D07F72">
            <w:pPr>
              <w:spacing w:line="480" w:lineRule="auto"/>
              <w:rPr>
                <w:b/>
              </w:rPr>
            </w:pPr>
            <w:r w:rsidRPr="00381CB9">
              <w:rPr>
                <w:b/>
              </w:rPr>
              <w:t>Qiagen Catalogue</w:t>
            </w:r>
          </w:p>
        </w:tc>
      </w:tr>
      <w:tr w:rsidR="002F625D" w14:paraId="5A284569" w14:textId="77777777" w:rsidTr="003C43AA">
        <w:tc>
          <w:tcPr>
            <w:tcW w:w="1680" w:type="dxa"/>
          </w:tcPr>
          <w:p w14:paraId="4595659C" w14:textId="77777777" w:rsidR="002F625D" w:rsidRDefault="002F625D" w:rsidP="00D07F72">
            <w:pPr>
              <w:spacing w:line="480" w:lineRule="auto"/>
            </w:pPr>
            <w:r>
              <w:t>Cathepsin Z</w:t>
            </w:r>
          </w:p>
        </w:tc>
        <w:tc>
          <w:tcPr>
            <w:tcW w:w="965" w:type="dxa"/>
          </w:tcPr>
          <w:p w14:paraId="0F67E838" w14:textId="77777777" w:rsidR="002F625D" w:rsidRDefault="002F625D" w:rsidP="00D07F72">
            <w:pPr>
              <w:spacing w:line="480" w:lineRule="auto"/>
            </w:pPr>
            <w:r>
              <w:t>CTSZ</w:t>
            </w:r>
          </w:p>
        </w:tc>
        <w:tc>
          <w:tcPr>
            <w:tcW w:w="1660" w:type="dxa"/>
          </w:tcPr>
          <w:p w14:paraId="204457F4" w14:textId="77777777" w:rsidR="002F625D" w:rsidRDefault="002F625D" w:rsidP="00D07F72">
            <w:pPr>
              <w:spacing w:line="480" w:lineRule="auto"/>
            </w:pPr>
            <w:r>
              <w:t>NM_001336</w:t>
            </w:r>
          </w:p>
        </w:tc>
        <w:tc>
          <w:tcPr>
            <w:tcW w:w="3685" w:type="dxa"/>
          </w:tcPr>
          <w:p w14:paraId="78EEFA89" w14:textId="77777777" w:rsidR="002F625D" w:rsidRDefault="002F625D" w:rsidP="00D07F72">
            <w:pPr>
              <w:spacing w:line="480" w:lineRule="auto"/>
            </w:pPr>
            <w:r>
              <w:t>5’ CTATAAGGATGGGAAGGGCGCC 3’</w:t>
            </w:r>
          </w:p>
        </w:tc>
        <w:tc>
          <w:tcPr>
            <w:tcW w:w="1302" w:type="dxa"/>
          </w:tcPr>
          <w:p w14:paraId="030E643E" w14:textId="77777777" w:rsidR="002F625D" w:rsidRDefault="002F625D" w:rsidP="00D07F72">
            <w:pPr>
              <w:spacing w:line="480" w:lineRule="auto"/>
            </w:pPr>
            <w:r>
              <w:t>PPH06136B</w:t>
            </w:r>
          </w:p>
        </w:tc>
      </w:tr>
      <w:tr w:rsidR="002F625D" w14:paraId="03A73695" w14:textId="77777777" w:rsidTr="003C43AA">
        <w:tc>
          <w:tcPr>
            <w:tcW w:w="1680" w:type="dxa"/>
          </w:tcPr>
          <w:p w14:paraId="55FBB166" w14:textId="77777777" w:rsidR="002F625D" w:rsidRDefault="002F625D" w:rsidP="00D07F72">
            <w:pPr>
              <w:spacing w:line="480" w:lineRule="auto"/>
            </w:pPr>
            <w:r>
              <w:t>Glyceraldehyde-3-Phosphate Dehydrogenase</w:t>
            </w:r>
          </w:p>
        </w:tc>
        <w:tc>
          <w:tcPr>
            <w:tcW w:w="965" w:type="dxa"/>
          </w:tcPr>
          <w:p w14:paraId="33D1883F" w14:textId="77777777" w:rsidR="002F625D" w:rsidRDefault="002F625D" w:rsidP="00D07F72">
            <w:pPr>
              <w:spacing w:line="480" w:lineRule="auto"/>
            </w:pPr>
            <w:r>
              <w:t>GAPDH</w:t>
            </w:r>
          </w:p>
        </w:tc>
        <w:tc>
          <w:tcPr>
            <w:tcW w:w="1660" w:type="dxa"/>
          </w:tcPr>
          <w:p w14:paraId="0864ABD6" w14:textId="77777777" w:rsidR="002F625D" w:rsidRDefault="002F625D" w:rsidP="00D07F72">
            <w:pPr>
              <w:spacing w:line="480" w:lineRule="auto"/>
            </w:pPr>
            <w:r>
              <w:t>NM_001256799</w:t>
            </w:r>
          </w:p>
        </w:tc>
        <w:tc>
          <w:tcPr>
            <w:tcW w:w="3685" w:type="dxa"/>
          </w:tcPr>
          <w:p w14:paraId="1920E725" w14:textId="77777777" w:rsidR="002F625D" w:rsidRDefault="002F625D" w:rsidP="00D07F72">
            <w:pPr>
              <w:spacing w:line="480" w:lineRule="auto"/>
            </w:pPr>
            <w:r>
              <w:t>5’ GGCGCTGCCAAGGCTGTGGGCA 3’</w:t>
            </w:r>
          </w:p>
        </w:tc>
        <w:tc>
          <w:tcPr>
            <w:tcW w:w="1302" w:type="dxa"/>
          </w:tcPr>
          <w:p w14:paraId="1E5024F9" w14:textId="77777777" w:rsidR="002F625D" w:rsidRDefault="002F625D" w:rsidP="00D07F72">
            <w:pPr>
              <w:spacing w:line="480" w:lineRule="auto"/>
            </w:pPr>
            <w:r>
              <w:t>PPH00150F</w:t>
            </w:r>
          </w:p>
        </w:tc>
      </w:tr>
    </w:tbl>
    <w:p w14:paraId="148577B2" w14:textId="77777777" w:rsidR="00F86027" w:rsidRDefault="00F86027" w:rsidP="00D07F72">
      <w:pPr>
        <w:spacing w:line="480" w:lineRule="auto"/>
        <w:rPr>
          <w:b/>
        </w:rPr>
      </w:pPr>
    </w:p>
    <w:sectPr w:rsidR="00F86027" w:rsidSect="00800F92">
      <w:footerReference w:type="default" r:id="rId9"/>
      <w:pgSz w:w="11900" w:h="16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58D0A" w14:textId="77777777" w:rsidR="00A244F8" w:rsidRDefault="00A244F8">
      <w:pPr>
        <w:spacing w:after="0" w:line="240" w:lineRule="auto"/>
      </w:pPr>
      <w:r>
        <w:separator/>
      </w:r>
    </w:p>
  </w:endnote>
  <w:endnote w:type="continuationSeparator" w:id="0">
    <w:p w14:paraId="10D1CE0A" w14:textId="77777777" w:rsidR="00A244F8" w:rsidRDefault="00A2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87052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2A673A" w14:textId="40136C74" w:rsidR="009F4B44" w:rsidRDefault="00D07F72" w:rsidP="00800F9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A20D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A20D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30930" w14:textId="77777777" w:rsidR="00A244F8" w:rsidRDefault="00A244F8">
      <w:pPr>
        <w:spacing w:after="0" w:line="240" w:lineRule="auto"/>
      </w:pPr>
      <w:r>
        <w:separator/>
      </w:r>
    </w:p>
  </w:footnote>
  <w:footnote w:type="continuationSeparator" w:id="0">
    <w:p w14:paraId="0F423EF2" w14:textId="77777777" w:rsidR="00A244F8" w:rsidRDefault="00A24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E7"/>
    <w:rsid w:val="00035E4A"/>
    <w:rsid w:val="00086367"/>
    <w:rsid w:val="00203BEB"/>
    <w:rsid w:val="002B10F2"/>
    <w:rsid w:val="002F625D"/>
    <w:rsid w:val="00381CB9"/>
    <w:rsid w:val="003C35C7"/>
    <w:rsid w:val="0041041F"/>
    <w:rsid w:val="00556616"/>
    <w:rsid w:val="006562D7"/>
    <w:rsid w:val="006F7AE7"/>
    <w:rsid w:val="007A3125"/>
    <w:rsid w:val="008A7019"/>
    <w:rsid w:val="008C6654"/>
    <w:rsid w:val="0094393C"/>
    <w:rsid w:val="009934E2"/>
    <w:rsid w:val="0099533A"/>
    <w:rsid w:val="00A244F8"/>
    <w:rsid w:val="00AA6DB4"/>
    <w:rsid w:val="00B14D50"/>
    <w:rsid w:val="00B91A27"/>
    <w:rsid w:val="00BA20DB"/>
    <w:rsid w:val="00D07F72"/>
    <w:rsid w:val="00D1053F"/>
    <w:rsid w:val="00D45164"/>
    <w:rsid w:val="00D92626"/>
    <w:rsid w:val="00DE0AD5"/>
    <w:rsid w:val="00DE44F0"/>
    <w:rsid w:val="00E53F97"/>
    <w:rsid w:val="00F86027"/>
    <w:rsid w:val="00F9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EA228"/>
  <w15:chartTrackingRefBased/>
  <w15:docId w15:val="{E6181E9A-6CAF-46A5-B6DF-23F14D69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7AE7"/>
    <w:pPr>
      <w:keepNext/>
      <w:keepLines/>
      <w:spacing w:before="240" w:after="0" w:line="240" w:lineRule="auto"/>
      <w:jc w:val="center"/>
      <w:outlineLvl w:val="0"/>
    </w:pPr>
    <w:rPr>
      <w:rFonts w:eastAsiaTheme="majorEastAsia" w:cstheme="majorBidi"/>
      <w:b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F7AE7"/>
    <w:rPr>
      <w:rFonts w:eastAsiaTheme="majorEastAsia" w:cstheme="majorBidi"/>
      <w:b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F625D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625D"/>
    <w:rPr>
      <w:rFonts w:eastAsiaTheme="minorHAns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Barraclough</dc:creator>
  <cp:keywords/>
  <dc:description/>
  <cp:lastModifiedBy>Dong Barraclough</cp:lastModifiedBy>
  <cp:revision>5</cp:revision>
  <cp:lastPrinted>2019-01-21T11:17:00Z</cp:lastPrinted>
  <dcterms:created xsi:type="dcterms:W3CDTF">2019-05-16T14:47:00Z</dcterms:created>
  <dcterms:modified xsi:type="dcterms:W3CDTF">2019-05-19T16:47:00Z</dcterms:modified>
</cp:coreProperties>
</file>