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2C4FB" w14:textId="77777777" w:rsidR="001D26E3" w:rsidRPr="004572D8" w:rsidRDefault="001D26E3" w:rsidP="001D26E3">
      <w:pPr>
        <w:rPr>
          <w:b/>
          <w:sz w:val="28"/>
          <w:szCs w:val="28"/>
        </w:rPr>
      </w:pPr>
      <w:r>
        <w:rPr>
          <w:b/>
          <w:sz w:val="28"/>
          <w:szCs w:val="28"/>
        </w:rPr>
        <w:t xml:space="preserve">Dissecting the role of the </w:t>
      </w:r>
      <w:r w:rsidRPr="004572D8">
        <w:rPr>
          <w:b/>
          <w:sz w:val="28"/>
          <w:szCs w:val="28"/>
        </w:rPr>
        <w:t>gut microbiota</w:t>
      </w:r>
      <w:r>
        <w:rPr>
          <w:b/>
          <w:sz w:val="28"/>
          <w:szCs w:val="28"/>
        </w:rPr>
        <w:t xml:space="preserve"> and diet o</w:t>
      </w:r>
      <w:r w:rsidRPr="004572D8">
        <w:rPr>
          <w:b/>
          <w:sz w:val="28"/>
          <w:szCs w:val="28"/>
        </w:rPr>
        <w:t xml:space="preserve">n </w:t>
      </w:r>
      <w:r>
        <w:rPr>
          <w:b/>
          <w:sz w:val="28"/>
          <w:szCs w:val="28"/>
        </w:rPr>
        <w:t>visceral fat mass accumulation</w:t>
      </w:r>
    </w:p>
    <w:p w14:paraId="68FBBA02" w14:textId="77777777" w:rsidR="001D26E3" w:rsidRDefault="001D26E3" w:rsidP="001D26E3"/>
    <w:p w14:paraId="1C1BBCFD" w14:textId="4A714F6C" w:rsidR="001D26E3" w:rsidRPr="00480FA4" w:rsidRDefault="001D26E3" w:rsidP="001D26E3">
      <w:r>
        <w:t>Caroline I Le Roy</w:t>
      </w:r>
      <w:r w:rsidRPr="0028637B">
        <w:rPr>
          <w:vertAlign w:val="superscript"/>
        </w:rPr>
        <w:t>1</w:t>
      </w:r>
      <w:r>
        <w:t>, Ruth E Bowyer</w:t>
      </w:r>
      <w:r w:rsidRPr="0028637B">
        <w:rPr>
          <w:vertAlign w:val="superscript"/>
        </w:rPr>
        <w:t>1</w:t>
      </w:r>
      <w:r w:rsidR="006C3026">
        <w:t>, Juan Castillo-</w:t>
      </w:r>
      <w:r>
        <w:t>Fernandez</w:t>
      </w:r>
      <w:r w:rsidRPr="00873CB3">
        <w:rPr>
          <w:vertAlign w:val="superscript"/>
        </w:rPr>
        <w:t>1</w:t>
      </w:r>
      <w:r>
        <w:t>, Tess Pallister</w:t>
      </w:r>
      <w:r>
        <w:rPr>
          <w:vertAlign w:val="superscript"/>
        </w:rPr>
        <w:t>1</w:t>
      </w:r>
      <w:r>
        <w:t>, Cristina Menni</w:t>
      </w:r>
      <w:r w:rsidRPr="00F44453">
        <w:rPr>
          <w:vertAlign w:val="superscript"/>
        </w:rPr>
        <w:t>1</w:t>
      </w:r>
      <w:r>
        <w:t>, Claire Steves</w:t>
      </w:r>
      <w:r w:rsidRPr="00EA7414">
        <w:rPr>
          <w:vertAlign w:val="superscript"/>
        </w:rPr>
        <w:t>1</w:t>
      </w:r>
      <w:r>
        <w:t>, Sarah E Berry</w:t>
      </w:r>
      <w:r w:rsidRPr="00654B55">
        <w:rPr>
          <w:vertAlign w:val="superscript"/>
        </w:rPr>
        <w:t>2</w:t>
      </w:r>
      <w:r>
        <w:t>, Tim D Spector</w:t>
      </w:r>
      <w:r w:rsidRPr="0028637B">
        <w:rPr>
          <w:vertAlign w:val="superscript"/>
        </w:rPr>
        <w:t>1</w:t>
      </w:r>
      <w:r>
        <w:t>, Jordana T Bell</w:t>
      </w:r>
      <w:r w:rsidRPr="0028637B">
        <w:rPr>
          <w:vertAlign w:val="superscript"/>
        </w:rPr>
        <w:t>1</w:t>
      </w:r>
      <w:r>
        <w:t>*.</w:t>
      </w:r>
    </w:p>
    <w:p w14:paraId="6F2DFCB7" w14:textId="77777777" w:rsidR="001D26E3" w:rsidRDefault="001D26E3" w:rsidP="001D26E3">
      <w:r w:rsidRPr="00B862A9">
        <w:rPr>
          <w:vertAlign w:val="superscript"/>
        </w:rPr>
        <w:t>1</w:t>
      </w:r>
      <w:r w:rsidRPr="0028637B">
        <w:t xml:space="preserve"> The Department of Twin Research, Kings College London, 3-4th Floor South Wing Block D, St Thomas' Hospital, Westminster Bridge Road, SE1</w:t>
      </w:r>
      <w:r>
        <w:t xml:space="preserve"> 7E</w:t>
      </w:r>
    </w:p>
    <w:p w14:paraId="5244EB45" w14:textId="77777777" w:rsidR="001D26E3" w:rsidRDefault="001D26E3" w:rsidP="001D26E3">
      <w:r w:rsidRPr="00654B55">
        <w:rPr>
          <w:vertAlign w:val="superscript"/>
        </w:rPr>
        <w:t>2</w:t>
      </w:r>
      <w:r>
        <w:rPr>
          <w:rFonts w:ascii="AdvPS6F0B" w:hAnsi="AdvPS6F0B"/>
          <w:sz w:val="18"/>
          <w:szCs w:val="18"/>
        </w:rPr>
        <w:t xml:space="preserve"> </w:t>
      </w:r>
      <w:r>
        <w:rPr>
          <w:rFonts w:cstheme="minorHAnsi"/>
        </w:rPr>
        <w:t xml:space="preserve">Department of </w:t>
      </w:r>
      <w:r w:rsidRPr="00D554DF">
        <w:t xml:space="preserve">Nutritional Sciences, King’s College London, Franklin-Wilkins Building, 150 Stamford Street, London SE1 9NH, UK </w:t>
      </w:r>
    </w:p>
    <w:p w14:paraId="39029A65" w14:textId="77777777" w:rsidR="001D26E3" w:rsidRDefault="001D26E3" w:rsidP="001D26E3">
      <w:r>
        <w:t xml:space="preserve">* correspondence to Jordana Bell: </w:t>
      </w:r>
      <w:hyperlink r:id="rId6" w:history="1">
        <w:r w:rsidRPr="000D11AD">
          <w:rPr>
            <w:rStyle w:val="Hyperlink"/>
          </w:rPr>
          <w:t>jordana.bell@kcl.ac.uk</w:t>
        </w:r>
      </w:hyperlink>
    </w:p>
    <w:p w14:paraId="33E9F6D9" w14:textId="77777777" w:rsidR="001D26E3" w:rsidRPr="001D26E3" w:rsidRDefault="001D26E3" w:rsidP="001D26E3">
      <w:r>
        <w:br w:type="page"/>
      </w:r>
    </w:p>
    <w:p w14:paraId="31AFBAB9" w14:textId="77777777" w:rsidR="001D26E3" w:rsidRDefault="001D26E3" w:rsidP="001D26E3">
      <w:pPr>
        <w:rPr>
          <w:b/>
        </w:rPr>
      </w:pPr>
      <w:r w:rsidRPr="003D1641">
        <w:rPr>
          <w:b/>
        </w:rPr>
        <w:lastRenderedPageBreak/>
        <w:t xml:space="preserve">Supplementary </w:t>
      </w:r>
      <w:r>
        <w:rPr>
          <w:b/>
        </w:rPr>
        <w:t>Information</w:t>
      </w:r>
    </w:p>
    <w:p w14:paraId="3D9B2785" w14:textId="77777777" w:rsidR="001D26E3" w:rsidRPr="003D1641" w:rsidRDefault="001D26E3" w:rsidP="001D26E3">
      <w:pPr>
        <w:rPr>
          <w:b/>
        </w:rPr>
      </w:pPr>
    </w:p>
    <w:p w14:paraId="0447EAC4" w14:textId="77777777" w:rsidR="001D26E3" w:rsidRDefault="001D26E3" w:rsidP="001D26E3">
      <w:pPr>
        <w:pStyle w:val="NoSpacing"/>
      </w:pPr>
      <w:r>
        <w:rPr>
          <w:b/>
          <w:noProof/>
          <w:lang w:eastAsia="en-GB"/>
        </w:rPr>
        <w:drawing>
          <wp:inline distT="0" distB="0" distL="0" distR="0" wp14:anchorId="79BC0F94" wp14:editId="3EAE9F65">
            <wp:extent cx="5715000" cy="2390140"/>
            <wp:effectExtent l="0" t="0" r="0" b="0"/>
            <wp:docPr id="1" name="Picture 1" descr="SuppFigur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Figur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2390140"/>
                    </a:xfrm>
                    <a:prstGeom prst="rect">
                      <a:avLst/>
                    </a:prstGeom>
                    <a:noFill/>
                    <a:ln>
                      <a:noFill/>
                    </a:ln>
                  </pic:spPr>
                </pic:pic>
              </a:graphicData>
            </a:graphic>
          </wp:inline>
        </w:drawing>
      </w:r>
      <w:r w:rsidRPr="009440E9">
        <w:rPr>
          <w:b/>
        </w:rPr>
        <w:t>Supplementary figure 1</w:t>
      </w:r>
      <w:r>
        <w:t>: Mediation of nutrients effect on VFM by OTUs. In each of the three models, the left box represents the causal variable (the nutrient), the top box the mediator (OTUs 1</w:t>
      </w:r>
      <w:r w:rsidRPr="009440E9">
        <w:rPr>
          <w:vertAlign w:val="superscript"/>
        </w:rPr>
        <w:t>st</w:t>
      </w:r>
      <w:r>
        <w:t xml:space="preserve"> PC calculated based on the OTUs listed for each nutrient in </w:t>
      </w:r>
      <w:r w:rsidRPr="009440E9">
        <w:rPr>
          <w:b/>
        </w:rPr>
        <w:t>Supplementary table 6</w:t>
      </w:r>
      <w:r>
        <w:t>) and the right box the response (VFM). The number by the top arrow represent the average causal mediation effect and the one on the bottom arrow the average direct effect. The number under the VFM box the percentage of mediation. * P &lt; 0.05, ** P &lt; 0.01, *** P &lt; 0.001.</w:t>
      </w:r>
    </w:p>
    <w:p w14:paraId="560625B0" w14:textId="77777777" w:rsidR="001D26E3" w:rsidRDefault="001D26E3" w:rsidP="001D26E3">
      <w:pPr>
        <w:pStyle w:val="NoSpacing"/>
      </w:pPr>
    </w:p>
    <w:p w14:paraId="44E0AB87" w14:textId="77777777" w:rsidR="001D26E3" w:rsidRDefault="001D26E3" w:rsidP="001D26E3">
      <w:r>
        <w:rPr>
          <w:b/>
          <w:noProof/>
        </w:rPr>
        <w:drawing>
          <wp:inline distT="0" distB="0" distL="0" distR="0" wp14:anchorId="4C25BEA2" wp14:editId="5F0F17A1">
            <wp:extent cx="5715000" cy="2566670"/>
            <wp:effectExtent l="0" t="0" r="0" b="0"/>
            <wp:docPr id="4" name="Picture 4" descr="SuppFigur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Figure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2566670"/>
                    </a:xfrm>
                    <a:prstGeom prst="rect">
                      <a:avLst/>
                    </a:prstGeom>
                    <a:noFill/>
                    <a:ln>
                      <a:noFill/>
                    </a:ln>
                  </pic:spPr>
                </pic:pic>
              </a:graphicData>
            </a:graphic>
          </wp:inline>
        </w:drawing>
      </w:r>
    </w:p>
    <w:p w14:paraId="7A2124AB" w14:textId="77777777" w:rsidR="001D26E3" w:rsidRDefault="001D26E3" w:rsidP="001D26E3">
      <w:pPr>
        <w:spacing w:line="240" w:lineRule="auto"/>
      </w:pPr>
      <w:r w:rsidRPr="009440E9">
        <w:rPr>
          <w:b/>
        </w:rPr>
        <w:t xml:space="preserve">Supplementary figure </w:t>
      </w:r>
      <w:r>
        <w:rPr>
          <w:b/>
        </w:rPr>
        <w:t>2</w:t>
      </w:r>
      <w:r>
        <w:t>: OTUs are better predictors of VFM than nutrients. Correlation between VFM and predicted VFM of the test set for RF models built using all 93 VFM-associated OTUs and 44 nutrients together or separately from left to right.</w:t>
      </w:r>
    </w:p>
    <w:p w14:paraId="6488B106" w14:textId="4944D97C" w:rsidR="001D26E3" w:rsidRDefault="00276845" w:rsidP="001D26E3">
      <w:r>
        <w:rPr>
          <w:noProof/>
        </w:rPr>
        <w:drawing>
          <wp:inline distT="0" distB="0" distL="0" distR="0" wp14:anchorId="07C935EB" wp14:editId="7E6A261B">
            <wp:extent cx="5725160" cy="7284085"/>
            <wp:effectExtent l="0" t="0" r="0" b="5715"/>
            <wp:docPr id="2" name="Picture 2" descr="Revisions/Figur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sions/Figure%20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160" cy="7284085"/>
                    </a:xfrm>
                    <a:prstGeom prst="rect">
                      <a:avLst/>
                    </a:prstGeom>
                    <a:noFill/>
                    <a:ln>
                      <a:noFill/>
                    </a:ln>
                  </pic:spPr>
                </pic:pic>
              </a:graphicData>
            </a:graphic>
          </wp:inline>
        </w:drawing>
      </w:r>
      <w:bookmarkStart w:id="0" w:name="_GoBack"/>
      <w:bookmarkEnd w:id="0"/>
    </w:p>
    <w:p w14:paraId="30169309" w14:textId="70B30BDC" w:rsidR="00276845" w:rsidRDefault="00276845" w:rsidP="001D26E3">
      <w:r w:rsidRPr="009440E9">
        <w:rPr>
          <w:b/>
        </w:rPr>
        <w:t xml:space="preserve">Supplementary figure </w:t>
      </w:r>
      <w:r>
        <w:rPr>
          <w:b/>
        </w:rPr>
        <w:t>3</w:t>
      </w:r>
      <w:r>
        <w:t>:</w:t>
      </w:r>
      <w:r>
        <w:t xml:space="preserve"> Flowchart of the study design.</w:t>
      </w:r>
    </w:p>
    <w:p w14:paraId="1FDAE751" w14:textId="77777777" w:rsidR="00276845" w:rsidRDefault="00276845" w:rsidP="001D26E3"/>
    <w:p w14:paraId="6AFC2B96" w14:textId="77777777" w:rsidR="001D26E3" w:rsidRDefault="001D26E3" w:rsidP="001D26E3">
      <w:r w:rsidRPr="00972D13">
        <w:rPr>
          <w:b/>
        </w:rPr>
        <w:t>Supplementary table 1</w:t>
      </w:r>
      <w:r>
        <w:t>: Summary statistics for the 44 nutrients used in this study</w:t>
      </w:r>
    </w:p>
    <w:p w14:paraId="672115B9" w14:textId="77777777" w:rsidR="001D26E3" w:rsidRDefault="001D26E3" w:rsidP="001D26E3"/>
    <w:p w14:paraId="7B4B3A56" w14:textId="77777777" w:rsidR="001D26E3" w:rsidRDefault="001D26E3" w:rsidP="001D26E3">
      <w:r w:rsidRPr="00972D13">
        <w:rPr>
          <w:b/>
        </w:rPr>
        <w:t>Supplementary table 2</w:t>
      </w:r>
      <w:r>
        <w:t>: Number of OTUs significantly (FDR &lt; 5%) associated with each of the 44 nutrients.</w:t>
      </w:r>
    </w:p>
    <w:p w14:paraId="1009F72C" w14:textId="77777777" w:rsidR="001D26E3" w:rsidRDefault="001D26E3" w:rsidP="001D26E3"/>
    <w:p w14:paraId="695C0542" w14:textId="77777777" w:rsidR="001D26E3" w:rsidRDefault="001D26E3" w:rsidP="001D26E3">
      <w:r w:rsidRPr="00972D13">
        <w:rPr>
          <w:b/>
        </w:rPr>
        <w:t>Supplementary table 3</w:t>
      </w:r>
      <w:r>
        <w:t>: Summary of OUT-VFM associations that lose significance after correction for nutrients.</w:t>
      </w:r>
    </w:p>
    <w:p w14:paraId="0A42B09D" w14:textId="77777777" w:rsidR="001D26E3" w:rsidRDefault="001D26E3" w:rsidP="001D26E3"/>
    <w:p w14:paraId="3B7E1F46" w14:textId="77777777" w:rsidR="001D26E3" w:rsidRDefault="001D26E3" w:rsidP="001D26E3">
      <w:r w:rsidRPr="00972D13">
        <w:rPr>
          <w:b/>
        </w:rPr>
        <w:t>Supplementary table 4</w:t>
      </w:r>
      <w:r>
        <w:t>: Results of the association of OTUs with VFM following correction for nutrients.</w:t>
      </w:r>
    </w:p>
    <w:p w14:paraId="708288A8" w14:textId="77777777" w:rsidR="001D26E3" w:rsidRDefault="001D26E3" w:rsidP="001D26E3"/>
    <w:p w14:paraId="5AC19921" w14:textId="77777777" w:rsidR="001D26E3" w:rsidRDefault="001D26E3" w:rsidP="001D26E3">
      <w:r w:rsidRPr="00972D13">
        <w:rPr>
          <w:b/>
        </w:rPr>
        <w:t>Supplementary table 5:</w:t>
      </w:r>
      <w:r>
        <w:t xml:space="preserve"> Description of OTUs used in the mediation analysis.</w:t>
      </w:r>
    </w:p>
    <w:p w14:paraId="501C69D1" w14:textId="77777777" w:rsidR="00AD1868" w:rsidRDefault="00D55DB9"/>
    <w:sectPr w:rsidR="00AD1868" w:rsidSect="00DB5E2F">
      <w:footerReference w:type="even" r:id="rId10"/>
      <w:footerReference w:type="default" r:id="rId11"/>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9196F" w14:textId="77777777" w:rsidR="00D55DB9" w:rsidRDefault="00D55DB9">
      <w:pPr>
        <w:spacing w:line="240" w:lineRule="auto"/>
      </w:pPr>
      <w:r>
        <w:separator/>
      </w:r>
    </w:p>
  </w:endnote>
  <w:endnote w:type="continuationSeparator" w:id="0">
    <w:p w14:paraId="388D6D78" w14:textId="77777777" w:rsidR="00D55DB9" w:rsidRDefault="00D55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dvPS6F0B">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A5FF7" w14:textId="77777777" w:rsidR="003266D6" w:rsidRDefault="001D26E3" w:rsidP="009849A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1076D2" w14:textId="77777777" w:rsidR="003266D6" w:rsidRDefault="00D55DB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B0308" w14:textId="77777777" w:rsidR="003266D6" w:rsidRDefault="001D26E3" w:rsidP="009849A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55DB9">
      <w:rPr>
        <w:rStyle w:val="PageNumber"/>
        <w:noProof/>
      </w:rPr>
      <w:t>1</w:t>
    </w:r>
    <w:r>
      <w:rPr>
        <w:rStyle w:val="PageNumber"/>
      </w:rPr>
      <w:fldChar w:fldCharType="end"/>
    </w:r>
  </w:p>
  <w:p w14:paraId="63D03AAC" w14:textId="77777777" w:rsidR="003266D6" w:rsidRDefault="00D55D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1D325" w14:textId="77777777" w:rsidR="00D55DB9" w:rsidRDefault="00D55DB9">
      <w:pPr>
        <w:spacing w:line="240" w:lineRule="auto"/>
      </w:pPr>
      <w:r>
        <w:separator/>
      </w:r>
    </w:p>
  </w:footnote>
  <w:footnote w:type="continuationSeparator" w:id="0">
    <w:p w14:paraId="44C2CD5A" w14:textId="77777777" w:rsidR="00D55DB9" w:rsidRDefault="00D55D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6E3"/>
    <w:rsid w:val="00024853"/>
    <w:rsid w:val="000408E4"/>
    <w:rsid w:val="000D69BE"/>
    <w:rsid w:val="001D26E3"/>
    <w:rsid w:val="00276845"/>
    <w:rsid w:val="0028234B"/>
    <w:rsid w:val="00394193"/>
    <w:rsid w:val="006C3026"/>
    <w:rsid w:val="00710EF5"/>
    <w:rsid w:val="0099766F"/>
    <w:rsid w:val="00A33395"/>
    <w:rsid w:val="00C130CD"/>
    <w:rsid w:val="00D55DB9"/>
    <w:rsid w:val="00E0707B"/>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744C58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26E3"/>
    <w:pPr>
      <w:spacing w:line="360" w:lineRule="auto"/>
      <w:jc w:val="both"/>
    </w:pPr>
    <w:rPr>
      <w:rFonts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26E3"/>
    <w:pPr>
      <w:tabs>
        <w:tab w:val="center" w:pos="4513"/>
        <w:tab w:val="right" w:pos="9026"/>
      </w:tabs>
      <w:spacing w:line="240" w:lineRule="auto"/>
    </w:pPr>
  </w:style>
  <w:style w:type="character" w:customStyle="1" w:styleId="FooterChar">
    <w:name w:val="Footer Char"/>
    <w:basedOn w:val="DefaultParagraphFont"/>
    <w:link w:val="Footer"/>
    <w:uiPriority w:val="99"/>
    <w:rsid w:val="001D26E3"/>
    <w:rPr>
      <w:rFonts w:cs="Times New Roman"/>
      <w:lang w:eastAsia="en-GB"/>
    </w:rPr>
  </w:style>
  <w:style w:type="character" w:styleId="PageNumber">
    <w:name w:val="page number"/>
    <w:basedOn w:val="DefaultParagraphFont"/>
    <w:uiPriority w:val="99"/>
    <w:semiHidden/>
    <w:unhideWhenUsed/>
    <w:rsid w:val="001D26E3"/>
  </w:style>
  <w:style w:type="paragraph" w:styleId="NoSpacing">
    <w:name w:val="No Spacing"/>
    <w:uiPriority w:val="1"/>
    <w:qFormat/>
    <w:rsid w:val="001D26E3"/>
    <w:pPr>
      <w:jc w:val="both"/>
    </w:pPr>
  </w:style>
  <w:style w:type="character" w:styleId="LineNumber">
    <w:name w:val="line number"/>
    <w:basedOn w:val="DefaultParagraphFont"/>
    <w:uiPriority w:val="99"/>
    <w:semiHidden/>
    <w:unhideWhenUsed/>
    <w:rsid w:val="001D26E3"/>
  </w:style>
  <w:style w:type="character" w:styleId="Hyperlink">
    <w:name w:val="Hyperlink"/>
    <w:basedOn w:val="DefaultParagraphFont"/>
    <w:uiPriority w:val="99"/>
    <w:unhideWhenUsed/>
    <w:rsid w:val="001D26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jordana.bell@kcl.ac.uk"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296</Words>
  <Characters>1688</Characters>
  <Application>Microsoft Macintosh Word</Application>
  <DocSecurity>0</DocSecurity>
  <Lines>14</Lines>
  <Paragraphs>3</Paragraphs>
  <ScaleCrop>false</ScaleCrop>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Roy, Caroline</dc:creator>
  <cp:keywords/>
  <dc:description/>
  <cp:lastModifiedBy>Le Roy, Caroline</cp:lastModifiedBy>
  <cp:revision>2</cp:revision>
  <dcterms:created xsi:type="dcterms:W3CDTF">2019-06-12T03:12:00Z</dcterms:created>
  <dcterms:modified xsi:type="dcterms:W3CDTF">2019-06-12T03:12:00Z</dcterms:modified>
</cp:coreProperties>
</file>