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B1107" w14:textId="77777777" w:rsidR="00190F79" w:rsidRPr="00054528" w:rsidRDefault="00190F79" w:rsidP="00190F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sz w:val="22"/>
          <w:szCs w:val="22"/>
        </w:rPr>
      </w:pPr>
      <w:r w:rsidRPr="00054528">
        <w:rPr>
          <w:b/>
          <w:sz w:val="22"/>
          <w:szCs w:val="22"/>
        </w:rPr>
        <w:t>New fossil cichlid from the middle Miocene of East Africa revealed as oldest known member of the Oreochromini</w:t>
      </w:r>
    </w:p>
    <w:p w14:paraId="229923DE" w14:textId="77777777" w:rsidR="00190F79" w:rsidRPr="00054528" w:rsidRDefault="00190F79" w:rsidP="00190F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2"/>
          <w:szCs w:val="22"/>
        </w:rPr>
      </w:pPr>
    </w:p>
    <w:p w14:paraId="6ADCE628" w14:textId="77777777" w:rsidR="00190F79" w:rsidRPr="00B06FA1" w:rsidRDefault="00190F79" w:rsidP="00190F79">
      <w:pPr>
        <w:spacing w:line="360" w:lineRule="auto"/>
        <w:rPr>
          <w:b/>
          <w:sz w:val="22"/>
          <w:szCs w:val="22"/>
          <w:vertAlign w:val="superscript"/>
          <w:lang w:val="de-DE"/>
        </w:rPr>
      </w:pPr>
      <w:r w:rsidRPr="00B06FA1">
        <w:rPr>
          <w:b/>
          <w:sz w:val="22"/>
          <w:szCs w:val="22"/>
          <w:lang w:val="de-DE"/>
        </w:rPr>
        <w:t>Stefanie B. R. Penk</w:t>
      </w:r>
      <w:r w:rsidRPr="00B06FA1">
        <w:rPr>
          <w:b/>
          <w:sz w:val="22"/>
          <w:szCs w:val="22"/>
          <w:vertAlign w:val="superscript"/>
          <w:lang w:val="de-DE"/>
        </w:rPr>
        <w:t>1</w:t>
      </w:r>
      <w:r w:rsidRPr="00B06FA1">
        <w:rPr>
          <w:sz w:val="22"/>
          <w:szCs w:val="22"/>
          <w:lang w:val="de-DE"/>
        </w:rPr>
        <w:t>*</w:t>
      </w:r>
      <w:r w:rsidRPr="00B06FA1">
        <w:rPr>
          <w:b/>
          <w:sz w:val="22"/>
          <w:szCs w:val="22"/>
          <w:lang w:val="de-DE"/>
        </w:rPr>
        <w:t>, Melanie Altner</w:t>
      </w:r>
      <w:r w:rsidRPr="00B06FA1">
        <w:rPr>
          <w:b/>
          <w:sz w:val="22"/>
          <w:szCs w:val="22"/>
          <w:vertAlign w:val="superscript"/>
          <w:lang w:val="de-DE"/>
        </w:rPr>
        <w:t>1</w:t>
      </w:r>
      <w:r w:rsidRPr="00B06FA1">
        <w:rPr>
          <w:b/>
          <w:sz w:val="22"/>
          <w:szCs w:val="22"/>
          <w:lang w:val="de-DE"/>
        </w:rPr>
        <w:t>, Ulrich K. Schliewen</w:t>
      </w:r>
      <w:r w:rsidRPr="00B06FA1">
        <w:rPr>
          <w:b/>
          <w:sz w:val="22"/>
          <w:szCs w:val="22"/>
          <w:vertAlign w:val="superscript"/>
          <w:lang w:val="de-DE"/>
        </w:rPr>
        <w:t>2,3</w:t>
      </w:r>
      <w:r w:rsidRPr="00B06FA1">
        <w:rPr>
          <w:b/>
          <w:sz w:val="22"/>
          <w:szCs w:val="22"/>
          <w:lang w:val="de-DE"/>
        </w:rPr>
        <w:t>, Alexander Cerwenka</w:t>
      </w:r>
      <w:r w:rsidRPr="00B06FA1">
        <w:rPr>
          <w:b/>
          <w:sz w:val="22"/>
          <w:szCs w:val="22"/>
          <w:vertAlign w:val="superscript"/>
          <w:lang w:val="de-DE"/>
        </w:rPr>
        <w:t>4</w:t>
      </w:r>
      <w:r w:rsidRPr="00B06FA1">
        <w:rPr>
          <w:b/>
          <w:sz w:val="22"/>
          <w:szCs w:val="22"/>
          <w:lang w:val="de-DE"/>
        </w:rPr>
        <w:t xml:space="preserve"> &amp; Bettina Reichenbacher</w:t>
      </w:r>
      <w:r w:rsidRPr="00B06FA1">
        <w:rPr>
          <w:b/>
          <w:sz w:val="22"/>
          <w:szCs w:val="22"/>
          <w:vertAlign w:val="superscript"/>
          <w:lang w:val="de-DE"/>
        </w:rPr>
        <w:t>1,2</w:t>
      </w:r>
      <w:r w:rsidRPr="00B06FA1">
        <w:rPr>
          <w:sz w:val="22"/>
          <w:szCs w:val="22"/>
          <w:lang w:val="de-DE"/>
        </w:rPr>
        <w:t>*</w:t>
      </w:r>
    </w:p>
    <w:p w14:paraId="3776846B" w14:textId="77777777" w:rsidR="00190F79" w:rsidRPr="00B06FA1" w:rsidRDefault="00190F79" w:rsidP="00190F79">
      <w:pPr>
        <w:spacing w:line="360" w:lineRule="auto"/>
        <w:rPr>
          <w:sz w:val="22"/>
          <w:szCs w:val="22"/>
          <w:vertAlign w:val="superscript"/>
          <w:lang w:val="de-DE"/>
        </w:rPr>
      </w:pPr>
    </w:p>
    <w:p w14:paraId="58C2C853" w14:textId="77777777" w:rsidR="00190F79" w:rsidRPr="00B06FA1" w:rsidRDefault="00190F79" w:rsidP="00190F79">
      <w:pPr>
        <w:spacing w:line="360" w:lineRule="auto"/>
        <w:rPr>
          <w:sz w:val="22"/>
          <w:szCs w:val="22"/>
        </w:rPr>
      </w:pPr>
      <w:r w:rsidRPr="00B06FA1">
        <w:rPr>
          <w:sz w:val="22"/>
          <w:szCs w:val="22"/>
          <w:vertAlign w:val="superscript"/>
        </w:rPr>
        <w:t>1</w:t>
      </w:r>
      <w:r w:rsidRPr="00B06FA1">
        <w:rPr>
          <w:sz w:val="22"/>
          <w:szCs w:val="22"/>
        </w:rPr>
        <w:t>Department of Earth and Environmental Sciences, Ludwig-Maximilians-Universität München, 80333 Munich, Germany</w:t>
      </w:r>
    </w:p>
    <w:p w14:paraId="438BEE9F" w14:textId="77777777" w:rsidR="00190F79" w:rsidRPr="00B06FA1" w:rsidRDefault="00190F79" w:rsidP="00190F79">
      <w:pPr>
        <w:spacing w:line="360" w:lineRule="auto"/>
        <w:rPr>
          <w:sz w:val="22"/>
          <w:szCs w:val="22"/>
          <w:lang w:val="de-DE"/>
        </w:rPr>
      </w:pPr>
      <w:r w:rsidRPr="00B06FA1">
        <w:rPr>
          <w:sz w:val="22"/>
          <w:szCs w:val="22"/>
          <w:vertAlign w:val="superscript"/>
          <w:lang w:val="de-DE"/>
        </w:rPr>
        <w:t>2</w:t>
      </w:r>
      <w:r w:rsidRPr="00B06FA1">
        <w:rPr>
          <w:sz w:val="22"/>
          <w:szCs w:val="22"/>
          <w:lang w:val="de-DE"/>
        </w:rPr>
        <w:t>GeoBio-Center, Ludwig-Maximilians-Universität München, 80333 Munich, Germany</w:t>
      </w:r>
    </w:p>
    <w:p w14:paraId="6A4E14C3" w14:textId="77777777" w:rsidR="00190F79" w:rsidRPr="00B06FA1" w:rsidRDefault="00190F79" w:rsidP="00190F79">
      <w:pPr>
        <w:spacing w:line="360" w:lineRule="auto"/>
        <w:rPr>
          <w:sz w:val="22"/>
          <w:szCs w:val="22"/>
        </w:rPr>
      </w:pPr>
      <w:r w:rsidRPr="00B06FA1">
        <w:rPr>
          <w:sz w:val="22"/>
          <w:szCs w:val="22"/>
          <w:vertAlign w:val="superscript"/>
        </w:rPr>
        <w:t>3</w:t>
      </w:r>
      <w:r w:rsidRPr="00B06FA1">
        <w:rPr>
          <w:sz w:val="22"/>
          <w:szCs w:val="22"/>
        </w:rPr>
        <w:t>Department of Ichthyology, SNSB Bavarian State Collection of Zoology, 81247 Munich, Germany</w:t>
      </w:r>
    </w:p>
    <w:p w14:paraId="507F7639" w14:textId="77777777" w:rsidR="00190F79" w:rsidRPr="00B06FA1" w:rsidRDefault="00190F79" w:rsidP="00190F79">
      <w:pPr>
        <w:spacing w:line="360" w:lineRule="auto"/>
        <w:rPr>
          <w:sz w:val="22"/>
          <w:szCs w:val="22"/>
        </w:rPr>
      </w:pPr>
      <w:r w:rsidRPr="00B06FA1">
        <w:rPr>
          <w:sz w:val="22"/>
          <w:szCs w:val="22"/>
          <w:vertAlign w:val="superscript"/>
        </w:rPr>
        <w:t>4</w:t>
      </w:r>
      <w:r w:rsidRPr="00B06FA1">
        <w:rPr>
          <w:sz w:val="22"/>
          <w:szCs w:val="22"/>
        </w:rPr>
        <w:t>Section Evertebrata varia, SNSB Bavarian State Collection of Zoology, 81247 Munich, Germany</w:t>
      </w:r>
    </w:p>
    <w:p w14:paraId="25DC8EE2" w14:textId="77777777" w:rsidR="00190F79" w:rsidRDefault="00190F79" w:rsidP="0081012C">
      <w:pPr>
        <w:spacing w:line="360" w:lineRule="auto"/>
        <w:rPr>
          <w:rFonts w:cs="Arial"/>
          <w:b/>
          <w:sz w:val="22"/>
          <w:szCs w:val="22"/>
        </w:rPr>
      </w:pPr>
    </w:p>
    <w:p w14:paraId="45B25BFF" w14:textId="14B31164" w:rsidR="0081012C" w:rsidRPr="00FC2CDC" w:rsidRDefault="00190F79" w:rsidP="0081012C">
      <w:pPr>
        <w:spacing w:line="360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Legend for </w:t>
      </w:r>
      <w:r w:rsidR="0081012C" w:rsidRPr="00FC2CDC">
        <w:rPr>
          <w:rFonts w:cs="Arial"/>
          <w:b/>
          <w:sz w:val="22"/>
          <w:szCs w:val="22"/>
        </w:rPr>
        <w:t>Supplementary Files</w:t>
      </w:r>
    </w:p>
    <w:p w14:paraId="66802E62" w14:textId="27F7572C" w:rsidR="0081012C" w:rsidRPr="00FC2CDC" w:rsidRDefault="0081012C" w:rsidP="00190F79">
      <w:pPr>
        <w:pStyle w:val="ListParagraph"/>
        <w:spacing w:after="200" w:line="360" w:lineRule="auto"/>
        <w:ind w:left="0"/>
        <w:contextualSpacing w:val="0"/>
        <w:rPr>
          <w:rFonts w:eastAsia="MS Mincho" w:cs="Times New Roman"/>
          <w:sz w:val="22"/>
          <w:szCs w:val="22"/>
        </w:rPr>
      </w:pPr>
      <w:r w:rsidRPr="00FC2CDC">
        <w:rPr>
          <w:rFonts w:cs="Times New Roman"/>
          <w:b/>
          <w:sz w:val="22"/>
          <w:szCs w:val="22"/>
        </w:rPr>
        <w:t xml:space="preserve">Supplementary Data 1. </w:t>
      </w:r>
      <w:r w:rsidRPr="00FC2CDC">
        <w:rPr>
          <w:rFonts w:eastAsia="MS Mincho" w:cs="Times New Roman"/>
          <w:sz w:val="22"/>
          <w:szCs w:val="22"/>
        </w:rPr>
        <w:t xml:space="preserve">Nexus file used for phylogenetic analysis on the basis of the matrix of Stiassny (1991). See Suppl. </w:t>
      </w:r>
      <w:r w:rsidR="00C41E0A">
        <w:rPr>
          <w:rFonts w:eastAsia="MS Mincho" w:cs="Times New Roman"/>
          <w:sz w:val="22"/>
          <w:szCs w:val="22"/>
        </w:rPr>
        <w:t xml:space="preserve">Data 3, </w:t>
      </w:r>
      <w:r w:rsidRPr="00FC2CDC">
        <w:rPr>
          <w:rFonts w:eastAsia="MS Mincho" w:cs="Times New Roman"/>
          <w:sz w:val="22"/>
          <w:szCs w:val="22"/>
        </w:rPr>
        <w:t>Table S17 for details of characters and states</w:t>
      </w:r>
      <w:r w:rsidR="005167B4">
        <w:rPr>
          <w:rFonts w:eastAsia="MS Mincho" w:cs="Times New Roman"/>
          <w:sz w:val="22"/>
          <w:szCs w:val="22"/>
        </w:rPr>
        <w:t>.</w:t>
      </w:r>
    </w:p>
    <w:p w14:paraId="5E806341" w14:textId="5DC17AC2" w:rsidR="0081012C" w:rsidRPr="00FC2CDC" w:rsidRDefault="0081012C" w:rsidP="00190F79">
      <w:pPr>
        <w:pStyle w:val="ListParagraph"/>
        <w:spacing w:after="200" w:line="360" w:lineRule="auto"/>
        <w:ind w:left="0"/>
        <w:contextualSpacing w:val="0"/>
        <w:rPr>
          <w:rFonts w:eastAsia="MS Mincho" w:cs="Times New Roman"/>
          <w:sz w:val="22"/>
          <w:szCs w:val="22"/>
        </w:rPr>
      </w:pPr>
      <w:r w:rsidRPr="00FC2CDC">
        <w:rPr>
          <w:rFonts w:cs="Times New Roman"/>
          <w:b/>
          <w:sz w:val="22"/>
          <w:szCs w:val="22"/>
        </w:rPr>
        <w:t xml:space="preserve">Supplementary Data 2. </w:t>
      </w:r>
      <w:r w:rsidRPr="00FC2CDC">
        <w:rPr>
          <w:rFonts w:eastAsia="MS Mincho" w:cs="Times New Roman"/>
          <w:sz w:val="22"/>
          <w:szCs w:val="22"/>
        </w:rPr>
        <w:t xml:space="preserve">Nexus file used for phylogenetic analysis on the basis of the matrix of Takahashi (2003a, 2003b). See Suppl. </w:t>
      </w:r>
      <w:r w:rsidR="00C41E0A">
        <w:rPr>
          <w:rFonts w:eastAsia="MS Mincho" w:cs="Times New Roman"/>
          <w:sz w:val="22"/>
          <w:szCs w:val="22"/>
        </w:rPr>
        <w:t xml:space="preserve">Data 3, </w:t>
      </w:r>
      <w:r w:rsidRPr="00FC2CDC">
        <w:rPr>
          <w:rFonts w:eastAsia="MS Mincho" w:cs="Times New Roman"/>
          <w:sz w:val="22"/>
          <w:szCs w:val="22"/>
        </w:rPr>
        <w:t>Table S18 for details of characters and states.</w:t>
      </w:r>
    </w:p>
    <w:p w14:paraId="7E6CA5E7" w14:textId="7AD484A0" w:rsidR="0081012C" w:rsidRPr="00FC2CDC" w:rsidRDefault="0081012C" w:rsidP="00190F79">
      <w:pPr>
        <w:pStyle w:val="ListParagraph"/>
        <w:spacing w:after="200" w:line="360" w:lineRule="auto"/>
        <w:ind w:left="0"/>
        <w:rPr>
          <w:rFonts w:cs="Times New Roman"/>
          <w:b/>
          <w:sz w:val="22"/>
          <w:szCs w:val="22"/>
        </w:rPr>
      </w:pPr>
      <w:r w:rsidRPr="00FC2CDC">
        <w:rPr>
          <w:rFonts w:cs="Times New Roman"/>
          <w:b/>
          <w:sz w:val="22"/>
          <w:szCs w:val="22"/>
        </w:rPr>
        <w:t xml:space="preserve">Supplementary </w:t>
      </w:r>
      <w:r w:rsidR="00E65D48">
        <w:rPr>
          <w:rFonts w:cs="Times New Roman"/>
          <w:b/>
          <w:sz w:val="22"/>
          <w:szCs w:val="22"/>
        </w:rPr>
        <w:t xml:space="preserve">Data 3, </w:t>
      </w:r>
      <w:r w:rsidRPr="00FC2CDC">
        <w:rPr>
          <w:rFonts w:cs="Times New Roman"/>
          <w:b/>
          <w:sz w:val="22"/>
          <w:szCs w:val="22"/>
        </w:rPr>
        <w:t>Tables S1–S1</w:t>
      </w:r>
      <w:r w:rsidR="00190F79">
        <w:rPr>
          <w:rFonts w:cs="Times New Roman"/>
          <w:b/>
          <w:sz w:val="22"/>
          <w:szCs w:val="22"/>
        </w:rPr>
        <w:t>3</w:t>
      </w:r>
    </w:p>
    <w:p w14:paraId="29258156" w14:textId="77777777" w:rsidR="0081012C" w:rsidRPr="004F45BC" w:rsidRDefault="0081012C" w:rsidP="004F45BC">
      <w:pPr>
        <w:spacing w:after="200" w:line="360" w:lineRule="auto"/>
        <w:ind w:left="709"/>
        <w:rPr>
          <w:sz w:val="22"/>
          <w:szCs w:val="22"/>
        </w:rPr>
      </w:pPr>
      <w:bookmarkStart w:id="0" w:name="_GoBack"/>
      <w:r w:rsidRPr="004F45BC">
        <w:rPr>
          <w:sz w:val="22"/>
          <w:szCs w:val="22"/>
        </w:rPr>
        <w:t xml:space="preserve">Table S1. Comparative material of extant species used for X-ray analysis and assembly of meristic data. All non-EAR tribes of the haplotilapiines are represented: Etiini (monotypic, 1 species), Oreochromini (all genera, 42 species), Coelotilapiini (monotypic, 1 species), Coptodonini (1 genus, 6 species), Heterotilapiini (1 species (out of 2)), Gobiocichlini (3 genera, 5 species = all known species except </w:t>
      </w:r>
      <w:r w:rsidRPr="004F45BC">
        <w:rPr>
          <w:i/>
          <w:iCs/>
          <w:sz w:val="22"/>
          <w:szCs w:val="22"/>
        </w:rPr>
        <w:t>Tilapia busumana</w:t>
      </w:r>
      <w:r w:rsidRPr="004F45BC">
        <w:rPr>
          <w:sz w:val="22"/>
          <w:szCs w:val="22"/>
        </w:rPr>
        <w:t>), Pelmatotilapiini (1 genus, 2 species = all known species), Steatocranini (1 genus, 4 species), Tilapiini (3 genera, 8 species = all known species). See Methods for additional details.</w:t>
      </w:r>
    </w:p>
    <w:p w14:paraId="1EDF81CF" w14:textId="77777777" w:rsidR="0081012C" w:rsidRPr="004F45BC" w:rsidRDefault="0081012C" w:rsidP="004F45BC">
      <w:pPr>
        <w:spacing w:after="200" w:line="360" w:lineRule="auto"/>
        <w:ind w:left="709"/>
        <w:outlineLvl w:val="0"/>
        <w:rPr>
          <w:sz w:val="22"/>
          <w:szCs w:val="22"/>
        </w:rPr>
      </w:pPr>
      <w:r w:rsidRPr="004F45BC">
        <w:rPr>
          <w:sz w:val="22"/>
          <w:szCs w:val="22"/>
        </w:rPr>
        <w:t xml:space="preserve">Table S2. Comparative material of extant species of the Oreochromini (34 species) and the </w:t>
      </w:r>
      <w:r w:rsidRPr="004F45BC">
        <w:rPr>
          <w:i/>
          <w:sz w:val="22"/>
          <w:szCs w:val="22"/>
        </w:rPr>
        <w:t>Pseudocrenilabrus</w:t>
      </w:r>
      <w:r w:rsidRPr="004F45BC">
        <w:rPr>
          <w:sz w:val="22"/>
          <w:szCs w:val="22"/>
        </w:rPr>
        <w:t xml:space="preserve"> Group (5 species) used for flank scale analysis. For institutional abbreviations see Table S1. </w:t>
      </w:r>
    </w:p>
    <w:p w14:paraId="7F839333" w14:textId="77777777" w:rsidR="0081012C" w:rsidRPr="004F45BC" w:rsidRDefault="0081012C" w:rsidP="004F45BC">
      <w:pPr>
        <w:spacing w:after="200" w:line="360" w:lineRule="auto"/>
        <w:ind w:left="709"/>
        <w:outlineLvl w:val="0"/>
        <w:rPr>
          <w:sz w:val="22"/>
          <w:szCs w:val="22"/>
        </w:rPr>
      </w:pPr>
      <w:r w:rsidRPr="004F45BC">
        <w:rPr>
          <w:sz w:val="22"/>
          <w:szCs w:val="22"/>
        </w:rPr>
        <w:t xml:space="preserve">Table S3. Comparative material of extant species used for belly scale analysis. For institutional abbreviations see Table S1. </w:t>
      </w:r>
    </w:p>
    <w:p w14:paraId="75B303C9" w14:textId="77777777" w:rsidR="0081012C" w:rsidRPr="004F45BC" w:rsidRDefault="0081012C" w:rsidP="004F45BC">
      <w:pPr>
        <w:spacing w:after="200" w:line="360" w:lineRule="auto"/>
        <w:ind w:left="709"/>
        <w:outlineLvl w:val="0"/>
        <w:rPr>
          <w:sz w:val="22"/>
          <w:szCs w:val="22"/>
        </w:rPr>
      </w:pPr>
      <w:r w:rsidRPr="004F45BC">
        <w:rPr>
          <w:sz w:val="22"/>
          <w:szCs w:val="22"/>
        </w:rPr>
        <w:t xml:space="preserve">Table S4. Comparative material of extant species of the Oreochromini (5 species), Coelotilapiini (1 species), and the </w:t>
      </w:r>
      <w:r w:rsidRPr="004F45BC">
        <w:rPr>
          <w:i/>
          <w:sz w:val="22"/>
          <w:szCs w:val="22"/>
        </w:rPr>
        <w:t>Pseudocrenilabrus</w:t>
      </w:r>
      <w:r w:rsidRPr="004F45BC">
        <w:rPr>
          <w:sz w:val="22"/>
          <w:szCs w:val="22"/>
        </w:rPr>
        <w:t xml:space="preserve"> Group (2 species) used for lacrimal analysis. For institutional abbreviations see Table S1.</w:t>
      </w:r>
    </w:p>
    <w:p w14:paraId="6FA52463" w14:textId="77777777" w:rsidR="0081012C" w:rsidRPr="004F45BC" w:rsidRDefault="0081012C" w:rsidP="004F45BC">
      <w:pPr>
        <w:spacing w:after="200" w:line="360" w:lineRule="auto"/>
        <w:ind w:left="709"/>
        <w:outlineLvl w:val="0"/>
        <w:rPr>
          <w:sz w:val="22"/>
          <w:szCs w:val="22"/>
        </w:rPr>
      </w:pPr>
      <w:r w:rsidRPr="004F45BC">
        <w:rPr>
          <w:sz w:val="22"/>
          <w:szCs w:val="22"/>
        </w:rPr>
        <w:lastRenderedPageBreak/>
        <w:t>Table S5. Comparative material of extant species of the Oreochromini used for supraneural morphology analysis. For institutional abbreviations see Table S1.</w:t>
      </w:r>
    </w:p>
    <w:p w14:paraId="2D71D93C" w14:textId="77777777" w:rsidR="0081012C" w:rsidRPr="004F45BC" w:rsidRDefault="0081012C" w:rsidP="004F45BC">
      <w:pPr>
        <w:spacing w:after="200" w:line="360" w:lineRule="auto"/>
        <w:ind w:left="709"/>
        <w:rPr>
          <w:sz w:val="22"/>
          <w:szCs w:val="22"/>
        </w:rPr>
      </w:pPr>
      <w:r w:rsidRPr="004F45BC">
        <w:rPr>
          <w:sz w:val="22"/>
          <w:szCs w:val="22"/>
        </w:rPr>
        <w:t xml:space="preserve">Table S6. Literature used to assemble morphological information for all genera and species of the non-EAR tribes of the haplotilapiines and for all genera and species of the EAR tribes Lamprologini, Ectodini, Cyprichromini, Trematocarini, and the </w:t>
      </w:r>
      <w:r w:rsidRPr="004F45BC">
        <w:rPr>
          <w:i/>
          <w:sz w:val="22"/>
          <w:szCs w:val="22"/>
        </w:rPr>
        <w:t>Pseudocrenilabrus</w:t>
      </w:r>
      <w:r w:rsidRPr="004F45BC">
        <w:rPr>
          <w:sz w:val="22"/>
          <w:szCs w:val="22"/>
        </w:rPr>
        <w:t xml:space="preserve"> Group (data depicted in Figure 9). </w:t>
      </w:r>
    </w:p>
    <w:p w14:paraId="03A7A299" w14:textId="77777777" w:rsidR="0081012C" w:rsidRPr="004F45BC" w:rsidRDefault="0081012C" w:rsidP="004F45BC">
      <w:pPr>
        <w:spacing w:after="200" w:line="360" w:lineRule="auto"/>
        <w:ind w:left="709"/>
        <w:rPr>
          <w:sz w:val="22"/>
          <w:szCs w:val="22"/>
        </w:rPr>
      </w:pPr>
      <w:r w:rsidRPr="004F45BC">
        <w:rPr>
          <w:sz w:val="22"/>
          <w:szCs w:val="22"/>
        </w:rPr>
        <w:t>Table S7. Literature used to assemble additional morphological information for the Oreochromini (data depicted in Figure 11).</w:t>
      </w:r>
    </w:p>
    <w:p w14:paraId="51158C37" w14:textId="77777777" w:rsidR="0081012C" w:rsidRPr="004F45BC" w:rsidRDefault="0081012C" w:rsidP="004F45BC">
      <w:pPr>
        <w:spacing w:after="200" w:line="360" w:lineRule="auto"/>
        <w:ind w:left="709"/>
        <w:rPr>
          <w:sz w:val="22"/>
          <w:szCs w:val="22"/>
        </w:rPr>
      </w:pPr>
      <w:r w:rsidRPr="004F45BC">
        <w:rPr>
          <w:sz w:val="22"/>
          <w:szCs w:val="22"/>
        </w:rPr>
        <w:t>Table S8. Literature used to assign a given species for which morphological information has been assembled to one of the recognised tribes (data depicted in Figure 9).</w:t>
      </w:r>
    </w:p>
    <w:p w14:paraId="42B10281" w14:textId="77777777" w:rsidR="0081012C" w:rsidRPr="004F45BC" w:rsidRDefault="0081012C" w:rsidP="004F45BC">
      <w:pPr>
        <w:spacing w:after="200" w:line="360" w:lineRule="auto"/>
        <w:ind w:left="709"/>
        <w:rPr>
          <w:sz w:val="22"/>
          <w:szCs w:val="22"/>
        </w:rPr>
      </w:pPr>
      <w:r w:rsidRPr="004F45BC">
        <w:rPr>
          <w:sz w:val="22"/>
          <w:szCs w:val="22"/>
        </w:rPr>
        <w:t xml:space="preserve">Table S9.  Meristic data for non-EAR haplotilapiines on the basis of our X-rayed dataset (see Table S1). Data for EAR tribes from Altner </w:t>
      </w:r>
      <w:r w:rsidRPr="004F45BC">
        <w:rPr>
          <w:i/>
          <w:sz w:val="22"/>
          <w:szCs w:val="22"/>
        </w:rPr>
        <w:t>et al</w:t>
      </w:r>
      <w:r w:rsidRPr="004F45BC">
        <w:rPr>
          <w:sz w:val="22"/>
          <w:szCs w:val="22"/>
        </w:rPr>
        <w:t>. (2017). For institutional abbreviations see Table S1.</w:t>
      </w:r>
    </w:p>
    <w:p w14:paraId="1BB9F79E" w14:textId="77777777" w:rsidR="0081012C" w:rsidRPr="004F45BC" w:rsidRDefault="0081012C" w:rsidP="004F45BC">
      <w:pPr>
        <w:spacing w:after="200" w:line="360" w:lineRule="auto"/>
        <w:ind w:left="709"/>
        <w:rPr>
          <w:sz w:val="22"/>
          <w:szCs w:val="22"/>
        </w:rPr>
      </w:pPr>
      <w:r w:rsidRPr="004F45BC">
        <w:rPr>
          <w:sz w:val="22"/>
          <w:szCs w:val="22"/>
        </w:rPr>
        <w:t>Table S10. Sizes of flank scales and scale width/length ratios of †</w:t>
      </w:r>
      <w:r w:rsidRPr="004F45BC">
        <w:rPr>
          <w:i/>
          <w:sz w:val="22"/>
          <w:szCs w:val="22"/>
        </w:rPr>
        <w:t xml:space="preserve">Oreochromimos kabchorensis </w:t>
      </w:r>
      <w:r w:rsidRPr="004F45BC">
        <w:rPr>
          <w:sz w:val="22"/>
          <w:szCs w:val="22"/>
        </w:rPr>
        <w:t xml:space="preserve">gen. et sp. nov. and extant species of </w:t>
      </w:r>
      <w:r w:rsidRPr="004F45BC">
        <w:rPr>
          <w:i/>
          <w:sz w:val="22"/>
          <w:szCs w:val="22"/>
        </w:rPr>
        <w:t>Pseudocrenilabrus</w:t>
      </w:r>
      <w:r w:rsidRPr="004F45BC">
        <w:rPr>
          <w:sz w:val="22"/>
          <w:szCs w:val="22"/>
        </w:rPr>
        <w:t>. BL, body length (in mm); SL, standard length (in mm); n, number of normal flank scales from left (l) or right (r) body side; SD, standard deviation;  —, unknown.</w:t>
      </w:r>
    </w:p>
    <w:p w14:paraId="485D1954" w14:textId="77777777" w:rsidR="0081012C" w:rsidRPr="004F45BC" w:rsidRDefault="0081012C" w:rsidP="004F45BC">
      <w:pPr>
        <w:spacing w:after="200" w:line="360" w:lineRule="auto"/>
        <w:ind w:left="709"/>
        <w:rPr>
          <w:sz w:val="22"/>
          <w:szCs w:val="22"/>
        </w:rPr>
      </w:pPr>
      <w:r w:rsidRPr="004F45BC">
        <w:rPr>
          <w:sz w:val="22"/>
          <w:szCs w:val="22"/>
        </w:rPr>
        <w:t>Table S11. Sizes of belly scales in % of body length (BL) of †</w:t>
      </w:r>
      <w:r w:rsidRPr="004F45BC">
        <w:rPr>
          <w:i/>
          <w:sz w:val="22"/>
          <w:szCs w:val="22"/>
        </w:rPr>
        <w:t>Oreochromimos kabchorensis</w:t>
      </w:r>
      <w:r w:rsidRPr="004F45BC">
        <w:rPr>
          <w:sz w:val="22"/>
          <w:szCs w:val="22"/>
        </w:rPr>
        <w:t xml:space="preserve"> gen. et sp. nov. and extant species of </w:t>
      </w:r>
      <w:r w:rsidRPr="004F45BC">
        <w:rPr>
          <w:i/>
          <w:sz w:val="22"/>
          <w:szCs w:val="22"/>
        </w:rPr>
        <w:t>Pseudocrenilabrus</w:t>
      </w:r>
      <w:r w:rsidRPr="004F45BC">
        <w:rPr>
          <w:sz w:val="22"/>
          <w:szCs w:val="22"/>
        </w:rPr>
        <w:t>. SD, standard deviation.</w:t>
      </w:r>
    </w:p>
    <w:p w14:paraId="36A17672" w14:textId="77777777" w:rsidR="0081012C" w:rsidRPr="004F45BC" w:rsidRDefault="0081012C" w:rsidP="004F45BC">
      <w:pPr>
        <w:spacing w:after="200" w:line="360" w:lineRule="auto"/>
        <w:ind w:left="709"/>
        <w:rPr>
          <w:sz w:val="22"/>
          <w:szCs w:val="22"/>
        </w:rPr>
      </w:pPr>
      <w:r w:rsidRPr="004F45BC">
        <w:rPr>
          <w:sz w:val="22"/>
          <w:szCs w:val="22"/>
        </w:rPr>
        <w:t>Table S12.  Sizes of flank scales and scale width/length ratios of †</w:t>
      </w:r>
      <w:r w:rsidRPr="004F45BC">
        <w:rPr>
          <w:i/>
          <w:sz w:val="22"/>
          <w:szCs w:val="22"/>
        </w:rPr>
        <w:t xml:space="preserve">Oreochromimos kabchorensis </w:t>
      </w:r>
      <w:r w:rsidRPr="004F45BC">
        <w:rPr>
          <w:sz w:val="22"/>
          <w:szCs w:val="22"/>
        </w:rPr>
        <w:t>gen. et sp. nov. and extant species of Oreochromini. BL, body length (in mm); SL, standard length (in mm); n, number of normal flank scales from left (l) or right (r) body side; SD, standard deviation;  —, unknown.</w:t>
      </w:r>
    </w:p>
    <w:p w14:paraId="6B49BF77" w14:textId="77777777" w:rsidR="0081012C" w:rsidRPr="004F45BC" w:rsidRDefault="0081012C" w:rsidP="004F45BC">
      <w:pPr>
        <w:spacing w:after="200" w:line="360" w:lineRule="auto"/>
        <w:ind w:left="709"/>
        <w:rPr>
          <w:sz w:val="22"/>
          <w:szCs w:val="22"/>
        </w:rPr>
      </w:pPr>
      <w:r w:rsidRPr="004F45BC">
        <w:rPr>
          <w:sz w:val="22"/>
          <w:szCs w:val="22"/>
        </w:rPr>
        <w:t>Table S13. Sizes of belly scales in % of body length of †</w:t>
      </w:r>
      <w:r w:rsidRPr="004F45BC">
        <w:rPr>
          <w:i/>
          <w:sz w:val="22"/>
          <w:szCs w:val="22"/>
        </w:rPr>
        <w:t xml:space="preserve">Oreochromimos kabchorensis </w:t>
      </w:r>
      <w:r w:rsidRPr="004F45BC">
        <w:rPr>
          <w:sz w:val="22"/>
          <w:szCs w:val="22"/>
        </w:rPr>
        <w:t xml:space="preserve">gen. et sp. nov. and extant species of </w:t>
      </w:r>
      <w:r w:rsidRPr="004F45BC">
        <w:rPr>
          <w:i/>
          <w:sz w:val="22"/>
          <w:szCs w:val="22"/>
        </w:rPr>
        <w:t>Alcolapia</w:t>
      </w:r>
      <w:r w:rsidRPr="004F45BC">
        <w:rPr>
          <w:sz w:val="22"/>
          <w:szCs w:val="22"/>
        </w:rPr>
        <w:t xml:space="preserve">. Length and width of belly scales could be measured for specimens of </w:t>
      </w:r>
      <w:r w:rsidRPr="004F45BC">
        <w:rPr>
          <w:i/>
          <w:sz w:val="22"/>
          <w:szCs w:val="22"/>
        </w:rPr>
        <w:t>A</w:t>
      </w:r>
      <w:r w:rsidRPr="004F45BC">
        <w:rPr>
          <w:sz w:val="22"/>
          <w:szCs w:val="22"/>
        </w:rPr>
        <w:t xml:space="preserve">. </w:t>
      </w:r>
      <w:r w:rsidRPr="004F45BC">
        <w:rPr>
          <w:i/>
          <w:sz w:val="22"/>
          <w:szCs w:val="22"/>
        </w:rPr>
        <w:t>grahami</w:t>
      </w:r>
      <w:r w:rsidRPr="004F45BC">
        <w:rPr>
          <w:sz w:val="22"/>
          <w:szCs w:val="22"/>
        </w:rPr>
        <w:t xml:space="preserve">, </w:t>
      </w:r>
      <w:r w:rsidRPr="004F45BC">
        <w:rPr>
          <w:i/>
          <w:sz w:val="22"/>
          <w:szCs w:val="22"/>
        </w:rPr>
        <w:t>A</w:t>
      </w:r>
      <w:r w:rsidRPr="004F45BC">
        <w:rPr>
          <w:sz w:val="22"/>
          <w:szCs w:val="22"/>
        </w:rPr>
        <w:t xml:space="preserve">. </w:t>
      </w:r>
      <w:r w:rsidRPr="004F45BC">
        <w:rPr>
          <w:i/>
          <w:sz w:val="22"/>
          <w:szCs w:val="22"/>
        </w:rPr>
        <w:t>latilabris</w:t>
      </w:r>
      <w:r w:rsidRPr="004F45BC">
        <w:rPr>
          <w:sz w:val="22"/>
          <w:szCs w:val="22"/>
        </w:rPr>
        <w:t xml:space="preserve">, and </w:t>
      </w:r>
      <w:r w:rsidRPr="004F45BC">
        <w:rPr>
          <w:i/>
          <w:sz w:val="22"/>
          <w:szCs w:val="22"/>
        </w:rPr>
        <w:t>A</w:t>
      </w:r>
      <w:r w:rsidRPr="004F45BC">
        <w:rPr>
          <w:sz w:val="22"/>
          <w:szCs w:val="22"/>
        </w:rPr>
        <w:t xml:space="preserve">. </w:t>
      </w:r>
      <w:r w:rsidRPr="004F45BC">
        <w:rPr>
          <w:i/>
          <w:sz w:val="22"/>
          <w:szCs w:val="22"/>
        </w:rPr>
        <w:t>ndalalani</w:t>
      </w:r>
      <w:r w:rsidRPr="004F45BC">
        <w:rPr>
          <w:sz w:val="22"/>
          <w:szCs w:val="22"/>
        </w:rPr>
        <w:t xml:space="preserve">, while no belly scales were preserved in </w:t>
      </w:r>
      <w:r w:rsidRPr="004F45BC">
        <w:rPr>
          <w:i/>
          <w:sz w:val="22"/>
          <w:szCs w:val="22"/>
        </w:rPr>
        <w:t>A</w:t>
      </w:r>
      <w:r w:rsidRPr="004F45BC">
        <w:rPr>
          <w:sz w:val="22"/>
          <w:szCs w:val="22"/>
        </w:rPr>
        <w:t xml:space="preserve">. </w:t>
      </w:r>
      <w:r w:rsidRPr="004F45BC">
        <w:rPr>
          <w:i/>
          <w:sz w:val="22"/>
          <w:szCs w:val="22"/>
        </w:rPr>
        <w:t>alcalica</w:t>
      </w:r>
      <w:r w:rsidRPr="004F45BC">
        <w:rPr>
          <w:sz w:val="22"/>
          <w:szCs w:val="22"/>
        </w:rPr>
        <w:t xml:space="preserve">. BL, body length (in mm); SL, standard length (in mm); n, number of normal belly scales from left (l) or right (r) body side; SD, standard deviation. </w:t>
      </w:r>
    </w:p>
    <w:p w14:paraId="07432016" w14:textId="77777777" w:rsidR="0081012C" w:rsidRPr="004F45BC" w:rsidRDefault="0081012C" w:rsidP="004F45BC">
      <w:pPr>
        <w:spacing w:after="200" w:line="360" w:lineRule="auto"/>
        <w:ind w:left="709"/>
        <w:outlineLvl w:val="0"/>
        <w:rPr>
          <w:sz w:val="22"/>
          <w:szCs w:val="22"/>
        </w:rPr>
      </w:pPr>
      <w:r w:rsidRPr="004F45BC">
        <w:rPr>
          <w:sz w:val="22"/>
          <w:szCs w:val="22"/>
        </w:rPr>
        <w:t>Table S14. Supraneural morphology of extant Oreochromini. See Table S5 for specimens used.</w:t>
      </w:r>
    </w:p>
    <w:p w14:paraId="3532962E" w14:textId="77777777" w:rsidR="0081012C" w:rsidRPr="004F45BC" w:rsidRDefault="0081012C" w:rsidP="004F45BC">
      <w:pPr>
        <w:spacing w:after="200" w:line="360" w:lineRule="auto"/>
        <w:ind w:left="709"/>
        <w:rPr>
          <w:sz w:val="22"/>
          <w:szCs w:val="22"/>
        </w:rPr>
      </w:pPr>
      <w:r w:rsidRPr="004F45BC">
        <w:rPr>
          <w:sz w:val="22"/>
          <w:szCs w:val="22"/>
        </w:rPr>
        <w:t xml:space="preserve">Table S15. Measurements (in mm) and counts for holotype OCO-2c-1a, b(1) and paratypes of </w:t>
      </w:r>
      <w:r w:rsidRPr="004F45BC">
        <w:rPr>
          <w:bCs/>
          <w:sz w:val="22"/>
          <w:szCs w:val="22"/>
        </w:rPr>
        <w:t>†</w:t>
      </w:r>
      <w:r w:rsidRPr="004F45BC">
        <w:rPr>
          <w:bCs/>
          <w:i/>
          <w:sz w:val="22"/>
          <w:szCs w:val="22"/>
        </w:rPr>
        <w:t>Oreochromimos</w:t>
      </w:r>
      <w:r w:rsidRPr="004F45BC">
        <w:rPr>
          <w:bCs/>
          <w:sz w:val="22"/>
          <w:szCs w:val="22"/>
        </w:rPr>
        <w:t xml:space="preserve"> </w:t>
      </w:r>
      <w:r w:rsidRPr="004F45BC">
        <w:rPr>
          <w:bCs/>
          <w:i/>
          <w:sz w:val="22"/>
          <w:szCs w:val="22"/>
        </w:rPr>
        <w:t>kabchorensis</w:t>
      </w:r>
      <w:r w:rsidRPr="004F45BC">
        <w:rPr>
          <w:bCs/>
          <w:sz w:val="22"/>
          <w:szCs w:val="22"/>
        </w:rPr>
        <w:t xml:space="preserve"> gen. et sp. nov.  Measurements in % of standard and body lengths are added in brackets. </w:t>
      </w:r>
      <w:r w:rsidRPr="004F45BC">
        <w:rPr>
          <w:sz w:val="22"/>
          <w:szCs w:val="22"/>
        </w:rPr>
        <w:t>—, not detectable.</w:t>
      </w:r>
    </w:p>
    <w:p w14:paraId="70B8204D" w14:textId="77777777" w:rsidR="0081012C" w:rsidRPr="004F45BC" w:rsidRDefault="0081012C" w:rsidP="004F45BC">
      <w:pPr>
        <w:spacing w:after="200" w:line="360" w:lineRule="auto"/>
        <w:ind w:left="709"/>
        <w:rPr>
          <w:sz w:val="22"/>
          <w:szCs w:val="22"/>
        </w:rPr>
      </w:pPr>
      <w:r w:rsidRPr="004F45BC">
        <w:rPr>
          <w:sz w:val="22"/>
          <w:szCs w:val="22"/>
        </w:rPr>
        <w:t>Table S16.  Maximum crown widths of tricuspid oral teeth from specimens of †</w:t>
      </w:r>
      <w:r w:rsidRPr="004F45BC">
        <w:rPr>
          <w:i/>
          <w:sz w:val="22"/>
          <w:szCs w:val="22"/>
        </w:rPr>
        <w:t>Oreochromimos kabchorensis</w:t>
      </w:r>
      <w:r w:rsidRPr="004F45BC">
        <w:rPr>
          <w:sz w:val="22"/>
          <w:szCs w:val="22"/>
        </w:rPr>
        <w:t xml:space="preserve"> gen. et sp. nov. (this study) and from extant species of Oreochromini according to literature data (Trewavas, 1962, 1983; Tichy &amp; Seegers, 1999).</w:t>
      </w:r>
    </w:p>
    <w:p w14:paraId="62BC0FA6" w14:textId="77777777" w:rsidR="0081012C" w:rsidRPr="004F45BC" w:rsidRDefault="0081012C" w:rsidP="004F45BC">
      <w:pPr>
        <w:spacing w:after="200" w:line="360" w:lineRule="auto"/>
        <w:ind w:left="709"/>
        <w:rPr>
          <w:sz w:val="22"/>
          <w:szCs w:val="22"/>
        </w:rPr>
      </w:pPr>
      <w:r w:rsidRPr="004F45BC">
        <w:rPr>
          <w:sz w:val="22"/>
          <w:szCs w:val="22"/>
        </w:rPr>
        <w:t>Table S17. Character list and states used for phylogenetic analysis (compiled from Stiassny, 1991).</w:t>
      </w:r>
    </w:p>
    <w:p w14:paraId="63B13FE0" w14:textId="77777777" w:rsidR="00CE14C5" w:rsidRPr="004F45BC" w:rsidRDefault="0081012C" w:rsidP="004F45BC">
      <w:pPr>
        <w:spacing w:after="200" w:line="360" w:lineRule="auto"/>
        <w:ind w:left="709"/>
        <w:rPr>
          <w:sz w:val="22"/>
          <w:szCs w:val="22"/>
        </w:rPr>
      </w:pPr>
      <w:r w:rsidRPr="004F45BC">
        <w:rPr>
          <w:sz w:val="22"/>
          <w:szCs w:val="22"/>
        </w:rPr>
        <w:t>Table S18. Character list and states used for phylogenetic analysis. Characters 1–5: newly compiled based on the information in Takahashi (2003a). Characters 6–41: compiled from Takahashi (2003b).</w:t>
      </w:r>
    </w:p>
    <w:bookmarkEnd w:id="0"/>
    <w:sectPr w:rsidR="00CE14C5" w:rsidRPr="004F45BC" w:rsidSect="005167B4">
      <w:footerReference w:type="even" r:id="rId8"/>
      <w:footerReference w:type="default" r:id="rId9"/>
      <w:pgSz w:w="11900" w:h="16840"/>
      <w:pgMar w:top="1418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86838B" w14:textId="77777777" w:rsidR="005167B4" w:rsidRDefault="005167B4">
      <w:r>
        <w:separator/>
      </w:r>
    </w:p>
  </w:endnote>
  <w:endnote w:type="continuationSeparator" w:id="0">
    <w:p w14:paraId="5555870E" w14:textId="77777777" w:rsidR="005167B4" w:rsidRDefault="00516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Mincho">
    <w:altName w:val="ＭＳ 明朝"/>
    <w:charset w:val="80"/>
    <w:family w:val="modern"/>
    <w:pitch w:val="fixed"/>
    <w:sig w:usb0="A00002BF" w:usb1="68C7FCFB" w:usb2="00000010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EC55C9" w14:textId="77777777" w:rsidR="005167B4" w:rsidRDefault="005167B4" w:rsidP="005167B4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2A3B898" w14:textId="77777777" w:rsidR="005167B4" w:rsidRDefault="005167B4" w:rsidP="005167B4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565F27" w14:textId="77777777" w:rsidR="005167B4" w:rsidRDefault="005167B4" w:rsidP="005167B4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1771F">
      <w:rPr>
        <w:rStyle w:val="PageNumber"/>
        <w:noProof/>
      </w:rPr>
      <w:t>1</w:t>
    </w:r>
    <w:r>
      <w:rPr>
        <w:rStyle w:val="PageNumber"/>
      </w:rPr>
      <w:fldChar w:fldCharType="end"/>
    </w:r>
  </w:p>
  <w:p w14:paraId="0D8D59E0" w14:textId="77777777" w:rsidR="005167B4" w:rsidRDefault="005167B4" w:rsidP="005167B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0AF060" w14:textId="77777777" w:rsidR="005167B4" w:rsidRDefault="005167B4">
      <w:r>
        <w:separator/>
      </w:r>
    </w:p>
  </w:footnote>
  <w:footnote w:type="continuationSeparator" w:id="0">
    <w:p w14:paraId="07CC1CA7" w14:textId="77777777" w:rsidR="005167B4" w:rsidRDefault="005167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20613B"/>
    <w:multiLevelType w:val="hybridMultilevel"/>
    <w:tmpl w:val="E3A49F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12C"/>
    <w:rsid w:val="00025DB7"/>
    <w:rsid w:val="001678FD"/>
    <w:rsid w:val="00190F79"/>
    <w:rsid w:val="0031771F"/>
    <w:rsid w:val="004F45BC"/>
    <w:rsid w:val="005167B4"/>
    <w:rsid w:val="0081012C"/>
    <w:rsid w:val="00C41E0A"/>
    <w:rsid w:val="00CB2BE3"/>
    <w:rsid w:val="00CE14C5"/>
    <w:rsid w:val="00D4368B"/>
    <w:rsid w:val="00E65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29AB41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012C"/>
    <w:rPr>
      <w:rFonts w:ascii="Times New Roman" w:eastAsia="Times New Roman" w:hAnsi="Times New Roman" w:cs="Times New Roman"/>
      <w:lang w:val="en-GB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1012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1012C"/>
    <w:rPr>
      <w:rFonts w:eastAsiaTheme="minorHAnsi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81012C"/>
  </w:style>
  <w:style w:type="paragraph" w:styleId="ListParagraph">
    <w:name w:val="List Paragraph"/>
    <w:basedOn w:val="Normal"/>
    <w:uiPriority w:val="34"/>
    <w:qFormat/>
    <w:rsid w:val="0081012C"/>
    <w:pPr>
      <w:spacing w:line="480" w:lineRule="auto"/>
      <w:ind w:left="720"/>
      <w:contextualSpacing/>
    </w:pPr>
    <w:rPr>
      <w:rFonts w:eastAsiaTheme="minorEastAsia" w:cstheme="minorBidi"/>
    </w:rPr>
  </w:style>
  <w:style w:type="character" w:styleId="LineNumber">
    <w:name w:val="line number"/>
    <w:basedOn w:val="DefaultParagraphFont"/>
    <w:uiPriority w:val="99"/>
    <w:semiHidden/>
    <w:unhideWhenUsed/>
    <w:rsid w:val="0081012C"/>
  </w:style>
  <w:style w:type="character" w:styleId="CommentReference">
    <w:name w:val="annotation reference"/>
    <w:basedOn w:val="DefaultParagraphFont"/>
    <w:uiPriority w:val="99"/>
    <w:semiHidden/>
    <w:unhideWhenUsed/>
    <w:rsid w:val="00190F7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0F7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0F79"/>
    <w:rPr>
      <w:rFonts w:ascii="Times New Roman" w:eastAsia="Times New Roman" w:hAnsi="Times New Roman" w:cs="Times New Roman"/>
      <w:lang w:val="en-GB"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0F7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0F79"/>
    <w:rPr>
      <w:rFonts w:ascii="Times New Roman" w:eastAsia="Times New Roman" w:hAnsi="Times New Roman" w:cs="Times New Roman"/>
      <w:b/>
      <w:bCs/>
      <w:sz w:val="20"/>
      <w:szCs w:val="20"/>
      <w:lang w:val="en-GB"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0F7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0F79"/>
    <w:rPr>
      <w:rFonts w:ascii="Lucida Grande" w:eastAsia="Times New Roman" w:hAnsi="Lucida Grande" w:cs="Lucida Grande"/>
      <w:sz w:val="18"/>
      <w:szCs w:val="18"/>
      <w:lang w:val="en-GB" w:eastAsia="de-D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012C"/>
    <w:rPr>
      <w:rFonts w:ascii="Times New Roman" w:eastAsia="Times New Roman" w:hAnsi="Times New Roman" w:cs="Times New Roman"/>
      <w:lang w:val="en-GB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1012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1012C"/>
    <w:rPr>
      <w:rFonts w:eastAsiaTheme="minorHAnsi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81012C"/>
  </w:style>
  <w:style w:type="paragraph" w:styleId="ListParagraph">
    <w:name w:val="List Paragraph"/>
    <w:basedOn w:val="Normal"/>
    <w:uiPriority w:val="34"/>
    <w:qFormat/>
    <w:rsid w:val="0081012C"/>
    <w:pPr>
      <w:spacing w:line="480" w:lineRule="auto"/>
      <w:ind w:left="720"/>
      <w:contextualSpacing/>
    </w:pPr>
    <w:rPr>
      <w:rFonts w:eastAsiaTheme="minorEastAsia" w:cstheme="minorBidi"/>
    </w:rPr>
  </w:style>
  <w:style w:type="character" w:styleId="LineNumber">
    <w:name w:val="line number"/>
    <w:basedOn w:val="DefaultParagraphFont"/>
    <w:uiPriority w:val="99"/>
    <w:semiHidden/>
    <w:unhideWhenUsed/>
    <w:rsid w:val="0081012C"/>
  </w:style>
  <w:style w:type="character" w:styleId="CommentReference">
    <w:name w:val="annotation reference"/>
    <w:basedOn w:val="DefaultParagraphFont"/>
    <w:uiPriority w:val="99"/>
    <w:semiHidden/>
    <w:unhideWhenUsed/>
    <w:rsid w:val="00190F7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0F7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0F79"/>
    <w:rPr>
      <w:rFonts w:ascii="Times New Roman" w:eastAsia="Times New Roman" w:hAnsi="Times New Roman" w:cs="Times New Roman"/>
      <w:lang w:val="en-GB"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0F7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0F79"/>
    <w:rPr>
      <w:rFonts w:ascii="Times New Roman" w:eastAsia="Times New Roman" w:hAnsi="Times New Roman" w:cs="Times New Roman"/>
      <w:b/>
      <w:bCs/>
      <w:sz w:val="20"/>
      <w:szCs w:val="20"/>
      <w:lang w:val="en-GB"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0F7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0F79"/>
    <w:rPr>
      <w:rFonts w:ascii="Lucida Grande" w:eastAsia="Times New Roman" w:hAnsi="Lucida Grande" w:cs="Lucida Grande"/>
      <w:sz w:val="18"/>
      <w:szCs w:val="18"/>
      <w:lang w:val="en-GB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9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784</Words>
  <Characters>4474</Characters>
  <Application>Microsoft Macintosh Word</Application>
  <DocSecurity>0</DocSecurity>
  <Lines>37</Lines>
  <Paragraphs>10</Paragraphs>
  <ScaleCrop>false</ScaleCrop>
  <Company/>
  <LinksUpToDate>false</LinksUpToDate>
  <CharactersWithSpaces>5248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NoName</dc:creator>
  <cp:keywords/>
  <dc:description/>
  <cp:lastModifiedBy>NoName</cp:lastModifiedBy>
  <cp:revision>7</cp:revision>
  <dcterms:created xsi:type="dcterms:W3CDTF">2019-06-13T08:35:00Z</dcterms:created>
  <dcterms:modified xsi:type="dcterms:W3CDTF">2019-06-13T11:39:00Z</dcterms:modified>
</cp:coreProperties>
</file>