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F65757" w14:textId="36F948CA" w:rsidR="00E11303" w:rsidRDefault="007102FA" w:rsidP="00E11303">
      <w:pPr>
        <w:pStyle w:val="Header"/>
        <w:spacing w:line="276" w:lineRule="auto"/>
      </w:pPr>
      <w:r>
        <w:rPr>
          <w:rFonts w:ascii="Calibri" w:hAnsi="Calibri"/>
          <w:b/>
          <w:lang w:val="en-AU"/>
        </w:rPr>
        <w:t>T</w:t>
      </w:r>
      <w:r w:rsidR="00E11303">
        <w:rPr>
          <w:rFonts w:ascii="Calibri" w:hAnsi="Calibri"/>
          <w:b/>
          <w:lang w:val="en-AU"/>
        </w:rPr>
        <w:t xml:space="preserve">itle: </w:t>
      </w:r>
      <w:r w:rsidR="00E11303">
        <w:t>Application of a limit-cycle-oscillator model for prediction of circadian phase in rotating night shift workers</w:t>
      </w:r>
    </w:p>
    <w:p w14:paraId="459EFC7D" w14:textId="0D17B6F9" w:rsidR="00E11303" w:rsidRPr="00357C4A" w:rsidRDefault="00E11303" w:rsidP="00E11303">
      <w:pPr>
        <w:spacing w:line="276" w:lineRule="auto"/>
        <w:rPr>
          <w:rFonts w:ascii="Calibri" w:hAnsi="Calibri"/>
          <w:lang w:val="en-AU"/>
        </w:rPr>
      </w:pPr>
      <w:r>
        <w:rPr>
          <w:rFonts w:ascii="Calibri" w:hAnsi="Calibri"/>
          <w:b/>
          <w:lang w:val="en-AU"/>
        </w:rPr>
        <w:t>Authors</w:t>
      </w:r>
      <w:r>
        <w:rPr>
          <w:rFonts w:ascii="Calibri" w:hAnsi="Calibri"/>
          <w:lang w:val="en-AU"/>
        </w:rPr>
        <w:t xml:space="preserve">: </w:t>
      </w:r>
      <w:r w:rsidRPr="00357C4A">
        <w:rPr>
          <w:rFonts w:ascii="Calibri" w:hAnsi="Calibri"/>
          <w:lang w:val="en-AU"/>
        </w:rPr>
        <w:t xml:space="preserve">Julia E. Stone, Xavier L. Aubert, Henning </w:t>
      </w:r>
      <w:proofErr w:type="spellStart"/>
      <w:r w:rsidRPr="00357C4A">
        <w:rPr>
          <w:rFonts w:ascii="Calibri" w:hAnsi="Calibri"/>
          <w:lang w:val="en-AU"/>
        </w:rPr>
        <w:t>Maa</w:t>
      </w:r>
      <w:r>
        <w:rPr>
          <w:rFonts w:ascii="Calibri" w:hAnsi="Calibri"/>
          <w:lang w:val="en-AU"/>
        </w:rPr>
        <w:t>s</w:t>
      </w:r>
      <w:r w:rsidRPr="00357C4A">
        <w:rPr>
          <w:rFonts w:ascii="Calibri" w:hAnsi="Calibri"/>
          <w:lang w:val="en-AU"/>
        </w:rPr>
        <w:t>s</w:t>
      </w:r>
      <w:proofErr w:type="spellEnd"/>
      <w:r w:rsidRPr="00357C4A">
        <w:rPr>
          <w:rFonts w:ascii="Calibri" w:hAnsi="Calibri"/>
          <w:lang w:val="en-AU"/>
        </w:rPr>
        <w:t xml:space="preserve">, </w:t>
      </w:r>
      <w:r>
        <w:rPr>
          <w:rFonts w:ascii="Calibri" w:hAnsi="Calibri"/>
          <w:lang w:val="en-AU"/>
        </w:rPr>
        <w:t xml:space="preserve">Andrew J. K. Phillips, </w:t>
      </w:r>
      <w:r w:rsidRPr="00357C4A">
        <w:rPr>
          <w:rFonts w:ascii="Calibri" w:hAnsi="Calibri"/>
          <w:lang w:val="en-AU"/>
        </w:rPr>
        <w:t>Michelle Magee, Mark</w:t>
      </w:r>
      <w:r>
        <w:rPr>
          <w:rFonts w:ascii="Calibri" w:hAnsi="Calibri"/>
          <w:lang w:val="en-AU"/>
        </w:rPr>
        <w:t xml:space="preserve"> E.</w:t>
      </w:r>
      <w:r w:rsidRPr="00357C4A">
        <w:rPr>
          <w:rFonts w:ascii="Calibri" w:hAnsi="Calibri"/>
          <w:lang w:val="en-AU"/>
        </w:rPr>
        <w:t xml:space="preserve"> Howard, Steven W. Lockley, </w:t>
      </w:r>
      <w:proofErr w:type="spellStart"/>
      <w:r w:rsidRPr="00357C4A">
        <w:rPr>
          <w:rFonts w:ascii="Calibri" w:hAnsi="Calibri"/>
          <w:lang w:val="en-AU"/>
        </w:rPr>
        <w:t>Shantha</w:t>
      </w:r>
      <w:proofErr w:type="spellEnd"/>
      <w:r w:rsidRPr="00357C4A">
        <w:rPr>
          <w:rFonts w:ascii="Calibri" w:hAnsi="Calibri"/>
          <w:lang w:val="en-AU"/>
        </w:rPr>
        <w:t xml:space="preserve"> M. W. Rajaratnam, Tracey L. Sletten</w:t>
      </w:r>
    </w:p>
    <w:p w14:paraId="552F3969" w14:textId="77777777" w:rsidR="00E11303" w:rsidRDefault="00E11303" w:rsidP="00E11303">
      <w:pPr>
        <w:rPr>
          <w:rFonts w:ascii="Calibri" w:hAnsi="Calibri"/>
          <w:b/>
          <w:lang w:val="en-AU"/>
        </w:rPr>
      </w:pPr>
    </w:p>
    <w:p w14:paraId="7E927F6B" w14:textId="7E8FB5DE" w:rsidR="00E11303" w:rsidRDefault="00E11303" w:rsidP="00E11303">
      <w:pPr>
        <w:rPr>
          <w:rFonts w:ascii="Calibri" w:hAnsi="Calibri"/>
          <w:b/>
          <w:lang w:val="en-AU"/>
        </w:rPr>
      </w:pPr>
      <w:r>
        <w:rPr>
          <w:rFonts w:ascii="Calibri" w:hAnsi="Calibri"/>
          <w:b/>
          <w:lang w:val="en-AU"/>
        </w:rPr>
        <w:t>Supplementary Material</w:t>
      </w:r>
    </w:p>
    <w:p w14:paraId="714F3055" w14:textId="05FE128F" w:rsidR="00675B08" w:rsidRDefault="00675B08" w:rsidP="00E11303">
      <w:pPr>
        <w:rPr>
          <w:rFonts w:ascii="Calibri" w:hAnsi="Calibri"/>
          <w:b/>
          <w:lang w:val="en-AU"/>
        </w:rPr>
      </w:pPr>
      <w:bookmarkStart w:id="0" w:name="_GoBack"/>
      <w:bookmarkEnd w:id="0"/>
    </w:p>
    <w:p w14:paraId="7F1ABE27" w14:textId="7367B860" w:rsidR="00675B08" w:rsidRDefault="00B47987" w:rsidP="00E11303">
      <w:pPr>
        <w:rPr>
          <w:rFonts w:ascii="Calibri" w:hAnsi="Calibri"/>
          <w:b/>
          <w:lang w:val="en-AU"/>
        </w:rPr>
      </w:pPr>
      <w:r>
        <w:rPr>
          <w:rFonts w:ascii="Calibri" w:hAnsi="Calibri"/>
          <w:b/>
          <w:noProof/>
          <w:lang w:val="en-AU"/>
        </w:rPr>
        <w:drawing>
          <wp:inline distT="0" distB="0" distL="0" distR="0" wp14:anchorId="3B28F683" wp14:editId="5971877D">
            <wp:extent cx="5715000" cy="34766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3476625"/>
                    </a:xfrm>
                    <a:prstGeom prst="rect">
                      <a:avLst/>
                    </a:prstGeom>
                    <a:noFill/>
                    <a:ln>
                      <a:noFill/>
                    </a:ln>
                  </pic:spPr>
                </pic:pic>
              </a:graphicData>
            </a:graphic>
          </wp:inline>
        </w:drawing>
      </w:r>
    </w:p>
    <w:p w14:paraId="2BBCDEC8" w14:textId="36665E44" w:rsidR="00675B08" w:rsidRPr="00675B08" w:rsidRDefault="00675B08" w:rsidP="00E11303">
      <w:pPr>
        <w:rPr>
          <w:rFonts w:cstheme="minorHAnsi"/>
          <w:b/>
          <w:lang w:val="en-AU"/>
        </w:rPr>
      </w:pPr>
      <w:r w:rsidRPr="00675B08">
        <w:rPr>
          <w:rFonts w:cstheme="minorHAnsi"/>
          <w:b/>
          <w:color w:val="000000"/>
        </w:rPr>
        <w:t>Figure S1</w:t>
      </w:r>
      <w:r w:rsidRPr="00675B08">
        <w:rPr>
          <w:rFonts w:cstheme="minorHAnsi"/>
          <w:color w:val="000000"/>
        </w:rPr>
        <w:t xml:space="preserve">. Example timeseries data for one participant measured over a </w:t>
      </w:r>
      <w:proofErr w:type="gramStart"/>
      <w:r w:rsidRPr="00675B08">
        <w:rPr>
          <w:rFonts w:cstheme="minorHAnsi"/>
          <w:color w:val="000000"/>
        </w:rPr>
        <w:t>12 day</w:t>
      </w:r>
      <w:proofErr w:type="gramEnd"/>
      <w:r w:rsidRPr="00675B08">
        <w:rPr>
          <w:rFonts w:cstheme="minorHAnsi"/>
          <w:color w:val="000000"/>
        </w:rPr>
        <w:t xml:space="preserve"> schedule of diurnal shifts (study hours 0-216) followed by 4 consecutive night shifts (study hours 216-300). Panel A) shows raw activity data measured via wrist actigraphy (blue bars) and the calculated sleep-wake square waveform (black line) used as input into the PNP model; (B) shows pre-processed light data in lux measured via wrist actigraphy, used as the photic input; (C) shows individual rest episodes (grey bars; asterisks indicate mid-sleep time), aMT6s </w:t>
      </w:r>
      <w:proofErr w:type="spellStart"/>
      <w:r w:rsidRPr="00675B08">
        <w:rPr>
          <w:rFonts w:cstheme="minorHAnsi"/>
          <w:color w:val="000000"/>
        </w:rPr>
        <w:t>acrophase</w:t>
      </w:r>
      <w:proofErr w:type="spellEnd"/>
      <w:r w:rsidRPr="00675B08">
        <w:rPr>
          <w:rFonts w:cstheme="minorHAnsi"/>
          <w:color w:val="000000"/>
        </w:rPr>
        <w:t xml:space="preserve"> (diamonds) and predicted phase trajectory using the PNP model (blue circles)</w:t>
      </w:r>
    </w:p>
    <w:p w14:paraId="722CB372" w14:textId="22AF062D" w:rsidR="00E11303" w:rsidRPr="00E11303" w:rsidRDefault="00E11303" w:rsidP="00A82123">
      <w:pPr>
        <w:rPr>
          <w:rFonts w:ascii="Calibri" w:hAnsi="Calibri"/>
          <w:lang w:val="en-AU"/>
        </w:rPr>
      </w:pPr>
    </w:p>
    <w:p w14:paraId="5C821D88" w14:textId="77777777" w:rsidR="00A82123" w:rsidRPr="007D54D7" w:rsidRDefault="00A82123" w:rsidP="00A82123">
      <w:pPr>
        <w:rPr>
          <w:rFonts w:ascii="Calibri" w:hAnsi="Calibri"/>
          <w:b/>
          <w:lang w:val="en-AU"/>
        </w:rPr>
      </w:pPr>
    </w:p>
    <w:p w14:paraId="06B3CB98" w14:textId="77777777" w:rsidR="00A82123" w:rsidRPr="00357C4A" w:rsidRDefault="00A82123" w:rsidP="00A82123">
      <w:pPr>
        <w:rPr>
          <w:rFonts w:ascii="Calibri" w:hAnsi="Calibri"/>
          <w:lang w:val="en-AU"/>
        </w:rPr>
      </w:pPr>
      <w:r w:rsidRPr="00FA405A">
        <w:rPr>
          <w:noProof/>
          <w:lang w:val="en-GB" w:eastAsia="en-GB"/>
        </w:rPr>
        <w:lastRenderedPageBreak/>
        <w:t xml:space="preserve"> </w:t>
      </w:r>
      <w:r w:rsidRPr="00FA405A">
        <w:rPr>
          <w:rFonts w:ascii="Calibri" w:hAnsi="Calibri"/>
          <w:noProof/>
          <w:lang w:val="en-GB" w:eastAsia="en-GB"/>
        </w:rPr>
        <w:drawing>
          <wp:inline distT="0" distB="0" distL="0" distR="0" wp14:anchorId="4FCED81E" wp14:editId="4D45DC47">
            <wp:extent cx="5943600" cy="4279900"/>
            <wp:effectExtent l="0" t="0" r="0" b="1270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stretch>
                      <a:fillRect/>
                    </a:stretch>
                  </pic:blipFill>
                  <pic:spPr>
                    <a:xfrm>
                      <a:off x="0" y="0"/>
                      <a:ext cx="5943600" cy="4279900"/>
                    </a:xfrm>
                    <a:prstGeom prst="rect">
                      <a:avLst/>
                    </a:prstGeom>
                  </pic:spPr>
                </pic:pic>
              </a:graphicData>
            </a:graphic>
          </wp:inline>
        </w:drawing>
      </w:r>
    </w:p>
    <w:p w14:paraId="3A9629E3" w14:textId="5EAB2572" w:rsidR="00A82123" w:rsidRDefault="00A82123" w:rsidP="00A82123">
      <w:pPr>
        <w:rPr>
          <w:rFonts w:ascii="Calibri" w:hAnsi="Calibri"/>
          <w:lang w:val="en-AU"/>
        </w:rPr>
      </w:pPr>
      <w:r w:rsidRPr="00357C4A">
        <w:rPr>
          <w:rFonts w:ascii="Calibri" w:hAnsi="Calibri"/>
          <w:b/>
          <w:lang w:val="en-AU"/>
        </w:rPr>
        <w:t>Figure S</w:t>
      </w:r>
      <w:r w:rsidR="00675B08">
        <w:rPr>
          <w:rFonts w:ascii="Calibri" w:hAnsi="Calibri"/>
          <w:b/>
          <w:lang w:val="en-AU"/>
        </w:rPr>
        <w:t>2</w:t>
      </w:r>
      <w:r w:rsidRPr="00357C4A">
        <w:rPr>
          <w:rFonts w:ascii="Calibri" w:hAnsi="Calibri"/>
          <w:b/>
          <w:lang w:val="en-AU"/>
        </w:rPr>
        <w:t xml:space="preserve">. </w:t>
      </w:r>
      <w:r w:rsidRPr="00357C4A">
        <w:rPr>
          <w:rFonts w:ascii="Calibri" w:hAnsi="Calibri"/>
          <w:lang w:val="en-AU"/>
        </w:rPr>
        <w:t xml:space="preserve">Relationship between </w:t>
      </w:r>
      <w:r w:rsidR="007102FA">
        <w:rPr>
          <w:rFonts w:ascii="Calibri" w:hAnsi="Calibri"/>
          <w:lang w:val="en-AU"/>
        </w:rPr>
        <w:t xml:space="preserve">circadian </w:t>
      </w:r>
      <w:r w:rsidRPr="00357C4A">
        <w:rPr>
          <w:rFonts w:ascii="Calibri" w:hAnsi="Calibri"/>
          <w:lang w:val="en-AU"/>
        </w:rPr>
        <w:t>phase estimated using photic model (left panel) and the PNP model (right panel)</w:t>
      </w:r>
      <w:r w:rsidRPr="007102FA">
        <w:rPr>
          <w:rFonts w:ascii="Calibri" w:hAnsi="Calibri"/>
          <w:lang w:val="en-AU"/>
        </w:rPr>
        <w:t xml:space="preserve">, initialised using diurnal aMT6s </w:t>
      </w:r>
      <w:proofErr w:type="spellStart"/>
      <w:r w:rsidRPr="007102FA">
        <w:rPr>
          <w:rFonts w:ascii="Calibri" w:hAnsi="Calibri"/>
          <w:lang w:val="en-AU"/>
        </w:rPr>
        <w:t>acrophase</w:t>
      </w:r>
      <w:proofErr w:type="spellEnd"/>
      <w:r w:rsidRPr="007102FA">
        <w:rPr>
          <w:rFonts w:ascii="Calibri" w:hAnsi="Calibri"/>
          <w:lang w:val="en-AU"/>
        </w:rPr>
        <w:t xml:space="preserve"> rather than average mid-sleep time over the diurnal schedule,</w:t>
      </w:r>
      <w:r w:rsidRPr="00357C4A">
        <w:rPr>
          <w:rFonts w:ascii="Calibri" w:hAnsi="Calibri"/>
          <w:lang w:val="en-AU"/>
        </w:rPr>
        <w:t xml:space="preserve"> and measured aMT6s phase on </w:t>
      </w:r>
      <w:r>
        <w:rPr>
          <w:rFonts w:ascii="Calibri" w:hAnsi="Calibri"/>
          <w:lang w:val="en-AU"/>
        </w:rPr>
        <w:t>night schedule</w:t>
      </w:r>
      <w:r w:rsidRPr="00357C4A">
        <w:rPr>
          <w:rFonts w:ascii="Calibri" w:hAnsi="Calibri"/>
          <w:lang w:val="en-AU"/>
        </w:rPr>
        <w:t xml:space="preserve"> (A and B), and aMT6s phase shift (</w:t>
      </w:r>
      <w:r>
        <w:rPr>
          <w:rFonts w:ascii="Calibri" w:hAnsi="Calibri"/>
          <w:lang w:val="en-AU"/>
        </w:rPr>
        <w:t>C</w:t>
      </w:r>
      <w:r w:rsidRPr="00357C4A">
        <w:rPr>
          <w:rFonts w:ascii="Calibri" w:hAnsi="Calibri"/>
          <w:lang w:val="en-AU"/>
        </w:rPr>
        <w:t xml:space="preserve"> and </w:t>
      </w:r>
      <w:r>
        <w:rPr>
          <w:rFonts w:ascii="Calibri" w:hAnsi="Calibri"/>
          <w:lang w:val="en-AU"/>
        </w:rPr>
        <w:t>D</w:t>
      </w:r>
      <w:r w:rsidRPr="00357C4A">
        <w:rPr>
          <w:rFonts w:ascii="Calibri" w:hAnsi="Calibri"/>
          <w:lang w:val="en-AU"/>
        </w:rPr>
        <w:t>). Positive phase shift indicates a phase advance (i.e.</w:t>
      </w:r>
      <w:r>
        <w:rPr>
          <w:rFonts w:ascii="Calibri" w:hAnsi="Calibri"/>
          <w:lang w:val="en-AU"/>
        </w:rPr>
        <w:t>,</w:t>
      </w:r>
      <w:r w:rsidRPr="00357C4A">
        <w:rPr>
          <w:rFonts w:ascii="Calibri" w:hAnsi="Calibri"/>
          <w:lang w:val="en-AU"/>
        </w:rPr>
        <w:t xml:space="preserve"> final night shift phase occurring at an earlier clock time than day-active phase); negative phase shift indicates a phase delay (i.e.</w:t>
      </w:r>
      <w:r>
        <w:rPr>
          <w:rFonts w:ascii="Calibri" w:hAnsi="Calibri"/>
          <w:lang w:val="en-AU"/>
        </w:rPr>
        <w:t>,</w:t>
      </w:r>
      <w:r w:rsidRPr="00357C4A">
        <w:rPr>
          <w:rFonts w:ascii="Calibri" w:hAnsi="Calibri"/>
          <w:lang w:val="en-AU"/>
        </w:rPr>
        <w:t xml:space="preserve"> final night shift phase occurring at a later clock time than day-active phase.</w:t>
      </w:r>
    </w:p>
    <w:p w14:paraId="05FF514C" w14:textId="77777777" w:rsidR="00A82123" w:rsidRDefault="00A82123" w:rsidP="00A82123">
      <w:pPr>
        <w:rPr>
          <w:rFonts w:ascii="Calibri" w:hAnsi="Calibri"/>
          <w:lang w:val="en-AU"/>
        </w:rPr>
      </w:pPr>
    </w:p>
    <w:p w14:paraId="50C0D07C" w14:textId="77777777" w:rsidR="005814A6" w:rsidRDefault="005814A6" w:rsidP="00A82123">
      <w:pPr>
        <w:spacing w:line="360" w:lineRule="auto"/>
        <w:rPr>
          <w:rFonts w:ascii="Calibri" w:hAnsi="Calibri"/>
          <w:b/>
          <w:lang w:val="en-AU"/>
        </w:rPr>
      </w:pPr>
    </w:p>
    <w:p w14:paraId="6C6E6045" w14:textId="77777777" w:rsidR="004C6471" w:rsidRDefault="004C6471">
      <w:pPr>
        <w:rPr>
          <w:rFonts w:ascii="Calibri" w:hAnsi="Calibri"/>
          <w:b/>
          <w:lang w:val="en-AU"/>
        </w:rPr>
      </w:pPr>
      <w:r>
        <w:rPr>
          <w:rFonts w:ascii="Calibri" w:hAnsi="Calibri"/>
          <w:b/>
          <w:lang w:val="en-AU"/>
        </w:rPr>
        <w:br w:type="page"/>
      </w:r>
    </w:p>
    <w:p w14:paraId="2EDE8429" w14:textId="5DE9C66E" w:rsidR="00A82123" w:rsidRPr="00445CA1" w:rsidRDefault="00A82123" w:rsidP="00A82123">
      <w:pPr>
        <w:spacing w:line="360" w:lineRule="auto"/>
        <w:rPr>
          <w:rFonts w:ascii="Calibri" w:hAnsi="Calibri"/>
          <w:b/>
          <w:lang w:val="en-AU"/>
        </w:rPr>
      </w:pPr>
      <w:r>
        <w:rPr>
          <w:rFonts w:ascii="Calibri" w:hAnsi="Calibri"/>
          <w:b/>
          <w:lang w:val="en-AU"/>
        </w:rPr>
        <w:lastRenderedPageBreak/>
        <w:t>Description of light intensity comparison between shift schedules</w:t>
      </w:r>
    </w:p>
    <w:p w14:paraId="2980F189" w14:textId="31301D5B" w:rsidR="00A82123" w:rsidRDefault="00A82123" w:rsidP="00A82123">
      <w:pPr>
        <w:spacing w:line="360" w:lineRule="auto"/>
        <w:rPr>
          <w:rFonts w:ascii="Calibri" w:hAnsi="Calibri"/>
          <w:lang w:val="en-AU"/>
        </w:rPr>
      </w:pPr>
      <w:r>
        <w:rPr>
          <w:rFonts w:ascii="Calibri" w:hAnsi="Calibri"/>
          <w:lang w:val="en-AU"/>
        </w:rPr>
        <w:t>Light levels were compared between the diurnal and night schedules by examining light exposure as a percentage of wake time spent</w:t>
      </w:r>
      <w:r w:rsidRPr="00357C4A">
        <w:rPr>
          <w:rFonts w:ascii="Calibri" w:hAnsi="Calibri"/>
          <w:lang w:val="en-AU"/>
        </w:rPr>
        <w:t>: be</w:t>
      </w:r>
      <w:r>
        <w:rPr>
          <w:rFonts w:ascii="Calibri" w:hAnsi="Calibri"/>
          <w:lang w:val="en-AU"/>
        </w:rPr>
        <w:t xml:space="preserve">low 10 lux (dim indoor light); </w:t>
      </w:r>
      <w:r w:rsidRPr="00357C4A">
        <w:rPr>
          <w:rFonts w:ascii="Calibri" w:hAnsi="Calibri"/>
          <w:lang w:val="en-AU"/>
        </w:rPr>
        <w:t>between 10 and 100 lu</w:t>
      </w:r>
      <w:r w:rsidR="005814A6">
        <w:rPr>
          <w:rFonts w:ascii="Calibri" w:hAnsi="Calibri"/>
          <w:lang w:val="en-AU"/>
        </w:rPr>
        <w:t xml:space="preserve">x (dim-moderate indoor light); </w:t>
      </w:r>
      <w:r w:rsidRPr="00357C4A">
        <w:rPr>
          <w:rFonts w:ascii="Calibri" w:hAnsi="Calibri"/>
          <w:lang w:val="en-AU"/>
        </w:rPr>
        <w:t xml:space="preserve">between 100 and 1000 lux (moderate-bright indoor light or dim outdoor light); and </w:t>
      </w:r>
      <w:r w:rsidRPr="00357C4A">
        <w:rPr>
          <w:rFonts w:ascii="Calibri" w:eastAsia="Helvetica" w:hAnsi="Calibri" w:cs="Helvetica"/>
          <w:lang w:val="en-AU"/>
        </w:rPr>
        <w:t>≥</w:t>
      </w:r>
      <w:r w:rsidRPr="00357C4A">
        <w:rPr>
          <w:rFonts w:ascii="Calibri" w:hAnsi="Calibri"/>
          <w:lang w:val="en-AU"/>
        </w:rPr>
        <w:t xml:space="preserve">1000 lux (outdoor light levels; </w:t>
      </w:r>
      <w:r w:rsidR="005814A6">
        <w:rPr>
          <w:rFonts w:ascii="Calibri" w:hAnsi="Calibri"/>
          <w:lang w:val="en-AU"/>
        </w:rPr>
        <w:fldChar w:fldCharType="begin"/>
      </w:r>
      <w:r w:rsidR="005814A6">
        <w:rPr>
          <w:rFonts w:ascii="Calibri" w:hAnsi="Calibri"/>
          <w:lang w:val="en-AU"/>
        </w:rPr>
        <w:instrText xml:space="preserve"> ADDIN EN.CITE &lt;EndNote&gt;&lt;Cite&gt;&lt;Author&gt;Scheuermaier&lt;/Author&gt;&lt;Year&gt;2010&lt;/Year&gt;&lt;RecNum&gt;49&lt;/RecNum&gt;&lt;DisplayText&gt;&lt;style face="superscript"&gt;1&lt;/style&gt;&lt;/DisplayText&gt;&lt;record&gt;&lt;rec-number&gt;49&lt;/rec-number&gt;&lt;foreign-keys&gt;&lt;key app="EN" db-id="w9ffsxfw6wsp9hevexj5x50x50wvsprax9sv" timestamp="1517360071"&gt;49&lt;/key&gt;&lt;/foreign-keys&gt;&lt;ref-type name="Journal Article"&gt;17&lt;/ref-type&gt;&lt;contributors&gt;&lt;authors&gt;&lt;author&gt;Scheuermaier, Karine&lt;/author&gt;&lt;author&gt;Laffan, A. M.&lt;/author&gt;&lt;author&gt;Duffy, J. F.&lt;/author&gt;&lt;/authors&gt;&lt;/contributors&gt;&lt;titles&gt;&lt;title&gt;Light exposure patterns in healthy older and young adults&lt;/title&gt;&lt;secondary-title&gt;Journal of Biological Rhythms&lt;/secondary-title&gt;&lt;short-title&gt;J Biol Rhythms&lt;/short-title&gt;&lt;/titles&gt;&lt;periodical&gt;&lt;full-title&gt;Journal of Biological Rhythms&lt;/full-title&gt;&lt;/periodical&gt;&lt;pages&gt;113-122&lt;/pages&gt;&lt;volume&gt;25&lt;/volume&gt;&lt;number&gt;2&lt;/number&gt;&lt;dates&gt;&lt;year&gt;2010&lt;/year&gt;&lt;/dates&gt;&lt;isbn&gt;0748-7304&lt;/isbn&gt;&lt;urls&gt;&lt;/urls&gt;&lt;/record&gt;&lt;/Cite&gt;&lt;/EndNote&gt;</w:instrText>
      </w:r>
      <w:r w:rsidR="005814A6">
        <w:rPr>
          <w:rFonts w:ascii="Calibri" w:hAnsi="Calibri"/>
          <w:lang w:val="en-AU"/>
        </w:rPr>
        <w:fldChar w:fldCharType="separate"/>
      </w:r>
      <w:r w:rsidR="005814A6" w:rsidRPr="005814A6">
        <w:rPr>
          <w:rFonts w:ascii="Calibri" w:hAnsi="Calibri"/>
          <w:noProof/>
          <w:vertAlign w:val="superscript"/>
          <w:lang w:val="en-AU"/>
        </w:rPr>
        <w:t>1</w:t>
      </w:r>
      <w:r w:rsidR="005814A6">
        <w:rPr>
          <w:rFonts w:ascii="Calibri" w:hAnsi="Calibri"/>
          <w:lang w:val="en-AU"/>
        </w:rPr>
        <w:fldChar w:fldCharType="end"/>
      </w:r>
      <w:r w:rsidR="005814A6">
        <w:rPr>
          <w:rFonts w:ascii="Calibri" w:hAnsi="Calibri"/>
          <w:lang w:val="en-AU"/>
        </w:rPr>
        <w:t>).</w:t>
      </w:r>
      <w:r>
        <w:rPr>
          <w:rFonts w:ascii="Calibri" w:hAnsi="Calibri"/>
          <w:lang w:val="en-AU"/>
        </w:rPr>
        <w:t xml:space="preserve"> </w:t>
      </w:r>
      <w:r w:rsidRPr="00357C4A">
        <w:rPr>
          <w:rFonts w:ascii="Calibri" w:hAnsi="Calibri"/>
          <w:lang w:val="en-AU"/>
        </w:rPr>
        <w:t xml:space="preserve">The percentage of time spent in each light threshold on the diurnal schedule </w:t>
      </w:r>
      <w:r>
        <w:rPr>
          <w:rFonts w:ascii="Calibri" w:hAnsi="Calibri"/>
          <w:lang w:val="en-AU"/>
        </w:rPr>
        <w:t>compared to</w:t>
      </w:r>
      <w:r w:rsidRPr="00357C4A">
        <w:rPr>
          <w:rFonts w:ascii="Calibri" w:hAnsi="Calibri"/>
          <w:lang w:val="en-AU"/>
        </w:rPr>
        <w:t xml:space="preserve"> the night shift schedule was </w:t>
      </w:r>
      <w:r>
        <w:rPr>
          <w:rFonts w:ascii="Calibri" w:hAnsi="Calibri"/>
          <w:lang w:val="en-AU"/>
        </w:rPr>
        <w:t>examined</w:t>
      </w:r>
      <w:r w:rsidRPr="00357C4A">
        <w:rPr>
          <w:rFonts w:ascii="Calibri" w:hAnsi="Calibri"/>
          <w:lang w:val="en-AU"/>
        </w:rPr>
        <w:t xml:space="preserve"> using paired-samples t test</w:t>
      </w:r>
      <w:r>
        <w:rPr>
          <w:rFonts w:ascii="Calibri" w:hAnsi="Calibri"/>
          <w:lang w:val="en-AU"/>
        </w:rPr>
        <w:t>s (Figure S2).</w:t>
      </w:r>
    </w:p>
    <w:p w14:paraId="52BEEA0A" w14:textId="77777777" w:rsidR="00A82123" w:rsidRDefault="00A82123" w:rsidP="005814A6">
      <w:pPr>
        <w:spacing w:line="360" w:lineRule="auto"/>
        <w:ind w:firstLine="720"/>
        <w:rPr>
          <w:rFonts w:ascii="Calibri" w:hAnsi="Calibri"/>
          <w:lang w:val="en-AU"/>
        </w:rPr>
      </w:pPr>
      <w:r w:rsidRPr="00357C4A">
        <w:rPr>
          <w:rFonts w:ascii="Calibri" w:hAnsi="Calibri"/>
          <w:lang w:val="en-AU"/>
        </w:rPr>
        <w:t>On average, subjects spent a greater proportion of wake time</w:t>
      </w:r>
      <w:r>
        <w:rPr>
          <w:rFonts w:ascii="Calibri" w:hAnsi="Calibri"/>
          <w:lang w:val="en-AU"/>
        </w:rPr>
        <w:t xml:space="preserve"> was</w:t>
      </w:r>
      <w:r w:rsidRPr="00357C4A">
        <w:rPr>
          <w:rFonts w:ascii="Calibri" w:hAnsi="Calibri"/>
          <w:lang w:val="en-AU"/>
        </w:rPr>
        <w:t xml:space="preserve"> spent between 100 and 1000 lux (</w:t>
      </w:r>
      <w:proofErr w:type="gramStart"/>
      <w:r w:rsidRPr="00357C4A">
        <w:rPr>
          <w:rFonts w:ascii="Calibri" w:hAnsi="Calibri"/>
          <w:lang w:val="en-AU"/>
        </w:rPr>
        <w:t>t(</w:t>
      </w:r>
      <w:proofErr w:type="gramEnd"/>
      <w:r w:rsidRPr="00357C4A">
        <w:rPr>
          <w:rFonts w:ascii="Calibri" w:hAnsi="Calibri"/>
          <w:lang w:val="en-AU"/>
        </w:rPr>
        <w:t>24) = 6.93, p &lt; 0.00</w:t>
      </w:r>
      <w:r>
        <w:rPr>
          <w:rFonts w:ascii="Calibri" w:hAnsi="Calibri"/>
          <w:lang w:val="en-AU"/>
        </w:rPr>
        <w:t>1</w:t>
      </w:r>
      <w:r w:rsidRPr="00357C4A">
        <w:rPr>
          <w:rFonts w:ascii="Calibri" w:hAnsi="Calibri"/>
          <w:lang w:val="en-AU"/>
        </w:rPr>
        <w:t>) and above 1000 lux (t(24) = 5.41, p &lt; 0.00</w:t>
      </w:r>
      <w:r>
        <w:rPr>
          <w:rFonts w:ascii="Calibri" w:hAnsi="Calibri"/>
          <w:lang w:val="en-AU"/>
        </w:rPr>
        <w:t>1</w:t>
      </w:r>
      <w:r w:rsidRPr="00357C4A">
        <w:rPr>
          <w:rFonts w:ascii="Calibri" w:hAnsi="Calibri"/>
          <w:lang w:val="en-AU"/>
        </w:rPr>
        <w:t>) on the diurnal schedule compared to during the night shift schedule. Conversely, a greater proportion of time was spent in lower light levels (less than 10 lux</w:t>
      </w:r>
      <w:r>
        <w:rPr>
          <w:rFonts w:ascii="Calibri" w:hAnsi="Calibri"/>
          <w:lang w:val="en-AU"/>
        </w:rPr>
        <w:t>;</w:t>
      </w:r>
      <w:r w:rsidRPr="00357C4A">
        <w:rPr>
          <w:rFonts w:ascii="Calibri" w:hAnsi="Calibri"/>
          <w:lang w:val="en-AU"/>
        </w:rPr>
        <w:t xml:space="preserve"> </w:t>
      </w:r>
      <w:proofErr w:type="gramStart"/>
      <w:r w:rsidRPr="00357C4A">
        <w:rPr>
          <w:rFonts w:ascii="Calibri" w:hAnsi="Calibri"/>
          <w:lang w:val="en-AU"/>
        </w:rPr>
        <w:t>t(</w:t>
      </w:r>
      <w:proofErr w:type="gramEnd"/>
      <w:r w:rsidRPr="00357C4A">
        <w:rPr>
          <w:rFonts w:ascii="Calibri" w:hAnsi="Calibri"/>
          <w:lang w:val="en-AU"/>
        </w:rPr>
        <w:t>24) = -7.30, p &lt; 0.00</w:t>
      </w:r>
      <w:r>
        <w:rPr>
          <w:rFonts w:ascii="Calibri" w:hAnsi="Calibri"/>
          <w:lang w:val="en-AU"/>
        </w:rPr>
        <w:t>1</w:t>
      </w:r>
      <w:r w:rsidRPr="00357C4A">
        <w:rPr>
          <w:rFonts w:ascii="Calibri" w:hAnsi="Calibri"/>
          <w:lang w:val="en-AU"/>
        </w:rPr>
        <w:t>)</w:t>
      </w:r>
      <w:r w:rsidRPr="00357C4A">
        <w:rPr>
          <w:rFonts w:ascii="Calibri" w:hAnsi="Calibri"/>
          <w:b/>
          <w:lang w:val="en-AU"/>
        </w:rPr>
        <w:t xml:space="preserve"> </w:t>
      </w:r>
      <w:r w:rsidRPr="00357C4A">
        <w:rPr>
          <w:rFonts w:ascii="Calibri" w:hAnsi="Calibri"/>
          <w:lang w:val="en-AU"/>
        </w:rPr>
        <w:t>and between 10 and 100 lux (t(24) = -2.19, p = 0.04))</w:t>
      </w:r>
      <w:r w:rsidRPr="00357C4A">
        <w:rPr>
          <w:rFonts w:ascii="Calibri" w:hAnsi="Calibri"/>
          <w:b/>
          <w:lang w:val="en-AU"/>
        </w:rPr>
        <w:t xml:space="preserve"> </w:t>
      </w:r>
      <w:r w:rsidRPr="00357C4A">
        <w:rPr>
          <w:rFonts w:ascii="Calibri" w:hAnsi="Calibri"/>
          <w:lang w:val="en-AU"/>
        </w:rPr>
        <w:t xml:space="preserve">during the night shift schedule compared to diurnal schedule. </w:t>
      </w:r>
    </w:p>
    <w:p w14:paraId="62B434B9" w14:textId="77777777" w:rsidR="005814A6" w:rsidRPr="00357C4A" w:rsidRDefault="005814A6" w:rsidP="005814A6">
      <w:pPr>
        <w:rPr>
          <w:rFonts w:ascii="Calibri" w:hAnsi="Calibri"/>
          <w:b/>
          <w:lang w:val="en-AU"/>
        </w:rPr>
      </w:pPr>
      <w:r w:rsidRPr="00D6015B">
        <w:rPr>
          <w:rFonts w:ascii="Calibri" w:hAnsi="Calibri"/>
          <w:b/>
          <w:noProof/>
          <w:lang w:val="en-GB" w:eastAsia="en-GB"/>
        </w:rPr>
        <w:drawing>
          <wp:inline distT="0" distB="0" distL="0" distR="0" wp14:anchorId="5550AF97" wp14:editId="136D1351">
            <wp:extent cx="3361267" cy="2921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r="24381"/>
                    <a:stretch/>
                  </pic:blipFill>
                  <pic:spPr bwMode="auto">
                    <a:xfrm>
                      <a:off x="0" y="0"/>
                      <a:ext cx="3361267" cy="2921000"/>
                    </a:xfrm>
                    <a:prstGeom prst="rect">
                      <a:avLst/>
                    </a:prstGeom>
                    <a:ln>
                      <a:noFill/>
                    </a:ln>
                    <a:extLst>
                      <a:ext uri="{53640926-AAD7-44D8-BBD7-CCE9431645EC}">
                        <a14:shadowObscured xmlns:a14="http://schemas.microsoft.com/office/drawing/2010/main"/>
                      </a:ext>
                    </a:extLst>
                  </pic:spPr>
                </pic:pic>
              </a:graphicData>
            </a:graphic>
          </wp:inline>
        </w:drawing>
      </w:r>
      <w:r w:rsidRPr="00D6015B">
        <w:rPr>
          <w:rStyle w:val="CommentReference"/>
          <w:rFonts w:ascii="Calibri" w:hAnsi="Calibri"/>
          <w:b/>
          <w:sz w:val="24"/>
          <w:szCs w:val="24"/>
          <w:lang w:val="en-AU"/>
        </w:rPr>
        <w:t xml:space="preserve"> </w:t>
      </w:r>
    </w:p>
    <w:p w14:paraId="36577C84" w14:textId="33156D46" w:rsidR="005814A6" w:rsidRDefault="005814A6" w:rsidP="005814A6">
      <w:pPr>
        <w:rPr>
          <w:rFonts w:ascii="Calibri" w:hAnsi="Calibri"/>
          <w:lang w:val="en-AU"/>
        </w:rPr>
      </w:pPr>
      <w:r w:rsidRPr="00357C4A">
        <w:rPr>
          <w:rFonts w:ascii="Calibri" w:hAnsi="Calibri"/>
          <w:b/>
          <w:lang w:val="en-AU"/>
        </w:rPr>
        <w:t>F</w:t>
      </w:r>
      <w:r>
        <w:rPr>
          <w:rFonts w:ascii="Calibri" w:hAnsi="Calibri"/>
          <w:b/>
          <w:lang w:val="en-AU"/>
        </w:rPr>
        <w:t>igure S</w:t>
      </w:r>
      <w:r w:rsidR="00675B08">
        <w:rPr>
          <w:rFonts w:ascii="Calibri" w:hAnsi="Calibri"/>
          <w:b/>
          <w:lang w:val="en-AU"/>
        </w:rPr>
        <w:t>3</w:t>
      </w:r>
      <w:r w:rsidRPr="00357C4A">
        <w:rPr>
          <w:rFonts w:ascii="Calibri" w:hAnsi="Calibri"/>
          <w:b/>
          <w:lang w:val="en-AU"/>
        </w:rPr>
        <w:t xml:space="preserve">. </w:t>
      </w:r>
      <w:r w:rsidRPr="00357C4A">
        <w:rPr>
          <w:rFonts w:ascii="Calibri" w:hAnsi="Calibri"/>
          <w:lang w:val="en-AU"/>
        </w:rPr>
        <w:t>Percentage of wake time spent in each light intensity category on the d</w:t>
      </w:r>
      <w:r>
        <w:rPr>
          <w:rFonts w:ascii="Calibri" w:hAnsi="Calibri"/>
          <w:lang w:val="en-AU"/>
        </w:rPr>
        <w:t>iurnal</w:t>
      </w:r>
      <w:r w:rsidRPr="00357C4A">
        <w:rPr>
          <w:rFonts w:ascii="Calibri" w:hAnsi="Calibri"/>
          <w:lang w:val="en-AU"/>
        </w:rPr>
        <w:t xml:space="preserve"> schedule</w:t>
      </w:r>
      <w:r>
        <w:rPr>
          <w:rFonts w:ascii="Calibri" w:hAnsi="Calibri"/>
          <w:lang w:val="en-AU"/>
        </w:rPr>
        <w:t xml:space="preserve"> (black)</w:t>
      </w:r>
      <w:r w:rsidRPr="00357C4A">
        <w:rPr>
          <w:rFonts w:ascii="Calibri" w:hAnsi="Calibri"/>
          <w:lang w:val="en-AU"/>
        </w:rPr>
        <w:t xml:space="preserve"> and night shift schedule</w:t>
      </w:r>
      <w:r>
        <w:rPr>
          <w:rFonts w:ascii="Calibri" w:hAnsi="Calibri"/>
          <w:lang w:val="en-AU"/>
        </w:rPr>
        <w:t xml:space="preserve"> (white)</w:t>
      </w:r>
      <w:r w:rsidRPr="00357C4A">
        <w:rPr>
          <w:rFonts w:ascii="Calibri" w:hAnsi="Calibri"/>
          <w:lang w:val="en-AU"/>
        </w:rPr>
        <w:t xml:space="preserve">. </w:t>
      </w:r>
      <w:r>
        <w:rPr>
          <w:rFonts w:ascii="Calibri" w:hAnsi="Calibri"/>
          <w:lang w:val="en-AU"/>
        </w:rPr>
        <w:t>*p &lt; 0.05, **</w:t>
      </w:r>
      <w:r w:rsidRPr="00357C4A">
        <w:rPr>
          <w:rFonts w:ascii="Calibri" w:hAnsi="Calibri"/>
          <w:lang w:val="en-AU"/>
        </w:rPr>
        <w:t>p &lt; 0.01 for comparisons between d</w:t>
      </w:r>
      <w:r>
        <w:rPr>
          <w:rFonts w:ascii="Calibri" w:hAnsi="Calibri"/>
          <w:lang w:val="en-AU"/>
        </w:rPr>
        <w:t>iurnal</w:t>
      </w:r>
      <w:r w:rsidRPr="00357C4A">
        <w:rPr>
          <w:rFonts w:ascii="Calibri" w:hAnsi="Calibri"/>
          <w:lang w:val="en-AU"/>
        </w:rPr>
        <w:t xml:space="preserve"> and night shift schedules.</w:t>
      </w:r>
    </w:p>
    <w:p w14:paraId="0125503D" w14:textId="77777777" w:rsidR="00A82123" w:rsidRPr="00755F59" w:rsidRDefault="00A82123" w:rsidP="00A82123">
      <w:pPr>
        <w:spacing w:line="360" w:lineRule="auto"/>
        <w:rPr>
          <w:rFonts w:ascii="Calibri" w:hAnsi="Calibri"/>
          <w:b/>
          <w:lang w:val="en-AU"/>
        </w:rPr>
      </w:pPr>
    </w:p>
    <w:p w14:paraId="0F83D608" w14:textId="77777777" w:rsidR="00A82123" w:rsidRPr="00755F59" w:rsidRDefault="00A82123" w:rsidP="00A82123">
      <w:pPr>
        <w:spacing w:line="360" w:lineRule="auto"/>
        <w:rPr>
          <w:b/>
          <w:lang w:val="en-AU"/>
        </w:rPr>
      </w:pPr>
      <w:r w:rsidRPr="00755F59">
        <w:rPr>
          <w:b/>
          <w:lang w:val="en-AU"/>
        </w:rPr>
        <w:t>Impact of circadian phase error on estimated psychomotor performance</w:t>
      </w:r>
      <w:r w:rsidRPr="00755F59">
        <w:rPr>
          <w:rStyle w:val="CommentReference"/>
          <w:b/>
        </w:rPr>
        <w:t xml:space="preserve"> </w:t>
      </w:r>
    </w:p>
    <w:p w14:paraId="4FB6A847" w14:textId="7111846C" w:rsidR="00A82123" w:rsidRDefault="00A82123" w:rsidP="00A82123">
      <w:pPr>
        <w:spacing w:line="360" w:lineRule="auto"/>
        <w:rPr>
          <w:lang w:val="en-AU"/>
        </w:rPr>
      </w:pPr>
      <w:r>
        <w:rPr>
          <w:lang w:val="en-AU"/>
        </w:rPr>
        <w:t>Median reaction time (RT) on a psychomotor vigilance task (PVT) across the biological day, measured during a forced desynchrony protocol</w:t>
      </w:r>
      <w:r w:rsidR="00E964B7">
        <w:rPr>
          <w:lang w:val="en-AU"/>
        </w:rPr>
        <w:fldChar w:fldCharType="begin"/>
      </w:r>
      <w:r w:rsidR="00E964B7">
        <w:rPr>
          <w:lang w:val="en-AU"/>
        </w:rPr>
        <w:instrText xml:space="preserve"> ADDIN EN.CITE &lt;EndNote&gt;&lt;Cite&gt;&lt;Author&gt;Wyatt&lt;/Author&gt;&lt;Year&gt;1999&lt;/Year&gt;&lt;RecNum&gt;60&lt;/RecNum&gt;&lt;DisplayText&gt;&lt;style face="superscript"&gt;2&lt;/style&gt;&lt;/DisplayText&gt;&lt;record&gt;&lt;rec-number&gt;60&lt;/rec-number&gt;&lt;foreign-keys&gt;&lt;key app="EN" db-id="w9ffsxfw6wsp9hevexj5x50x50wvsprax9sv" timestamp="1523930414"&gt;60&lt;/key&gt;&lt;/foreign-keys&gt;&lt;ref-type name="Journal Article"&gt;17&lt;/ref-type&gt;&lt;contributors&gt;&lt;authors&gt;&lt;author&gt;Wyatt, J. K&lt;/author&gt;&lt;author&gt;Cecco, A. .R. D&lt;/author&gt;&lt;author&gt;Czeisler, C. A&lt;/author&gt;&lt;author&gt;Dijk, D. J&lt;/author&gt;&lt;/authors&gt;&lt;/contributors&gt;&lt;titles&gt;&lt;title&gt;Circadian temperature and melatonin rhythms, sleep, and neurobehavioral function in humans living on a 20-h day&lt;/title&gt;&lt;secondary-title&gt;American Journal of Physiology-Regulatory, Integrative and Comparative Physiology&lt;/secondary-title&gt;&lt;/titles&gt;&lt;periodical&gt;&lt;full-title&gt;American Journal of Physiology-Regulatory, Integrative and Comparative Physiology&lt;/full-title&gt;&lt;/periodical&gt;&lt;pages&gt;R1152-R1163&lt;/pages&gt;&lt;volume&gt;277&lt;/volume&gt;&lt;number&gt;4&lt;/number&gt;&lt;dates&gt;&lt;year&gt;1999&lt;/year&gt;&lt;/dates&gt;&lt;isbn&gt;1522-1490&lt;/isbn&gt;&lt;urls&gt;&lt;/urls&gt;&lt;/record&gt;&lt;/Cite&gt;&lt;/EndNote&gt;</w:instrText>
      </w:r>
      <w:r w:rsidR="00E964B7">
        <w:rPr>
          <w:lang w:val="en-AU"/>
        </w:rPr>
        <w:fldChar w:fldCharType="separate"/>
      </w:r>
      <w:r w:rsidR="00E964B7" w:rsidRPr="00E964B7">
        <w:rPr>
          <w:noProof/>
          <w:vertAlign w:val="superscript"/>
          <w:lang w:val="en-AU"/>
        </w:rPr>
        <w:t>2</w:t>
      </w:r>
      <w:r w:rsidR="00E964B7">
        <w:rPr>
          <w:lang w:val="en-AU"/>
        </w:rPr>
        <w:fldChar w:fldCharType="end"/>
      </w:r>
      <w:r w:rsidR="005814A6">
        <w:rPr>
          <w:lang w:val="en-AU"/>
        </w:rPr>
        <w:t xml:space="preserve"> </w:t>
      </w:r>
      <w:r>
        <w:rPr>
          <w:lang w:val="en-AU"/>
        </w:rPr>
        <w:t xml:space="preserve">was used to estimate the impact of using incorrect circadian phase predictions to predict psychomotor performance. RT predicted at each circadian phase with a </w:t>
      </w:r>
      <w:r>
        <w:rPr>
          <w:rFonts w:ascii="Calibri" w:hAnsi="Calibri"/>
          <w:lang w:val="en-AU"/>
        </w:rPr>
        <w:t xml:space="preserve">± 1-hour error and ± 2-hour error, and the absolute mean </w:t>
      </w:r>
      <w:r>
        <w:rPr>
          <w:rFonts w:ascii="Calibri" w:hAnsi="Calibri"/>
          <w:lang w:val="en-AU"/>
        </w:rPr>
        <w:lastRenderedPageBreak/>
        <w:t xml:space="preserve">difference between reported RT and that estimated with a 1-hour or 2-hour error in phase was calculated (Fig 6A). </w:t>
      </w:r>
      <w:r>
        <w:rPr>
          <w:lang w:val="en-AU"/>
        </w:rPr>
        <w:t xml:space="preserve"> The error effect size was calculated as the mean absolute difference in milliseconds, divided by the standard deviation, at each circadian phase. Standard deviation was calculated from the reported standard error of median RT for n = 6 subjects. </w:t>
      </w:r>
    </w:p>
    <w:p w14:paraId="2D629A0D" w14:textId="77777777" w:rsidR="00A82123" w:rsidRPr="006B472E" w:rsidRDefault="00A82123" w:rsidP="00A82123">
      <w:pPr>
        <w:spacing w:line="360" w:lineRule="auto"/>
        <w:ind w:firstLine="720"/>
        <w:rPr>
          <w:lang w:val="en-AU"/>
        </w:rPr>
      </w:pPr>
      <w:r>
        <w:rPr>
          <w:rFonts w:ascii="Calibri" w:hAnsi="Calibri"/>
          <w:lang w:val="en-AU"/>
        </w:rPr>
        <w:t>The error effect size was largest at two phases (120 and 300 degrees), corresponding to the start and end of the circadian nadir in performance (Fig 6B). The error effect size is medium with a ±</w:t>
      </w:r>
      <w:r>
        <w:rPr>
          <w:lang w:val="en-AU"/>
        </w:rPr>
        <w:t xml:space="preserve"> 1-hour error in circadian phase, and large with a </w:t>
      </w:r>
      <w:r>
        <w:rPr>
          <w:rFonts w:ascii="Calibri" w:hAnsi="Calibri"/>
          <w:lang w:val="en-AU"/>
        </w:rPr>
        <w:t>±</w:t>
      </w:r>
      <w:r>
        <w:rPr>
          <w:lang w:val="en-AU"/>
        </w:rPr>
        <w:t xml:space="preserve"> 2-hour error in phase. This simulation illustrates that the impact of having an incorrect phase estimate is higher in terms of predicted reaction time at particular biological times, and that a larger discrepancy between predicted and actual circadian phase results in a larger error effect size at those times. </w:t>
      </w:r>
    </w:p>
    <w:p w14:paraId="3ABCB63F" w14:textId="77777777" w:rsidR="00A82123" w:rsidRPr="00357C4A" w:rsidRDefault="00A82123" w:rsidP="00A82123">
      <w:pPr>
        <w:rPr>
          <w:rFonts w:ascii="Calibri" w:hAnsi="Calibri"/>
          <w:lang w:val="en-AU"/>
        </w:rPr>
      </w:pPr>
    </w:p>
    <w:p w14:paraId="74A85A56" w14:textId="77777777" w:rsidR="00A82123" w:rsidRDefault="00A82123" w:rsidP="00A82123">
      <w:pPr>
        <w:rPr>
          <w:rFonts w:ascii="Calibri" w:hAnsi="Calibri"/>
          <w:lang w:val="en-AU"/>
        </w:rPr>
      </w:pPr>
    </w:p>
    <w:p w14:paraId="799E9212" w14:textId="77777777" w:rsidR="00A82123" w:rsidRDefault="00A82123" w:rsidP="00A82123">
      <w:pPr>
        <w:rPr>
          <w:rFonts w:ascii="Calibri" w:hAnsi="Calibri"/>
          <w:b/>
          <w:lang w:val="en-AU"/>
        </w:rPr>
      </w:pPr>
    </w:p>
    <w:p w14:paraId="5356AE0E" w14:textId="77777777" w:rsidR="00A82123" w:rsidRDefault="00A82123" w:rsidP="00A82123">
      <w:pPr>
        <w:rPr>
          <w:rFonts w:ascii="Calibri" w:hAnsi="Calibri"/>
          <w:b/>
          <w:lang w:val="en-AU"/>
        </w:rPr>
      </w:pPr>
    </w:p>
    <w:p w14:paraId="3F60301E" w14:textId="77777777" w:rsidR="00A82123" w:rsidRDefault="00A82123" w:rsidP="00A82123">
      <w:pPr>
        <w:rPr>
          <w:rFonts w:ascii="Calibri" w:hAnsi="Calibri"/>
          <w:b/>
          <w:lang w:val="en-AU"/>
        </w:rPr>
      </w:pPr>
    </w:p>
    <w:p w14:paraId="6822D15A" w14:textId="77777777" w:rsidR="00A82123" w:rsidRDefault="00A82123" w:rsidP="00A82123">
      <w:pPr>
        <w:rPr>
          <w:rFonts w:ascii="Calibri" w:hAnsi="Calibri"/>
          <w:b/>
          <w:lang w:val="en-AU"/>
        </w:rPr>
      </w:pPr>
      <w:r>
        <w:rPr>
          <w:rFonts w:ascii="Calibri" w:hAnsi="Calibri"/>
          <w:b/>
          <w:lang w:val="en-AU"/>
        </w:rPr>
        <w:br w:type="page"/>
      </w:r>
    </w:p>
    <w:p w14:paraId="1AC65D76" w14:textId="77777777" w:rsidR="00A82123" w:rsidRDefault="00A82123" w:rsidP="00A82123">
      <w:pPr>
        <w:rPr>
          <w:rFonts w:ascii="Calibri" w:hAnsi="Calibri"/>
          <w:b/>
          <w:lang w:val="en-AU"/>
        </w:rPr>
        <w:sectPr w:rsidR="00A82123" w:rsidSect="001C1B42">
          <w:pgSz w:w="11900" w:h="16840"/>
          <w:pgMar w:top="1440" w:right="1440" w:bottom="1440" w:left="1440" w:header="708" w:footer="708" w:gutter="0"/>
          <w:cols w:space="708"/>
          <w:docGrid w:linePitch="360"/>
        </w:sectPr>
      </w:pPr>
    </w:p>
    <w:p w14:paraId="46FC43B2" w14:textId="4B4FF640" w:rsidR="00A82123" w:rsidRPr="00357C4A" w:rsidRDefault="00A82123" w:rsidP="00A82123">
      <w:pPr>
        <w:rPr>
          <w:rFonts w:ascii="Calibri" w:hAnsi="Calibri"/>
          <w:b/>
          <w:lang w:val="en-AU"/>
        </w:rPr>
      </w:pPr>
      <w:r w:rsidRPr="00357C4A">
        <w:rPr>
          <w:rFonts w:ascii="Calibri" w:hAnsi="Calibri"/>
          <w:b/>
          <w:lang w:val="en-AU"/>
        </w:rPr>
        <w:lastRenderedPageBreak/>
        <w:t xml:space="preserve">Table S1. </w:t>
      </w:r>
      <w:r w:rsidRPr="00357C4A">
        <w:rPr>
          <w:rFonts w:ascii="Calibri" w:hAnsi="Calibri"/>
          <w:lang w:val="en-AU"/>
        </w:rPr>
        <w:t>Summary of prediction error in hours for photic only and PNP models across the shift schedule,</w:t>
      </w:r>
      <w:r w:rsidRPr="00770A1E">
        <w:rPr>
          <w:rFonts w:ascii="Calibri" w:hAnsi="Calibri"/>
          <w:lang w:val="en-AU"/>
        </w:rPr>
        <w:t xml:space="preserve"> with each model initialised using diurnal aMT6s phase (</w:t>
      </w:r>
      <w:r w:rsidRPr="00770A1E">
        <w:rPr>
          <w:rFonts w:ascii="Helvetica" w:eastAsia="Helvetica" w:hAnsi="Helvetica" w:cs="Helvetica"/>
          <w:lang w:val="en-AU"/>
        </w:rPr>
        <w:t>“</w:t>
      </w:r>
      <w:r w:rsidRPr="00770A1E">
        <w:rPr>
          <w:rFonts w:ascii="Calibri" w:hAnsi="Calibri"/>
          <w:lang w:val="en-AU"/>
        </w:rPr>
        <w:t>oracle</w:t>
      </w:r>
      <w:r w:rsidRPr="00770A1E">
        <w:rPr>
          <w:rFonts w:ascii="Helvetica" w:eastAsia="Helvetica" w:hAnsi="Helvetica" w:cs="Helvetica"/>
          <w:lang w:val="en-AU"/>
        </w:rPr>
        <w:t xml:space="preserve">” </w:t>
      </w:r>
      <w:r w:rsidRPr="00770A1E">
        <w:rPr>
          <w:rFonts w:ascii="Calibri" w:eastAsia="Helvetica" w:hAnsi="Calibri" w:cs="Helvetica"/>
          <w:lang w:val="en-AU"/>
        </w:rPr>
        <w:t>model</w:t>
      </w:r>
      <w:r w:rsidRPr="00770A1E">
        <w:rPr>
          <w:rFonts w:ascii="Calibri" w:hAnsi="Calibri"/>
          <w:lang w:val="en-AU"/>
        </w:rPr>
        <w:t>).</w:t>
      </w:r>
      <w:r w:rsidRPr="00357C4A">
        <w:rPr>
          <w:rFonts w:ascii="Calibri" w:hAnsi="Calibri"/>
          <w:b/>
          <w:lang w:val="en-AU"/>
        </w:rPr>
        <w:t xml:space="preserve"> </w:t>
      </w:r>
    </w:p>
    <w:tbl>
      <w:tblPr>
        <w:tblW w:w="14572" w:type="dxa"/>
        <w:tblInd w:w="29" w:type="dxa"/>
        <w:tblLayout w:type="fixed"/>
        <w:tblLook w:val="04A0" w:firstRow="1" w:lastRow="0" w:firstColumn="1" w:lastColumn="0" w:noHBand="0" w:noVBand="1"/>
      </w:tblPr>
      <w:tblGrid>
        <w:gridCol w:w="2239"/>
        <w:gridCol w:w="602"/>
        <w:gridCol w:w="1383"/>
        <w:gridCol w:w="1331"/>
        <w:gridCol w:w="1362"/>
        <w:gridCol w:w="1276"/>
        <w:gridCol w:w="1276"/>
        <w:gridCol w:w="1275"/>
        <w:gridCol w:w="1276"/>
        <w:gridCol w:w="1276"/>
        <w:gridCol w:w="1276"/>
      </w:tblGrid>
      <w:tr w:rsidR="00A82123" w:rsidRPr="00357C4A" w14:paraId="2FEB3B2C" w14:textId="77777777" w:rsidTr="004D51B5">
        <w:trPr>
          <w:trHeight w:val="640"/>
        </w:trPr>
        <w:tc>
          <w:tcPr>
            <w:tcW w:w="2239" w:type="dxa"/>
            <w:tcBorders>
              <w:top w:val="single" w:sz="4" w:space="0" w:color="auto"/>
              <w:left w:val="nil"/>
              <w:bottom w:val="single" w:sz="4" w:space="0" w:color="auto"/>
              <w:right w:val="nil"/>
            </w:tcBorders>
            <w:shd w:val="clear" w:color="auto" w:fill="auto"/>
            <w:noWrap/>
            <w:vAlign w:val="bottom"/>
            <w:hideMark/>
          </w:tcPr>
          <w:p w14:paraId="56BDD69C" w14:textId="77777777" w:rsidR="00A82123" w:rsidRPr="00357C4A" w:rsidRDefault="00A82123" w:rsidP="004D51B5">
            <w:pPr>
              <w:rPr>
                <w:rFonts w:ascii="Calibri" w:eastAsia="Times New Roman" w:hAnsi="Calibri"/>
                <w:b/>
                <w:bCs/>
                <w:color w:val="000000"/>
              </w:rPr>
            </w:pPr>
            <w:r w:rsidRPr="00357C4A">
              <w:rPr>
                <w:rFonts w:ascii="Calibri" w:eastAsia="Times New Roman" w:hAnsi="Calibri"/>
                <w:b/>
                <w:bCs/>
                <w:color w:val="000000"/>
              </w:rPr>
              <w:t> </w:t>
            </w:r>
          </w:p>
        </w:tc>
        <w:tc>
          <w:tcPr>
            <w:tcW w:w="602" w:type="dxa"/>
            <w:tcBorders>
              <w:top w:val="single" w:sz="4" w:space="0" w:color="auto"/>
              <w:left w:val="nil"/>
              <w:bottom w:val="single" w:sz="4" w:space="0" w:color="auto"/>
              <w:right w:val="nil"/>
            </w:tcBorders>
            <w:shd w:val="clear" w:color="auto" w:fill="auto"/>
            <w:noWrap/>
            <w:vAlign w:val="bottom"/>
            <w:hideMark/>
          </w:tcPr>
          <w:p w14:paraId="4BDEFB6F" w14:textId="77777777" w:rsidR="00A82123" w:rsidRPr="00357C4A" w:rsidRDefault="00A82123" w:rsidP="004D51B5">
            <w:pPr>
              <w:jc w:val="center"/>
              <w:rPr>
                <w:rFonts w:ascii="Calibri" w:eastAsia="Times New Roman" w:hAnsi="Calibri"/>
                <w:b/>
                <w:bCs/>
                <w:color w:val="000000"/>
              </w:rPr>
            </w:pPr>
            <w:r w:rsidRPr="00357C4A">
              <w:rPr>
                <w:rFonts w:ascii="Calibri" w:eastAsia="Times New Roman" w:hAnsi="Calibri"/>
                <w:b/>
                <w:bCs/>
                <w:color w:val="000000"/>
              </w:rPr>
              <w:t>n</w:t>
            </w:r>
          </w:p>
        </w:tc>
        <w:tc>
          <w:tcPr>
            <w:tcW w:w="1383" w:type="dxa"/>
            <w:tcBorders>
              <w:top w:val="single" w:sz="4" w:space="0" w:color="auto"/>
              <w:left w:val="nil"/>
              <w:bottom w:val="single" w:sz="4" w:space="0" w:color="auto"/>
              <w:right w:val="nil"/>
            </w:tcBorders>
            <w:vAlign w:val="bottom"/>
          </w:tcPr>
          <w:p w14:paraId="4460A638" w14:textId="77777777" w:rsidR="00A82123" w:rsidRPr="00357C4A" w:rsidRDefault="00A82123" w:rsidP="004D51B5">
            <w:pPr>
              <w:jc w:val="center"/>
              <w:rPr>
                <w:rFonts w:ascii="Calibri" w:eastAsia="Times New Roman" w:hAnsi="Calibri"/>
                <w:b/>
                <w:bCs/>
                <w:color w:val="000000"/>
              </w:rPr>
            </w:pPr>
            <w:r w:rsidRPr="00357C4A">
              <w:rPr>
                <w:rFonts w:ascii="Calibri" w:eastAsia="Times New Roman" w:hAnsi="Calibri"/>
                <w:b/>
                <w:bCs/>
                <w:color w:val="000000"/>
              </w:rPr>
              <w:t>Predicted Phase Mean  (h)</w:t>
            </w:r>
          </w:p>
        </w:tc>
        <w:tc>
          <w:tcPr>
            <w:tcW w:w="1331" w:type="dxa"/>
            <w:tcBorders>
              <w:top w:val="single" w:sz="4" w:space="0" w:color="auto"/>
              <w:left w:val="nil"/>
              <w:bottom w:val="single" w:sz="4" w:space="0" w:color="auto"/>
              <w:right w:val="nil"/>
            </w:tcBorders>
            <w:vAlign w:val="bottom"/>
          </w:tcPr>
          <w:p w14:paraId="4AD58477" w14:textId="77777777" w:rsidR="00A82123" w:rsidRPr="00357C4A" w:rsidRDefault="00A82123" w:rsidP="004D51B5">
            <w:pPr>
              <w:jc w:val="center"/>
              <w:rPr>
                <w:rFonts w:ascii="Calibri" w:eastAsia="Times New Roman" w:hAnsi="Calibri"/>
                <w:b/>
                <w:bCs/>
                <w:color w:val="000000"/>
              </w:rPr>
            </w:pPr>
            <w:r w:rsidRPr="00357C4A">
              <w:rPr>
                <w:rFonts w:ascii="Calibri" w:eastAsia="Times New Roman" w:hAnsi="Calibri"/>
                <w:b/>
                <w:bCs/>
                <w:color w:val="000000"/>
              </w:rPr>
              <w:t>Predicted Phase Range (h)</w:t>
            </w:r>
          </w:p>
        </w:tc>
        <w:tc>
          <w:tcPr>
            <w:tcW w:w="1362" w:type="dxa"/>
            <w:tcBorders>
              <w:top w:val="single" w:sz="4" w:space="0" w:color="auto"/>
              <w:left w:val="nil"/>
              <w:bottom w:val="single" w:sz="4" w:space="0" w:color="auto"/>
              <w:right w:val="nil"/>
            </w:tcBorders>
            <w:shd w:val="clear" w:color="auto" w:fill="auto"/>
            <w:noWrap/>
            <w:vAlign w:val="bottom"/>
            <w:hideMark/>
          </w:tcPr>
          <w:p w14:paraId="7C47A610" w14:textId="77777777" w:rsidR="00A82123" w:rsidRPr="00357C4A" w:rsidRDefault="00A82123" w:rsidP="004D51B5">
            <w:pPr>
              <w:jc w:val="center"/>
              <w:rPr>
                <w:rFonts w:ascii="Calibri" w:eastAsia="Times New Roman" w:hAnsi="Calibri"/>
                <w:b/>
                <w:bCs/>
                <w:color w:val="000000"/>
              </w:rPr>
            </w:pPr>
            <w:r w:rsidRPr="00357C4A">
              <w:rPr>
                <w:rFonts w:ascii="Calibri" w:eastAsia="Times New Roman" w:hAnsi="Calibri"/>
                <w:b/>
                <w:bCs/>
                <w:color w:val="000000"/>
              </w:rPr>
              <w:t xml:space="preserve">Prediction Error Mean </w:t>
            </w:r>
          </w:p>
          <w:p w14:paraId="63BAB609" w14:textId="77777777" w:rsidR="00A82123" w:rsidRPr="00357C4A" w:rsidRDefault="00A82123" w:rsidP="004D51B5">
            <w:pPr>
              <w:jc w:val="center"/>
              <w:rPr>
                <w:rFonts w:ascii="Calibri" w:eastAsia="Times New Roman" w:hAnsi="Calibri"/>
                <w:b/>
                <w:bCs/>
                <w:color w:val="000000"/>
              </w:rPr>
            </w:pPr>
            <w:r w:rsidRPr="00357C4A">
              <w:rPr>
                <w:rFonts w:ascii="Calibri" w:eastAsia="Times New Roman" w:hAnsi="Calibri"/>
                <w:b/>
                <w:bCs/>
                <w:color w:val="000000"/>
              </w:rPr>
              <w:t>(h)</w:t>
            </w:r>
          </w:p>
        </w:tc>
        <w:tc>
          <w:tcPr>
            <w:tcW w:w="1276" w:type="dxa"/>
            <w:tcBorders>
              <w:top w:val="single" w:sz="4" w:space="0" w:color="auto"/>
              <w:left w:val="nil"/>
              <w:bottom w:val="single" w:sz="4" w:space="0" w:color="auto"/>
              <w:right w:val="nil"/>
            </w:tcBorders>
            <w:shd w:val="clear" w:color="auto" w:fill="auto"/>
            <w:noWrap/>
            <w:vAlign w:val="bottom"/>
            <w:hideMark/>
          </w:tcPr>
          <w:p w14:paraId="0CE66BC9" w14:textId="77777777" w:rsidR="00A82123" w:rsidRPr="00357C4A" w:rsidRDefault="00A82123" w:rsidP="004D51B5">
            <w:pPr>
              <w:jc w:val="center"/>
              <w:rPr>
                <w:rFonts w:ascii="Calibri" w:eastAsia="Times New Roman" w:hAnsi="Calibri"/>
                <w:b/>
                <w:bCs/>
                <w:color w:val="000000"/>
              </w:rPr>
            </w:pPr>
            <w:r w:rsidRPr="00357C4A">
              <w:rPr>
                <w:rFonts w:ascii="Calibri" w:eastAsia="Times New Roman" w:hAnsi="Calibri"/>
                <w:b/>
                <w:bCs/>
                <w:color w:val="000000"/>
              </w:rPr>
              <w:t>Prediction Error Absolute Mean</w:t>
            </w:r>
            <w:r>
              <w:rPr>
                <w:rFonts w:ascii="Calibri" w:eastAsia="Times New Roman" w:hAnsi="Calibri"/>
                <w:b/>
                <w:bCs/>
                <w:color w:val="000000"/>
              </w:rPr>
              <w:t xml:space="preserve"> </w:t>
            </w:r>
            <w:r w:rsidRPr="00357C4A">
              <w:rPr>
                <w:rFonts w:ascii="Calibri" w:eastAsia="Times New Roman" w:hAnsi="Calibri"/>
                <w:b/>
                <w:bCs/>
                <w:color w:val="000000"/>
              </w:rPr>
              <w:t xml:space="preserve"> (h)</w:t>
            </w:r>
          </w:p>
        </w:tc>
        <w:tc>
          <w:tcPr>
            <w:tcW w:w="1276" w:type="dxa"/>
            <w:tcBorders>
              <w:top w:val="single" w:sz="4" w:space="0" w:color="auto"/>
              <w:left w:val="nil"/>
              <w:bottom w:val="single" w:sz="4" w:space="0" w:color="auto"/>
              <w:right w:val="nil"/>
            </w:tcBorders>
            <w:vAlign w:val="bottom"/>
          </w:tcPr>
          <w:p w14:paraId="7EC1C2CD" w14:textId="77777777" w:rsidR="00A82123" w:rsidRPr="00357C4A" w:rsidRDefault="00A82123" w:rsidP="004D51B5">
            <w:pPr>
              <w:jc w:val="center"/>
              <w:rPr>
                <w:rFonts w:ascii="Calibri" w:eastAsia="Times New Roman" w:hAnsi="Calibri"/>
                <w:b/>
                <w:bCs/>
                <w:color w:val="000000"/>
              </w:rPr>
            </w:pPr>
            <w:r w:rsidRPr="00357C4A">
              <w:rPr>
                <w:rFonts w:ascii="Calibri" w:eastAsia="Times New Roman" w:hAnsi="Calibri"/>
                <w:b/>
                <w:bCs/>
                <w:color w:val="000000"/>
              </w:rPr>
              <w:t>Prediction Error Min (h)</w:t>
            </w:r>
          </w:p>
        </w:tc>
        <w:tc>
          <w:tcPr>
            <w:tcW w:w="1275" w:type="dxa"/>
            <w:tcBorders>
              <w:top w:val="single" w:sz="4" w:space="0" w:color="auto"/>
              <w:left w:val="nil"/>
              <w:bottom w:val="single" w:sz="4" w:space="0" w:color="auto"/>
              <w:right w:val="nil"/>
            </w:tcBorders>
            <w:shd w:val="clear" w:color="auto" w:fill="auto"/>
            <w:noWrap/>
            <w:vAlign w:val="bottom"/>
            <w:hideMark/>
          </w:tcPr>
          <w:p w14:paraId="6A5B28EF" w14:textId="77777777" w:rsidR="00A82123" w:rsidRPr="00357C4A" w:rsidRDefault="00A82123" w:rsidP="004D51B5">
            <w:pPr>
              <w:jc w:val="center"/>
              <w:rPr>
                <w:rFonts w:ascii="Calibri" w:eastAsia="Times New Roman" w:hAnsi="Calibri"/>
                <w:b/>
                <w:bCs/>
                <w:color w:val="000000"/>
              </w:rPr>
            </w:pPr>
            <w:r w:rsidRPr="00357C4A">
              <w:rPr>
                <w:rFonts w:ascii="Calibri" w:eastAsia="Times New Roman" w:hAnsi="Calibri"/>
                <w:b/>
                <w:bCs/>
                <w:color w:val="000000"/>
              </w:rPr>
              <w:t>Prediction Error Max (h)</w:t>
            </w:r>
          </w:p>
        </w:tc>
        <w:tc>
          <w:tcPr>
            <w:tcW w:w="1276" w:type="dxa"/>
            <w:tcBorders>
              <w:top w:val="single" w:sz="4" w:space="0" w:color="auto"/>
              <w:left w:val="nil"/>
              <w:bottom w:val="single" w:sz="4" w:space="0" w:color="auto"/>
              <w:right w:val="nil"/>
            </w:tcBorders>
            <w:shd w:val="clear" w:color="auto" w:fill="auto"/>
            <w:vAlign w:val="bottom"/>
            <w:hideMark/>
          </w:tcPr>
          <w:p w14:paraId="463E3968" w14:textId="77777777" w:rsidR="00A82123" w:rsidRPr="00357C4A" w:rsidRDefault="00A82123" w:rsidP="004D51B5">
            <w:pPr>
              <w:jc w:val="center"/>
              <w:rPr>
                <w:rFonts w:ascii="Calibri" w:eastAsia="Times New Roman" w:hAnsi="Calibri"/>
                <w:b/>
                <w:bCs/>
                <w:color w:val="000000"/>
              </w:rPr>
            </w:pPr>
            <w:r w:rsidRPr="00357C4A">
              <w:rPr>
                <w:rFonts w:ascii="Calibri" w:eastAsia="Times New Roman" w:hAnsi="Calibri"/>
                <w:b/>
                <w:bCs/>
                <w:color w:val="000000"/>
              </w:rPr>
              <w:t xml:space="preserve">Prediction  within </w:t>
            </w:r>
            <w:r w:rsidRPr="00357C4A">
              <w:rPr>
                <w:rFonts w:ascii="Calibri" w:eastAsia="Times New Roman" w:hAnsi="Calibri"/>
                <w:b/>
                <w:bCs/>
                <w:color w:val="000000"/>
              </w:rPr>
              <w:sym w:font="Symbol" w:char="F0B1"/>
            </w:r>
            <w:r w:rsidRPr="00357C4A">
              <w:rPr>
                <w:rFonts w:ascii="Calibri" w:eastAsia="Times New Roman" w:hAnsi="Calibri"/>
                <w:b/>
                <w:bCs/>
                <w:color w:val="000000"/>
              </w:rPr>
              <w:t>30 min</w:t>
            </w:r>
          </w:p>
        </w:tc>
        <w:tc>
          <w:tcPr>
            <w:tcW w:w="1276" w:type="dxa"/>
            <w:tcBorders>
              <w:top w:val="single" w:sz="4" w:space="0" w:color="auto"/>
              <w:left w:val="nil"/>
              <w:bottom w:val="single" w:sz="4" w:space="0" w:color="auto"/>
              <w:right w:val="nil"/>
            </w:tcBorders>
            <w:shd w:val="clear" w:color="auto" w:fill="auto"/>
            <w:vAlign w:val="bottom"/>
            <w:hideMark/>
          </w:tcPr>
          <w:p w14:paraId="5C2D29CA" w14:textId="77777777" w:rsidR="00A82123" w:rsidRPr="00357C4A" w:rsidRDefault="00A82123" w:rsidP="004D51B5">
            <w:pPr>
              <w:jc w:val="center"/>
              <w:rPr>
                <w:rFonts w:ascii="Calibri" w:eastAsia="Times New Roman" w:hAnsi="Calibri"/>
                <w:b/>
                <w:bCs/>
                <w:color w:val="000000"/>
              </w:rPr>
            </w:pPr>
            <w:r w:rsidRPr="00357C4A">
              <w:rPr>
                <w:rFonts w:ascii="Calibri" w:eastAsia="Times New Roman" w:hAnsi="Calibri"/>
                <w:b/>
                <w:bCs/>
                <w:color w:val="000000"/>
              </w:rPr>
              <w:t xml:space="preserve">Prediction within </w:t>
            </w:r>
            <w:r w:rsidRPr="00357C4A">
              <w:rPr>
                <w:rFonts w:ascii="Calibri" w:eastAsia="Times New Roman" w:hAnsi="Calibri"/>
                <w:b/>
                <w:bCs/>
                <w:color w:val="000000"/>
              </w:rPr>
              <w:sym w:font="Symbol" w:char="F0B1"/>
            </w:r>
            <w:r w:rsidRPr="00357C4A">
              <w:rPr>
                <w:rFonts w:ascii="Calibri" w:eastAsia="Times New Roman" w:hAnsi="Calibri"/>
                <w:b/>
                <w:bCs/>
                <w:color w:val="000000"/>
              </w:rPr>
              <w:t>60 min</w:t>
            </w:r>
          </w:p>
        </w:tc>
        <w:tc>
          <w:tcPr>
            <w:tcW w:w="1276" w:type="dxa"/>
            <w:tcBorders>
              <w:top w:val="single" w:sz="4" w:space="0" w:color="auto"/>
              <w:left w:val="nil"/>
              <w:bottom w:val="single" w:sz="4" w:space="0" w:color="auto"/>
              <w:right w:val="nil"/>
            </w:tcBorders>
            <w:shd w:val="clear" w:color="auto" w:fill="auto"/>
            <w:vAlign w:val="bottom"/>
            <w:hideMark/>
          </w:tcPr>
          <w:p w14:paraId="4BA91082" w14:textId="77777777" w:rsidR="00A82123" w:rsidRPr="00357C4A" w:rsidRDefault="00A82123" w:rsidP="004D51B5">
            <w:pPr>
              <w:jc w:val="center"/>
              <w:rPr>
                <w:rFonts w:ascii="Calibri" w:eastAsia="Times New Roman" w:hAnsi="Calibri"/>
                <w:b/>
                <w:bCs/>
                <w:color w:val="000000"/>
              </w:rPr>
            </w:pPr>
            <w:r w:rsidRPr="00357C4A">
              <w:rPr>
                <w:rFonts w:ascii="Calibri" w:eastAsia="Times New Roman" w:hAnsi="Calibri"/>
                <w:b/>
                <w:bCs/>
                <w:color w:val="000000"/>
              </w:rPr>
              <w:t xml:space="preserve">Prediction within </w:t>
            </w:r>
            <w:r w:rsidRPr="00357C4A">
              <w:rPr>
                <w:rFonts w:ascii="Calibri" w:eastAsia="Times New Roman" w:hAnsi="Calibri"/>
                <w:b/>
                <w:bCs/>
                <w:color w:val="000000"/>
              </w:rPr>
              <w:sym w:font="Symbol" w:char="F0B1"/>
            </w:r>
            <w:r w:rsidRPr="00357C4A">
              <w:rPr>
                <w:rFonts w:ascii="Calibri" w:eastAsia="Times New Roman" w:hAnsi="Calibri"/>
                <w:b/>
                <w:bCs/>
                <w:color w:val="000000"/>
              </w:rPr>
              <w:t>120 min</w:t>
            </w:r>
          </w:p>
        </w:tc>
      </w:tr>
      <w:tr w:rsidR="00A82123" w:rsidRPr="00357C4A" w14:paraId="52166C94" w14:textId="77777777" w:rsidTr="004D51B5">
        <w:trPr>
          <w:trHeight w:val="320"/>
        </w:trPr>
        <w:tc>
          <w:tcPr>
            <w:tcW w:w="2239" w:type="dxa"/>
            <w:tcBorders>
              <w:top w:val="nil"/>
              <w:left w:val="nil"/>
              <w:bottom w:val="nil"/>
              <w:right w:val="nil"/>
            </w:tcBorders>
            <w:shd w:val="clear" w:color="auto" w:fill="auto"/>
            <w:noWrap/>
            <w:vAlign w:val="bottom"/>
          </w:tcPr>
          <w:p w14:paraId="6E49C8B2" w14:textId="77777777" w:rsidR="00A82123" w:rsidRPr="00357C4A" w:rsidRDefault="00A82123" w:rsidP="004D51B5">
            <w:pPr>
              <w:rPr>
                <w:rFonts w:ascii="Calibri" w:eastAsia="Times New Roman" w:hAnsi="Calibri"/>
                <w:i/>
                <w:color w:val="000000"/>
              </w:rPr>
            </w:pPr>
            <w:r w:rsidRPr="00357C4A">
              <w:rPr>
                <w:rFonts w:ascii="Calibri" w:eastAsia="Times New Roman" w:hAnsi="Calibri"/>
                <w:i/>
                <w:iCs/>
                <w:color w:val="000000"/>
              </w:rPr>
              <w:t>Night Schedule</w:t>
            </w:r>
          </w:p>
        </w:tc>
        <w:tc>
          <w:tcPr>
            <w:tcW w:w="602" w:type="dxa"/>
            <w:tcBorders>
              <w:top w:val="nil"/>
              <w:left w:val="nil"/>
              <w:bottom w:val="nil"/>
              <w:right w:val="nil"/>
            </w:tcBorders>
            <w:shd w:val="clear" w:color="auto" w:fill="auto"/>
            <w:noWrap/>
            <w:vAlign w:val="bottom"/>
          </w:tcPr>
          <w:p w14:paraId="1FA539F8" w14:textId="77777777" w:rsidR="00A82123" w:rsidRPr="00357C4A" w:rsidRDefault="00A82123" w:rsidP="004D51B5">
            <w:pPr>
              <w:jc w:val="center"/>
              <w:rPr>
                <w:rFonts w:ascii="Calibri" w:eastAsia="Times New Roman" w:hAnsi="Calibri"/>
                <w:color w:val="000000"/>
              </w:rPr>
            </w:pPr>
          </w:p>
        </w:tc>
        <w:tc>
          <w:tcPr>
            <w:tcW w:w="1383" w:type="dxa"/>
            <w:tcBorders>
              <w:top w:val="nil"/>
              <w:left w:val="nil"/>
              <w:bottom w:val="nil"/>
              <w:right w:val="nil"/>
            </w:tcBorders>
            <w:vAlign w:val="bottom"/>
          </w:tcPr>
          <w:p w14:paraId="20ADA8C0" w14:textId="77777777" w:rsidR="00A82123" w:rsidRPr="00357C4A" w:rsidRDefault="00A82123" w:rsidP="004D51B5">
            <w:pPr>
              <w:jc w:val="center"/>
              <w:rPr>
                <w:rFonts w:ascii="Calibri" w:eastAsia="Times New Roman" w:hAnsi="Calibri"/>
                <w:color w:val="000000"/>
              </w:rPr>
            </w:pPr>
          </w:p>
        </w:tc>
        <w:tc>
          <w:tcPr>
            <w:tcW w:w="1331" w:type="dxa"/>
            <w:tcBorders>
              <w:top w:val="nil"/>
              <w:left w:val="nil"/>
              <w:bottom w:val="nil"/>
              <w:right w:val="nil"/>
            </w:tcBorders>
            <w:vAlign w:val="bottom"/>
          </w:tcPr>
          <w:p w14:paraId="412F966E" w14:textId="77777777" w:rsidR="00A82123" w:rsidRPr="00357C4A" w:rsidRDefault="00A82123" w:rsidP="004D51B5">
            <w:pPr>
              <w:jc w:val="center"/>
              <w:rPr>
                <w:rFonts w:ascii="Calibri" w:eastAsia="Times New Roman" w:hAnsi="Calibri"/>
                <w:color w:val="000000"/>
              </w:rPr>
            </w:pPr>
          </w:p>
        </w:tc>
        <w:tc>
          <w:tcPr>
            <w:tcW w:w="1362" w:type="dxa"/>
            <w:tcBorders>
              <w:top w:val="nil"/>
              <w:left w:val="nil"/>
              <w:bottom w:val="nil"/>
              <w:right w:val="nil"/>
            </w:tcBorders>
            <w:shd w:val="clear" w:color="auto" w:fill="auto"/>
            <w:noWrap/>
            <w:vAlign w:val="bottom"/>
          </w:tcPr>
          <w:p w14:paraId="59AADB24" w14:textId="77777777" w:rsidR="00A82123" w:rsidRPr="00357C4A" w:rsidRDefault="00A82123" w:rsidP="004D51B5">
            <w:pPr>
              <w:jc w:val="center"/>
              <w:rPr>
                <w:rFonts w:ascii="Calibri" w:eastAsia="Times New Roman" w:hAnsi="Calibri"/>
                <w:color w:val="000000"/>
              </w:rPr>
            </w:pPr>
            <w:r w:rsidRPr="00357C4A">
              <w:rPr>
                <w:rFonts w:ascii="Calibri" w:eastAsia="Times New Roman" w:hAnsi="Calibri"/>
                <w:color w:val="000000"/>
              </w:rPr>
              <w:t> </w:t>
            </w:r>
          </w:p>
        </w:tc>
        <w:tc>
          <w:tcPr>
            <w:tcW w:w="1276" w:type="dxa"/>
            <w:tcBorders>
              <w:top w:val="nil"/>
              <w:left w:val="nil"/>
              <w:bottom w:val="nil"/>
              <w:right w:val="nil"/>
            </w:tcBorders>
            <w:shd w:val="clear" w:color="auto" w:fill="auto"/>
            <w:noWrap/>
            <w:vAlign w:val="bottom"/>
          </w:tcPr>
          <w:p w14:paraId="0AA5E479" w14:textId="77777777" w:rsidR="00A82123" w:rsidRPr="00357C4A" w:rsidRDefault="00A82123" w:rsidP="004D51B5">
            <w:pPr>
              <w:jc w:val="center"/>
              <w:rPr>
                <w:rFonts w:ascii="Calibri" w:eastAsia="Times New Roman" w:hAnsi="Calibri"/>
                <w:color w:val="000000"/>
              </w:rPr>
            </w:pPr>
            <w:r w:rsidRPr="00357C4A">
              <w:rPr>
                <w:rFonts w:ascii="Calibri" w:eastAsia="Times New Roman" w:hAnsi="Calibri"/>
                <w:color w:val="000000"/>
              </w:rPr>
              <w:t> </w:t>
            </w:r>
          </w:p>
        </w:tc>
        <w:tc>
          <w:tcPr>
            <w:tcW w:w="1276" w:type="dxa"/>
            <w:tcBorders>
              <w:top w:val="nil"/>
              <w:left w:val="nil"/>
              <w:bottom w:val="nil"/>
              <w:right w:val="nil"/>
            </w:tcBorders>
            <w:vAlign w:val="bottom"/>
          </w:tcPr>
          <w:p w14:paraId="193ABB1E" w14:textId="77777777" w:rsidR="00A82123" w:rsidRPr="00357C4A" w:rsidRDefault="00A82123" w:rsidP="004D51B5">
            <w:pPr>
              <w:jc w:val="center"/>
              <w:rPr>
                <w:rFonts w:ascii="Calibri" w:eastAsia="Times New Roman" w:hAnsi="Calibri"/>
                <w:color w:val="000000"/>
              </w:rPr>
            </w:pPr>
            <w:r w:rsidRPr="00357C4A">
              <w:rPr>
                <w:rFonts w:ascii="Calibri" w:eastAsia="Times New Roman" w:hAnsi="Calibri"/>
                <w:color w:val="000000"/>
              </w:rPr>
              <w:t> </w:t>
            </w:r>
          </w:p>
        </w:tc>
        <w:tc>
          <w:tcPr>
            <w:tcW w:w="1275" w:type="dxa"/>
            <w:tcBorders>
              <w:top w:val="nil"/>
              <w:left w:val="nil"/>
              <w:bottom w:val="nil"/>
              <w:right w:val="nil"/>
            </w:tcBorders>
            <w:shd w:val="clear" w:color="auto" w:fill="auto"/>
            <w:noWrap/>
            <w:vAlign w:val="bottom"/>
          </w:tcPr>
          <w:p w14:paraId="7D293A79" w14:textId="77777777" w:rsidR="00A82123" w:rsidRPr="00357C4A" w:rsidRDefault="00A82123" w:rsidP="004D51B5">
            <w:pPr>
              <w:jc w:val="center"/>
              <w:rPr>
                <w:rFonts w:ascii="Calibri" w:eastAsia="Times New Roman" w:hAnsi="Calibri"/>
                <w:color w:val="000000"/>
              </w:rPr>
            </w:pPr>
            <w:r w:rsidRPr="00357C4A">
              <w:rPr>
                <w:rFonts w:ascii="Calibri" w:eastAsia="Times New Roman" w:hAnsi="Calibri"/>
                <w:color w:val="000000"/>
              </w:rPr>
              <w:t> </w:t>
            </w:r>
          </w:p>
        </w:tc>
        <w:tc>
          <w:tcPr>
            <w:tcW w:w="1276" w:type="dxa"/>
            <w:tcBorders>
              <w:top w:val="nil"/>
              <w:left w:val="nil"/>
              <w:bottom w:val="nil"/>
              <w:right w:val="nil"/>
            </w:tcBorders>
            <w:shd w:val="clear" w:color="auto" w:fill="auto"/>
            <w:noWrap/>
            <w:vAlign w:val="bottom"/>
          </w:tcPr>
          <w:p w14:paraId="31B52639" w14:textId="77777777" w:rsidR="00A82123" w:rsidRPr="00357C4A" w:rsidRDefault="00A82123" w:rsidP="004D51B5">
            <w:pPr>
              <w:jc w:val="center"/>
              <w:rPr>
                <w:rFonts w:ascii="Calibri" w:eastAsia="Times New Roman" w:hAnsi="Calibri"/>
                <w:color w:val="000000"/>
              </w:rPr>
            </w:pPr>
            <w:r w:rsidRPr="00357C4A">
              <w:rPr>
                <w:rFonts w:ascii="Calibri" w:eastAsia="Times New Roman" w:hAnsi="Calibri"/>
                <w:color w:val="000000"/>
              </w:rPr>
              <w:t> </w:t>
            </w:r>
          </w:p>
        </w:tc>
        <w:tc>
          <w:tcPr>
            <w:tcW w:w="1276" w:type="dxa"/>
            <w:tcBorders>
              <w:top w:val="nil"/>
              <w:left w:val="nil"/>
              <w:bottom w:val="nil"/>
              <w:right w:val="nil"/>
            </w:tcBorders>
            <w:shd w:val="clear" w:color="auto" w:fill="auto"/>
            <w:noWrap/>
            <w:vAlign w:val="bottom"/>
          </w:tcPr>
          <w:p w14:paraId="0D8832B3" w14:textId="77777777" w:rsidR="00A82123" w:rsidRPr="00357C4A" w:rsidRDefault="00A82123" w:rsidP="004D51B5">
            <w:pPr>
              <w:jc w:val="center"/>
              <w:rPr>
                <w:rFonts w:ascii="Calibri" w:eastAsia="Times New Roman" w:hAnsi="Calibri"/>
                <w:color w:val="000000"/>
              </w:rPr>
            </w:pPr>
            <w:r w:rsidRPr="00357C4A">
              <w:rPr>
                <w:rFonts w:ascii="Calibri" w:eastAsia="Times New Roman" w:hAnsi="Calibri"/>
                <w:color w:val="000000"/>
              </w:rPr>
              <w:t> </w:t>
            </w:r>
          </w:p>
        </w:tc>
        <w:tc>
          <w:tcPr>
            <w:tcW w:w="1276" w:type="dxa"/>
            <w:tcBorders>
              <w:top w:val="nil"/>
              <w:left w:val="nil"/>
              <w:bottom w:val="nil"/>
              <w:right w:val="nil"/>
            </w:tcBorders>
            <w:shd w:val="clear" w:color="auto" w:fill="auto"/>
            <w:noWrap/>
            <w:vAlign w:val="bottom"/>
          </w:tcPr>
          <w:p w14:paraId="3D0DB646" w14:textId="77777777" w:rsidR="00A82123" w:rsidRPr="00357C4A" w:rsidRDefault="00A82123" w:rsidP="004D51B5">
            <w:pPr>
              <w:jc w:val="center"/>
              <w:rPr>
                <w:rFonts w:ascii="Calibri" w:eastAsia="Times New Roman" w:hAnsi="Calibri"/>
                <w:color w:val="000000"/>
              </w:rPr>
            </w:pPr>
            <w:r w:rsidRPr="00357C4A">
              <w:rPr>
                <w:rFonts w:ascii="Calibri" w:eastAsia="Times New Roman" w:hAnsi="Calibri"/>
                <w:color w:val="000000"/>
              </w:rPr>
              <w:t> </w:t>
            </w:r>
          </w:p>
        </w:tc>
      </w:tr>
      <w:tr w:rsidR="00A82123" w:rsidRPr="00357C4A" w14:paraId="014F9B10" w14:textId="77777777" w:rsidTr="004D51B5">
        <w:trPr>
          <w:trHeight w:val="320"/>
        </w:trPr>
        <w:tc>
          <w:tcPr>
            <w:tcW w:w="2239" w:type="dxa"/>
            <w:tcBorders>
              <w:top w:val="nil"/>
              <w:left w:val="nil"/>
              <w:bottom w:val="nil"/>
              <w:right w:val="nil"/>
            </w:tcBorders>
            <w:shd w:val="clear" w:color="auto" w:fill="auto"/>
            <w:noWrap/>
            <w:vAlign w:val="bottom"/>
            <w:hideMark/>
          </w:tcPr>
          <w:p w14:paraId="415038BE" w14:textId="77777777" w:rsidR="00A82123" w:rsidRPr="00357C4A" w:rsidRDefault="00A82123" w:rsidP="004D51B5">
            <w:pPr>
              <w:rPr>
                <w:rFonts w:ascii="Calibri" w:eastAsia="Times New Roman" w:hAnsi="Calibri"/>
                <w:color w:val="000000"/>
              </w:rPr>
            </w:pPr>
            <w:r w:rsidRPr="00357C4A">
              <w:rPr>
                <w:rFonts w:ascii="Calibri" w:eastAsia="Times New Roman" w:hAnsi="Calibri"/>
                <w:color w:val="000000"/>
              </w:rPr>
              <w:t>Photic Oracle Model</w:t>
            </w:r>
          </w:p>
        </w:tc>
        <w:tc>
          <w:tcPr>
            <w:tcW w:w="602" w:type="dxa"/>
            <w:tcBorders>
              <w:top w:val="nil"/>
              <w:left w:val="nil"/>
              <w:bottom w:val="nil"/>
              <w:right w:val="nil"/>
            </w:tcBorders>
            <w:shd w:val="clear" w:color="auto" w:fill="auto"/>
            <w:noWrap/>
            <w:vAlign w:val="bottom"/>
            <w:hideMark/>
          </w:tcPr>
          <w:p w14:paraId="3D9D95BC" w14:textId="77777777" w:rsidR="00A82123" w:rsidRPr="00357C4A" w:rsidRDefault="00A82123" w:rsidP="004D51B5">
            <w:pPr>
              <w:jc w:val="center"/>
              <w:rPr>
                <w:rFonts w:ascii="Calibri" w:eastAsia="Times New Roman" w:hAnsi="Calibri"/>
                <w:color w:val="000000"/>
              </w:rPr>
            </w:pPr>
            <w:r w:rsidRPr="00357C4A">
              <w:rPr>
                <w:rFonts w:ascii="Calibri" w:eastAsia="Times New Roman" w:hAnsi="Calibri"/>
                <w:color w:val="000000"/>
              </w:rPr>
              <w:t>25</w:t>
            </w:r>
          </w:p>
        </w:tc>
        <w:tc>
          <w:tcPr>
            <w:tcW w:w="1383" w:type="dxa"/>
            <w:tcBorders>
              <w:top w:val="nil"/>
              <w:left w:val="nil"/>
              <w:bottom w:val="nil"/>
              <w:right w:val="nil"/>
            </w:tcBorders>
            <w:vAlign w:val="bottom"/>
          </w:tcPr>
          <w:p w14:paraId="6186166D" w14:textId="77777777" w:rsidR="00A82123" w:rsidRPr="00357C4A" w:rsidRDefault="00A82123" w:rsidP="004D51B5">
            <w:pPr>
              <w:jc w:val="center"/>
              <w:rPr>
                <w:rFonts w:ascii="Calibri" w:eastAsia="Times New Roman" w:hAnsi="Calibri"/>
                <w:color w:val="000000"/>
              </w:rPr>
            </w:pPr>
            <w:r w:rsidRPr="00357C4A">
              <w:rPr>
                <w:rFonts w:ascii="Calibri" w:eastAsia="Times New Roman" w:hAnsi="Calibri"/>
                <w:color w:val="000000"/>
              </w:rPr>
              <w:t>4.54 (0.77)</w:t>
            </w:r>
          </w:p>
        </w:tc>
        <w:tc>
          <w:tcPr>
            <w:tcW w:w="1331" w:type="dxa"/>
            <w:tcBorders>
              <w:top w:val="nil"/>
              <w:left w:val="nil"/>
              <w:bottom w:val="nil"/>
              <w:right w:val="nil"/>
            </w:tcBorders>
            <w:vAlign w:val="bottom"/>
          </w:tcPr>
          <w:p w14:paraId="70173839" w14:textId="77777777" w:rsidR="00A82123" w:rsidRPr="00357C4A" w:rsidRDefault="00A82123" w:rsidP="004D51B5">
            <w:pPr>
              <w:jc w:val="center"/>
              <w:rPr>
                <w:rFonts w:ascii="Calibri" w:eastAsia="Times New Roman" w:hAnsi="Calibri"/>
                <w:color w:val="000000"/>
              </w:rPr>
            </w:pPr>
            <w:r w:rsidRPr="00357C4A">
              <w:rPr>
                <w:rFonts w:ascii="Calibri" w:eastAsia="Times New Roman" w:hAnsi="Calibri"/>
                <w:color w:val="000000"/>
              </w:rPr>
              <w:t>3.00 - 5.72</w:t>
            </w:r>
          </w:p>
        </w:tc>
        <w:tc>
          <w:tcPr>
            <w:tcW w:w="1362" w:type="dxa"/>
            <w:tcBorders>
              <w:top w:val="nil"/>
              <w:left w:val="nil"/>
              <w:bottom w:val="nil"/>
              <w:right w:val="nil"/>
            </w:tcBorders>
            <w:shd w:val="clear" w:color="auto" w:fill="auto"/>
            <w:noWrap/>
            <w:vAlign w:val="bottom"/>
            <w:hideMark/>
          </w:tcPr>
          <w:p w14:paraId="45D4E0BD" w14:textId="77777777" w:rsidR="00A82123" w:rsidRPr="00357C4A" w:rsidRDefault="00A82123" w:rsidP="004D51B5">
            <w:pPr>
              <w:jc w:val="center"/>
              <w:rPr>
                <w:rFonts w:ascii="Calibri" w:eastAsia="Times New Roman" w:hAnsi="Calibri"/>
                <w:color w:val="000000"/>
              </w:rPr>
            </w:pPr>
            <w:r w:rsidRPr="00357C4A">
              <w:rPr>
                <w:rFonts w:ascii="Calibri" w:eastAsia="Times New Roman" w:hAnsi="Calibri"/>
                <w:color w:val="000000"/>
              </w:rPr>
              <w:t>0.78 (1.44)</w:t>
            </w:r>
          </w:p>
        </w:tc>
        <w:tc>
          <w:tcPr>
            <w:tcW w:w="1276" w:type="dxa"/>
            <w:tcBorders>
              <w:top w:val="nil"/>
              <w:left w:val="nil"/>
              <w:bottom w:val="nil"/>
              <w:right w:val="nil"/>
            </w:tcBorders>
            <w:shd w:val="clear" w:color="auto" w:fill="auto"/>
            <w:noWrap/>
            <w:vAlign w:val="bottom"/>
            <w:hideMark/>
          </w:tcPr>
          <w:p w14:paraId="12BE7A38" w14:textId="77777777" w:rsidR="00A82123" w:rsidRPr="00357C4A" w:rsidRDefault="00A82123" w:rsidP="004D51B5">
            <w:pPr>
              <w:jc w:val="center"/>
              <w:rPr>
                <w:rFonts w:ascii="Calibri" w:eastAsia="Times New Roman" w:hAnsi="Calibri"/>
                <w:color w:val="000000"/>
              </w:rPr>
            </w:pPr>
            <w:r w:rsidRPr="00357C4A">
              <w:rPr>
                <w:rFonts w:ascii="Calibri" w:eastAsia="Times New Roman" w:hAnsi="Calibri"/>
                <w:color w:val="000000"/>
              </w:rPr>
              <w:t>1.20</w:t>
            </w:r>
            <w:r>
              <w:rPr>
                <w:rFonts w:ascii="Calibri" w:eastAsia="Times New Roman" w:hAnsi="Calibri"/>
                <w:color w:val="000000"/>
              </w:rPr>
              <w:t xml:space="preserve"> (1.10)</w:t>
            </w:r>
          </w:p>
        </w:tc>
        <w:tc>
          <w:tcPr>
            <w:tcW w:w="1276" w:type="dxa"/>
            <w:tcBorders>
              <w:top w:val="nil"/>
              <w:left w:val="nil"/>
              <w:bottom w:val="nil"/>
              <w:right w:val="nil"/>
            </w:tcBorders>
            <w:vAlign w:val="bottom"/>
          </w:tcPr>
          <w:p w14:paraId="30637BBB" w14:textId="77777777" w:rsidR="00A82123" w:rsidRPr="00357C4A" w:rsidRDefault="00A82123" w:rsidP="004D51B5">
            <w:pPr>
              <w:jc w:val="center"/>
              <w:rPr>
                <w:rFonts w:ascii="Calibri" w:eastAsia="Times New Roman" w:hAnsi="Calibri"/>
                <w:color w:val="000000"/>
              </w:rPr>
            </w:pPr>
            <w:r w:rsidRPr="00357C4A">
              <w:rPr>
                <w:rFonts w:ascii="Calibri" w:eastAsia="Times New Roman" w:hAnsi="Calibri"/>
                <w:color w:val="000000"/>
              </w:rPr>
              <w:t>0.01</w:t>
            </w:r>
          </w:p>
        </w:tc>
        <w:tc>
          <w:tcPr>
            <w:tcW w:w="1275" w:type="dxa"/>
            <w:tcBorders>
              <w:top w:val="nil"/>
              <w:left w:val="nil"/>
              <w:bottom w:val="nil"/>
              <w:right w:val="nil"/>
            </w:tcBorders>
            <w:shd w:val="clear" w:color="auto" w:fill="auto"/>
            <w:noWrap/>
            <w:vAlign w:val="bottom"/>
            <w:hideMark/>
          </w:tcPr>
          <w:p w14:paraId="738E700D" w14:textId="77777777" w:rsidR="00A82123" w:rsidRPr="00357C4A" w:rsidRDefault="00A82123" w:rsidP="004D51B5">
            <w:pPr>
              <w:jc w:val="center"/>
              <w:rPr>
                <w:rFonts w:ascii="Calibri" w:eastAsia="Times New Roman" w:hAnsi="Calibri"/>
                <w:color w:val="000000"/>
              </w:rPr>
            </w:pPr>
            <w:r w:rsidRPr="00357C4A">
              <w:rPr>
                <w:rFonts w:ascii="Calibri" w:eastAsia="Times New Roman" w:hAnsi="Calibri"/>
                <w:color w:val="000000"/>
              </w:rPr>
              <w:t>4.67</w:t>
            </w:r>
          </w:p>
        </w:tc>
        <w:tc>
          <w:tcPr>
            <w:tcW w:w="1276" w:type="dxa"/>
            <w:tcBorders>
              <w:top w:val="nil"/>
              <w:left w:val="nil"/>
              <w:bottom w:val="nil"/>
              <w:right w:val="nil"/>
            </w:tcBorders>
            <w:shd w:val="clear" w:color="auto" w:fill="auto"/>
            <w:noWrap/>
            <w:vAlign w:val="bottom"/>
            <w:hideMark/>
          </w:tcPr>
          <w:p w14:paraId="3A6D88A0" w14:textId="77777777" w:rsidR="00A82123" w:rsidRPr="00357C4A" w:rsidRDefault="00A82123" w:rsidP="004D51B5">
            <w:pPr>
              <w:jc w:val="center"/>
              <w:rPr>
                <w:rFonts w:ascii="Calibri" w:eastAsia="Times New Roman" w:hAnsi="Calibri"/>
                <w:color w:val="000000"/>
              </w:rPr>
            </w:pPr>
            <w:r w:rsidRPr="00357C4A">
              <w:rPr>
                <w:rFonts w:ascii="Calibri" w:eastAsia="Times New Roman" w:hAnsi="Calibri"/>
                <w:color w:val="000000"/>
              </w:rPr>
              <w:t>32%</w:t>
            </w:r>
          </w:p>
        </w:tc>
        <w:tc>
          <w:tcPr>
            <w:tcW w:w="1276" w:type="dxa"/>
            <w:tcBorders>
              <w:top w:val="nil"/>
              <w:left w:val="nil"/>
              <w:bottom w:val="nil"/>
              <w:right w:val="nil"/>
            </w:tcBorders>
            <w:shd w:val="clear" w:color="auto" w:fill="auto"/>
            <w:noWrap/>
            <w:vAlign w:val="bottom"/>
            <w:hideMark/>
          </w:tcPr>
          <w:p w14:paraId="171F3D2A" w14:textId="77777777" w:rsidR="00A82123" w:rsidRPr="00357C4A" w:rsidRDefault="00A82123" w:rsidP="004D51B5">
            <w:pPr>
              <w:jc w:val="center"/>
              <w:rPr>
                <w:rFonts w:ascii="Calibri" w:eastAsia="Times New Roman" w:hAnsi="Calibri"/>
                <w:color w:val="000000"/>
              </w:rPr>
            </w:pPr>
            <w:r w:rsidRPr="00357C4A">
              <w:rPr>
                <w:rFonts w:ascii="Calibri" w:eastAsia="Times New Roman" w:hAnsi="Calibri"/>
                <w:color w:val="000000"/>
              </w:rPr>
              <w:t>52%</w:t>
            </w:r>
          </w:p>
        </w:tc>
        <w:tc>
          <w:tcPr>
            <w:tcW w:w="1276" w:type="dxa"/>
            <w:tcBorders>
              <w:top w:val="nil"/>
              <w:left w:val="nil"/>
              <w:bottom w:val="nil"/>
              <w:right w:val="nil"/>
            </w:tcBorders>
            <w:shd w:val="clear" w:color="auto" w:fill="auto"/>
            <w:noWrap/>
            <w:vAlign w:val="bottom"/>
            <w:hideMark/>
          </w:tcPr>
          <w:p w14:paraId="247A4256" w14:textId="77777777" w:rsidR="00A82123" w:rsidRPr="00357C4A" w:rsidRDefault="00A82123" w:rsidP="004D51B5">
            <w:pPr>
              <w:jc w:val="center"/>
              <w:rPr>
                <w:rFonts w:ascii="Calibri" w:eastAsia="Times New Roman" w:hAnsi="Calibri"/>
                <w:color w:val="000000"/>
              </w:rPr>
            </w:pPr>
            <w:r w:rsidRPr="00357C4A">
              <w:rPr>
                <w:rFonts w:ascii="Calibri" w:eastAsia="Times New Roman" w:hAnsi="Calibri"/>
                <w:color w:val="000000"/>
              </w:rPr>
              <w:t>80%</w:t>
            </w:r>
          </w:p>
        </w:tc>
      </w:tr>
      <w:tr w:rsidR="00A82123" w:rsidRPr="00357C4A" w14:paraId="662B2624" w14:textId="77777777" w:rsidTr="004D51B5">
        <w:trPr>
          <w:trHeight w:val="320"/>
        </w:trPr>
        <w:tc>
          <w:tcPr>
            <w:tcW w:w="2239" w:type="dxa"/>
            <w:tcBorders>
              <w:top w:val="nil"/>
              <w:left w:val="nil"/>
              <w:bottom w:val="nil"/>
              <w:right w:val="nil"/>
            </w:tcBorders>
            <w:shd w:val="clear" w:color="auto" w:fill="auto"/>
            <w:noWrap/>
            <w:vAlign w:val="bottom"/>
            <w:hideMark/>
          </w:tcPr>
          <w:p w14:paraId="65FC62AB" w14:textId="77777777" w:rsidR="00A82123" w:rsidRPr="00357C4A" w:rsidRDefault="00A82123" w:rsidP="004D51B5">
            <w:pPr>
              <w:rPr>
                <w:rFonts w:ascii="Calibri" w:eastAsia="Times New Roman" w:hAnsi="Calibri"/>
                <w:color w:val="000000"/>
              </w:rPr>
            </w:pPr>
            <w:r w:rsidRPr="00357C4A">
              <w:rPr>
                <w:rFonts w:ascii="Calibri" w:eastAsia="Times New Roman" w:hAnsi="Calibri"/>
                <w:color w:val="000000"/>
              </w:rPr>
              <w:t>PNP Oracle Model</w:t>
            </w:r>
          </w:p>
        </w:tc>
        <w:tc>
          <w:tcPr>
            <w:tcW w:w="602" w:type="dxa"/>
            <w:tcBorders>
              <w:top w:val="nil"/>
              <w:left w:val="nil"/>
              <w:bottom w:val="nil"/>
              <w:right w:val="nil"/>
            </w:tcBorders>
            <w:shd w:val="clear" w:color="auto" w:fill="auto"/>
            <w:noWrap/>
            <w:vAlign w:val="bottom"/>
            <w:hideMark/>
          </w:tcPr>
          <w:p w14:paraId="1E621A42" w14:textId="77777777" w:rsidR="00A82123" w:rsidRPr="00357C4A" w:rsidRDefault="00A82123" w:rsidP="004D51B5">
            <w:pPr>
              <w:jc w:val="center"/>
              <w:rPr>
                <w:rFonts w:ascii="Calibri" w:eastAsia="Times New Roman" w:hAnsi="Calibri"/>
                <w:color w:val="000000"/>
              </w:rPr>
            </w:pPr>
            <w:r w:rsidRPr="00357C4A">
              <w:rPr>
                <w:rFonts w:ascii="Calibri" w:eastAsia="Times New Roman" w:hAnsi="Calibri"/>
                <w:color w:val="000000"/>
              </w:rPr>
              <w:t>25</w:t>
            </w:r>
          </w:p>
        </w:tc>
        <w:tc>
          <w:tcPr>
            <w:tcW w:w="1383" w:type="dxa"/>
            <w:tcBorders>
              <w:top w:val="nil"/>
              <w:left w:val="nil"/>
              <w:bottom w:val="nil"/>
              <w:right w:val="nil"/>
            </w:tcBorders>
            <w:vAlign w:val="bottom"/>
          </w:tcPr>
          <w:p w14:paraId="349616A4" w14:textId="77777777" w:rsidR="00A82123" w:rsidRPr="00357C4A" w:rsidRDefault="00A82123" w:rsidP="004D51B5">
            <w:pPr>
              <w:jc w:val="center"/>
              <w:rPr>
                <w:rFonts w:ascii="Calibri" w:eastAsia="Times New Roman" w:hAnsi="Calibri"/>
                <w:color w:val="000000"/>
              </w:rPr>
            </w:pPr>
            <w:r w:rsidRPr="00357C4A">
              <w:rPr>
                <w:rFonts w:ascii="Calibri" w:eastAsia="Times New Roman" w:hAnsi="Calibri"/>
                <w:color w:val="000000"/>
              </w:rPr>
              <w:t>5.33 (1.11)</w:t>
            </w:r>
          </w:p>
        </w:tc>
        <w:tc>
          <w:tcPr>
            <w:tcW w:w="1331" w:type="dxa"/>
            <w:tcBorders>
              <w:top w:val="nil"/>
              <w:left w:val="nil"/>
              <w:bottom w:val="nil"/>
              <w:right w:val="nil"/>
            </w:tcBorders>
            <w:vAlign w:val="bottom"/>
          </w:tcPr>
          <w:p w14:paraId="7CEF620C" w14:textId="77777777" w:rsidR="00A82123" w:rsidRPr="00357C4A" w:rsidRDefault="00A82123" w:rsidP="004D51B5">
            <w:pPr>
              <w:jc w:val="center"/>
              <w:rPr>
                <w:rFonts w:ascii="Calibri" w:eastAsia="Times New Roman" w:hAnsi="Calibri"/>
                <w:color w:val="000000"/>
              </w:rPr>
            </w:pPr>
            <w:r w:rsidRPr="00357C4A">
              <w:rPr>
                <w:rFonts w:ascii="Calibri" w:eastAsia="Times New Roman" w:hAnsi="Calibri"/>
                <w:color w:val="000000"/>
              </w:rPr>
              <w:t>3.49 - 7.74</w:t>
            </w:r>
          </w:p>
        </w:tc>
        <w:tc>
          <w:tcPr>
            <w:tcW w:w="1362" w:type="dxa"/>
            <w:tcBorders>
              <w:top w:val="nil"/>
              <w:left w:val="nil"/>
              <w:bottom w:val="nil"/>
              <w:right w:val="nil"/>
            </w:tcBorders>
            <w:shd w:val="clear" w:color="auto" w:fill="auto"/>
            <w:noWrap/>
            <w:vAlign w:val="bottom"/>
            <w:hideMark/>
          </w:tcPr>
          <w:p w14:paraId="069169B6" w14:textId="77777777" w:rsidR="00A82123" w:rsidRPr="00357C4A" w:rsidRDefault="00A82123" w:rsidP="004D51B5">
            <w:pPr>
              <w:jc w:val="center"/>
              <w:rPr>
                <w:rFonts w:ascii="Calibri" w:eastAsia="Times New Roman" w:hAnsi="Calibri"/>
                <w:color w:val="000000"/>
              </w:rPr>
            </w:pPr>
            <w:r w:rsidRPr="00357C4A">
              <w:rPr>
                <w:rFonts w:ascii="Calibri" w:eastAsia="Times New Roman" w:hAnsi="Calibri"/>
                <w:color w:val="000000"/>
              </w:rPr>
              <w:t>-0.01 (1.22)</w:t>
            </w:r>
          </w:p>
        </w:tc>
        <w:tc>
          <w:tcPr>
            <w:tcW w:w="1276" w:type="dxa"/>
            <w:tcBorders>
              <w:top w:val="nil"/>
              <w:left w:val="nil"/>
              <w:bottom w:val="nil"/>
              <w:right w:val="nil"/>
            </w:tcBorders>
            <w:shd w:val="clear" w:color="auto" w:fill="auto"/>
            <w:noWrap/>
            <w:vAlign w:val="bottom"/>
            <w:hideMark/>
          </w:tcPr>
          <w:p w14:paraId="13912EA1" w14:textId="77777777" w:rsidR="00A82123" w:rsidRPr="00357C4A" w:rsidRDefault="00A82123" w:rsidP="004D51B5">
            <w:pPr>
              <w:jc w:val="center"/>
              <w:rPr>
                <w:rFonts w:ascii="Calibri" w:eastAsia="Times New Roman" w:hAnsi="Calibri"/>
                <w:color w:val="000000"/>
              </w:rPr>
            </w:pPr>
            <w:r w:rsidRPr="00357C4A">
              <w:rPr>
                <w:rFonts w:ascii="Calibri" w:eastAsia="Times New Roman" w:hAnsi="Calibri"/>
                <w:color w:val="000000"/>
              </w:rPr>
              <w:t>0.94</w:t>
            </w:r>
            <w:r>
              <w:rPr>
                <w:rFonts w:ascii="Calibri" w:eastAsia="Times New Roman" w:hAnsi="Calibri"/>
                <w:color w:val="000000"/>
              </w:rPr>
              <w:t xml:space="preserve"> (0.75)</w:t>
            </w:r>
          </w:p>
        </w:tc>
        <w:tc>
          <w:tcPr>
            <w:tcW w:w="1276" w:type="dxa"/>
            <w:tcBorders>
              <w:top w:val="nil"/>
              <w:left w:val="nil"/>
              <w:bottom w:val="nil"/>
              <w:right w:val="nil"/>
            </w:tcBorders>
            <w:vAlign w:val="bottom"/>
          </w:tcPr>
          <w:p w14:paraId="43B6A337" w14:textId="77777777" w:rsidR="00A82123" w:rsidRPr="00357C4A" w:rsidRDefault="00A82123" w:rsidP="004D51B5">
            <w:pPr>
              <w:jc w:val="center"/>
              <w:rPr>
                <w:rFonts w:ascii="Calibri" w:eastAsia="Times New Roman" w:hAnsi="Calibri"/>
                <w:color w:val="000000"/>
              </w:rPr>
            </w:pPr>
            <w:r w:rsidRPr="00357C4A">
              <w:rPr>
                <w:rFonts w:ascii="Calibri" w:eastAsia="Times New Roman" w:hAnsi="Calibri"/>
                <w:color w:val="000000"/>
              </w:rPr>
              <w:t>0.00</w:t>
            </w:r>
          </w:p>
        </w:tc>
        <w:tc>
          <w:tcPr>
            <w:tcW w:w="1275" w:type="dxa"/>
            <w:tcBorders>
              <w:top w:val="nil"/>
              <w:left w:val="nil"/>
              <w:bottom w:val="nil"/>
              <w:right w:val="nil"/>
            </w:tcBorders>
            <w:shd w:val="clear" w:color="auto" w:fill="auto"/>
            <w:noWrap/>
            <w:vAlign w:val="bottom"/>
            <w:hideMark/>
          </w:tcPr>
          <w:p w14:paraId="50A04ED2" w14:textId="77777777" w:rsidR="00A82123" w:rsidRPr="00357C4A" w:rsidRDefault="00A82123" w:rsidP="004D51B5">
            <w:pPr>
              <w:jc w:val="center"/>
              <w:rPr>
                <w:rFonts w:ascii="Calibri" w:eastAsia="Times New Roman" w:hAnsi="Calibri"/>
                <w:color w:val="000000"/>
              </w:rPr>
            </w:pPr>
            <w:r w:rsidRPr="00357C4A">
              <w:rPr>
                <w:rFonts w:ascii="Calibri" w:eastAsia="Times New Roman" w:hAnsi="Calibri"/>
                <w:color w:val="000000"/>
              </w:rPr>
              <w:t>3.09</w:t>
            </w:r>
          </w:p>
        </w:tc>
        <w:tc>
          <w:tcPr>
            <w:tcW w:w="1276" w:type="dxa"/>
            <w:tcBorders>
              <w:top w:val="nil"/>
              <w:left w:val="nil"/>
              <w:bottom w:val="nil"/>
              <w:right w:val="nil"/>
            </w:tcBorders>
            <w:shd w:val="clear" w:color="auto" w:fill="auto"/>
            <w:noWrap/>
            <w:vAlign w:val="bottom"/>
            <w:hideMark/>
          </w:tcPr>
          <w:p w14:paraId="30FC9FF6" w14:textId="77777777" w:rsidR="00A82123" w:rsidRPr="00357C4A" w:rsidRDefault="00A82123" w:rsidP="004D51B5">
            <w:pPr>
              <w:jc w:val="center"/>
              <w:rPr>
                <w:rFonts w:ascii="Calibri" w:eastAsia="Times New Roman" w:hAnsi="Calibri"/>
                <w:color w:val="000000"/>
              </w:rPr>
            </w:pPr>
            <w:r w:rsidRPr="00357C4A">
              <w:rPr>
                <w:rFonts w:ascii="Calibri" w:eastAsia="Times New Roman" w:hAnsi="Calibri"/>
                <w:color w:val="000000"/>
              </w:rPr>
              <w:t>28%</w:t>
            </w:r>
          </w:p>
        </w:tc>
        <w:tc>
          <w:tcPr>
            <w:tcW w:w="1276" w:type="dxa"/>
            <w:tcBorders>
              <w:top w:val="nil"/>
              <w:left w:val="nil"/>
              <w:bottom w:val="nil"/>
              <w:right w:val="nil"/>
            </w:tcBorders>
            <w:shd w:val="clear" w:color="auto" w:fill="auto"/>
            <w:noWrap/>
            <w:vAlign w:val="bottom"/>
            <w:hideMark/>
          </w:tcPr>
          <w:p w14:paraId="669179C1" w14:textId="77777777" w:rsidR="00A82123" w:rsidRPr="00357C4A" w:rsidRDefault="00A82123" w:rsidP="004D51B5">
            <w:pPr>
              <w:jc w:val="center"/>
              <w:rPr>
                <w:rFonts w:ascii="Calibri" w:eastAsia="Times New Roman" w:hAnsi="Calibri"/>
                <w:color w:val="000000"/>
              </w:rPr>
            </w:pPr>
            <w:r w:rsidRPr="00357C4A">
              <w:rPr>
                <w:rFonts w:ascii="Calibri" w:eastAsia="Times New Roman" w:hAnsi="Calibri"/>
                <w:color w:val="000000"/>
              </w:rPr>
              <w:t>68%</w:t>
            </w:r>
          </w:p>
        </w:tc>
        <w:tc>
          <w:tcPr>
            <w:tcW w:w="1276" w:type="dxa"/>
            <w:tcBorders>
              <w:top w:val="nil"/>
              <w:left w:val="nil"/>
              <w:bottom w:val="nil"/>
              <w:right w:val="nil"/>
            </w:tcBorders>
            <w:shd w:val="clear" w:color="auto" w:fill="auto"/>
            <w:noWrap/>
            <w:vAlign w:val="bottom"/>
            <w:hideMark/>
          </w:tcPr>
          <w:p w14:paraId="75F8D5B3" w14:textId="77777777" w:rsidR="00A82123" w:rsidRPr="00357C4A" w:rsidRDefault="00A82123" w:rsidP="004D51B5">
            <w:pPr>
              <w:jc w:val="center"/>
              <w:rPr>
                <w:rFonts w:ascii="Calibri" w:eastAsia="Times New Roman" w:hAnsi="Calibri"/>
                <w:color w:val="000000"/>
              </w:rPr>
            </w:pPr>
            <w:r w:rsidRPr="00357C4A">
              <w:rPr>
                <w:rFonts w:ascii="Calibri" w:eastAsia="Times New Roman" w:hAnsi="Calibri"/>
                <w:color w:val="000000"/>
              </w:rPr>
              <w:t>92%</w:t>
            </w:r>
          </w:p>
        </w:tc>
      </w:tr>
      <w:tr w:rsidR="00A82123" w:rsidRPr="00357C4A" w14:paraId="703AA260" w14:textId="77777777" w:rsidTr="004D51B5">
        <w:trPr>
          <w:trHeight w:val="320"/>
        </w:trPr>
        <w:tc>
          <w:tcPr>
            <w:tcW w:w="2239" w:type="dxa"/>
            <w:tcBorders>
              <w:top w:val="nil"/>
              <w:left w:val="nil"/>
              <w:right w:val="nil"/>
            </w:tcBorders>
            <w:shd w:val="clear" w:color="auto" w:fill="auto"/>
            <w:noWrap/>
            <w:vAlign w:val="bottom"/>
          </w:tcPr>
          <w:p w14:paraId="2063257F" w14:textId="77777777" w:rsidR="00A82123" w:rsidRPr="00357C4A" w:rsidRDefault="00A82123" w:rsidP="004D51B5">
            <w:pPr>
              <w:rPr>
                <w:rFonts w:ascii="Calibri" w:eastAsia="Times New Roman" w:hAnsi="Calibri"/>
                <w:i/>
                <w:color w:val="000000"/>
              </w:rPr>
            </w:pPr>
            <w:r w:rsidRPr="00357C4A">
              <w:rPr>
                <w:rFonts w:ascii="Calibri" w:eastAsia="Times New Roman" w:hAnsi="Calibri"/>
                <w:i/>
                <w:iCs/>
                <w:color w:val="000000"/>
              </w:rPr>
              <w:t>Phase Shift</w:t>
            </w:r>
          </w:p>
        </w:tc>
        <w:tc>
          <w:tcPr>
            <w:tcW w:w="602" w:type="dxa"/>
            <w:tcBorders>
              <w:top w:val="nil"/>
              <w:left w:val="nil"/>
              <w:right w:val="nil"/>
            </w:tcBorders>
            <w:shd w:val="clear" w:color="auto" w:fill="auto"/>
            <w:noWrap/>
            <w:vAlign w:val="bottom"/>
          </w:tcPr>
          <w:p w14:paraId="16A23AA0" w14:textId="77777777" w:rsidR="00A82123" w:rsidRPr="00357C4A" w:rsidRDefault="00A82123" w:rsidP="004D51B5">
            <w:pPr>
              <w:jc w:val="center"/>
              <w:rPr>
                <w:rFonts w:ascii="Calibri" w:eastAsia="Times New Roman" w:hAnsi="Calibri"/>
                <w:color w:val="000000"/>
              </w:rPr>
            </w:pPr>
          </w:p>
        </w:tc>
        <w:tc>
          <w:tcPr>
            <w:tcW w:w="1383" w:type="dxa"/>
            <w:tcBorders>
              <w:top w:val="nil"/>
              <w:left w:val="nil"/>
              <w:right w:val="nil"/>
            </w:tcBorders>
            <w:vAlign w:val="bottom"/>
          </w:tcPr>
          <w:p w14:paraId="68AFDC85" w14:textId="77777777" w:rsidR="00A82123" w:rsidRPr="00357C4A" w:rsidRDefault="00A82123" w:rsidP="004D51B5">
            <w:pPr>
              <w:jc w:val="center"/>
              <w:rPr>
                <w:rFonts w:ascii="Calibri" w:eastAsia="Times New Roman" w:hAnsi="Calibri"/>
                <w:color w:val="000000"/>
              </w:rPr>
            </w:pPr>
          </w:p>
        </w:tc>
        <w:tc>
          <w:tcPr>
            <w:tcW w:w="1331" w:type="dxa"/>
            <w:tcBorders>
              <w:top w:val="nil"/>
              <w:left w:val="nil"/>
              <w:right w:val="nil"/>
            </w:tcBorders>
            <w:vAlign w:val="bottom"/>
          </w:tcPr>
          <w:p w14:paraId="3DABD6B3" w14:textId="77777777" w:rsidR="00A82123" w:rsidRPr="00357C4A" w:rsidRDefault="00A82123" w:rsidP="004D51B5">
            <w:pPr>
              <w:jc w:val="center"/>
              <w:rPr>
                <w:rFonts w:ascii="Calibri" w:eastAsia="Times New Roman" w:hAnsi="Calibri"/>
                <w:color w:val="000000"/>
              </w:rPr>
            </w:pPr>
          </w:p>
        </w:tc>
        <w:tc>
          <w:tcPr>
            <w:tcW w:w="1362" w:type="dxa"/>
            <w:tcBorders>
              <w:top w:val="nil"/>
              <w:left w:val="nil"/>
              <w:right w:val="nil"/>
            </w:tcBorders>
            <w:shd w:val="clear" w:color="auto" w:fill="auto"/>
            <w:noWrap/>
            <w:vAlign w:val="bottom"/>
          </w:tcPr>
          <w:p w14:paraId="04585896" w14:textId="77777777" w:rsidR="00A82123" w:rsidRPr="00357C4A" w:rsidRDefault="00A82123" w:rsidP="004D51B5">
            <w:pPr>
              <w:jc w:val="center"/>
              <w:rPr>
                <w:rFonts w:ascii="Calibri" w:eastAsia="Times New Roman" w:hAnsi="Calibri"/>
                <w:color w:val="000000"/>
              </w:rPr>
            </w:pPr>
            <w:r w:rsidRPr="00357C4A">
              <w:rPr>
                <w:rFonts w:ascii="Calibri" w:eastAsia="Times New Roman" w:hAnsi="Calibri"/>
                <w:color w:val="000000"/>
              </w:rPr>
              <w:t> </w:t>
            </w:r>
          </w:p>
        </w:tc>
        <w:tc>
          <w:tcPr>
            <w:tcW w:w="1276" w:type="dxa"/>
            <w:tcBorders>
              <w:top w:val="nil"/>
              <w:left w:val="nil"/>
              <w:right w:val="nil"/>
            </w:tcBorders>
            <w:shd w:val="clear" w:color="auto" w:fill="auto"/>
            <w:noWrap/>
            <w:vAlign w:val="bottom"/>
          </w:tcPr>
          <w:p w14:paraId="4C4B37E0" w14:textId="77777777" w:rsidR="00A82123" w:rsidRPr="00357C4A" w:rsidRDefault="00A82123" w:rsidP="004D51B5">
            <w:pPr>
              <w:jc w:val="center"/>
              <w:rPr>
                <w:rFonts w:ascii="Calibri" w:eastAsia="Times New Roman" w:hAnsi="Calibri"/>
                <w:color w:val="000000"/>
              </w:rPr>
            </w:pPr>
            <w:r w:rsidRPr="00357C4A">
              <w:rPr>
                <w:rFonts w:ascii="Calibri" w:eastAsia="Times New Roman" w:hAnsi="Calibri"/>
                <w:color w:val="000000"/>
              </w:rPr>
              <w:t> </w:t>
            </w:r>
          </w:p>
        </w:tc>
        <w:tc>
          <w:tcPr>
            <w:tcW w:w="1276" w:type="dxa"/>
            <w:tcBorders>
              <w:top w:val="nil"/>
              <w:left w:val="nil"/>
              <w:right w:val="nil"/>
            </w:tcBorders>
            <w:vAlign w:val="bottom"/>
          </w:tcPr>
          <w:p w14:paraId="7CAB6DDA" w14:textId="77777777" w:rsidR="00A82123" w:rsidRPr="00357C4A" w:rsidRDefault="00A82123" w:rsidP="004D51B5">
            <w:pPr>
              <w:jc w:val="center"/>
              <w:rPr>
                <w:rFonts w:ascii="Calibri" w:eastAsia="Times New Roman" w:hAnsi="Calibri"/>
                <w:color w:val="000000"/>
              </w:rPr>
            </w:pPr>
            <w:r w:rsidRPr="00357C4A">
              <w:rPr>
                <w:rFonts w:ascii="Calibri" w:eastAsia="Times New Roman" w:hAnsi="Calibri"/>
                <w:color w:val="000000"/>
              </w:rPr>
              <w:t> </w:t>
            </w:r>
          </w:p>
        </w:tc>
        <w:tc>
          <w:tcPr>
            <w:tcW w:w="1275" w:type="dxa"/>
            <w:tcBorders>
              <w:top w:val="nil"/>
              <w:left w:val="nil"/>
              <w:right w:val="nil"/>
            </w:tcBorders>
            <w:shd w:val="clear" w:color="auto" w:fill="auto"/>
            <w:noWrap/>
            <w:vAlign w:val="bottom"/>
          </w:tcPr>
          <w:p w14:paraId="57A25076" w14:textId="77777777" w:rsidR="00A82123" w:rsidRPr="00357C4A" w:rsidRDefault="00A82123" w:rsidP="004D51B5">
            <w:pPr>
              <w:jc w:val="center"/>
              <w:rPr>
                <w:rFonts w:ascii="Calibri" w:eastAsia="Times New Roman" w:hAnsi="Calibri"/>
                <w:color w:val="000000"/>
              </w:rPr>
            </w:pPr>
            <w:r w:rsidRPr="00357C4A">
              <w:rPr>
                <w:rFonts w:ascii="Calibri" w:eastAsia="Times New Roman" w:hAnsi="Calibri"/>
                <w:color w:val="000000"/>
              </w:rPr>
              <w:t> </w:t>
            </w:r>
          </w:p>
        </w:tc>
        <w:tc>
          <w:tcPr>
            <w:tcW w:w="1276" w:type="dxa"/>
            <w:tcBorders>
              <w:top w:val="nil"/>
              <w:left w:val="nil"/>
              <w:right w:val="nil"/>
            </w:tcBorders>
            <w:shd w:val="clear" w:color="auto" w:fill="auto"/>
            <w:noWrap/>
            <w:vAlign w:val="bottom"/>
          </w:tcPr>
          <w:p w14:paraId="08F599E9" w14:textId="77777777" w:rsidR="00A82123" w:rsidRPr="00357C4A" w:rsidRDefault="00A82123" w:rsidP="004D51B5">
            <w:pPr>
              <w:jc w:val="center"/>
              <w:rPr>
                <w:rFonts w:ascii="Calibri" w:eastAsia="Times New Roman" w:hAnsi="Calibri"/>
                <w:color w:val="000000"/>
              </w:rPr>
            </w:pPr>
            <w:r w:rsidRPr="00357C4A">
              <w:rPr>
                <w:rFonts w:ascii="Calibri" w:eastAsia="Times New Roman" w:hAnsi="Calibri"/>
                <w:color w:val="000000"/>
              </w:rPr>
              <w:t> </w:t>
            </w:r>
          </w:p>
        </w:tc>
        <w:tc>
          <w:tcPr>
            <w:tcW w:w="1276" w:type="dxa"/>
            <w:tcBorders>
              <w:top w:val="nil"/>
              <w:left w:val="nil"/>
              <w:right w:val="nil"/>
            </w:tcBorders>
            <w:shd w:val="clear" w:color="auto" w:fill="auto"/>
            <w:noWrap/>
            <w:vAlign w:val="bottom"/>
          </w:tcPr>
          <w:p w14:paraId="511E275B" w14:textId="77777777" w:rsidR="00A82123" w:rsidRPr="00357C4A" w:rsidRDefault="00A82123" w:rsidP="004D51B5">
            <w:pPr>
              <w:jc w:val="center"/>
              <w:rPr>
                <w:rFonts w:ascii="Calibri" w:eastAsia="Times New Roman" w:hAnsi="Calibri"/>
                <w:color w:val="000000"/>
              </w:rPr>
            </w:pPr>
            <w:r w:rsidRPr="00357C4A">
              <w:rPr>
                <w:rFonts w:ascii="Calibri" w:eastAsia="Times New Roman" w:hAnsi="Calibri"/>
                <w:color w:val="000000"/>
              </w:rPr>
              <w:t> </w:t>
            </w:r>
          </w:p>
        </w:tc>
        <w:tc>
          <w:tcPr>
            <w:tcW w:w="1276" w:type="dxa"/>
            <w:tcBorders>
              <w:top w:val="nil"/>
              <w:left w:val="nil"/>
              <w:right w:val="nil"/>
            </w:tcBorders>
            <w:shd w:val="clear" w:color="auto" w:fill="auto"/>
            <w:noWrap/>
            <w:vAlign w:val="bottom"/>
          </w:tcPr>
          <w:p w14:paraId="0CD8B23E" w14:textId="77777777" w:rsidR="00A82123" w:rsidRPr="00357C4A" w:rsidRDefault="00A82123" w:rsidP="004D51B5">
            <w:pPr>
              <w:jc w:val="center"/>
              <w:rPr>
                <w:rFonts w:ascii="Calibri" w:eastAsia="Times New Roman" w:hAnsi="Calibri"/>
                <w:color w:val="000000"/>
              </w:rPr>
            </w:pPr>
            <w:r w:rsidRPr="00357C4A">
              <w:rPr>
                <w:rFonts w:ascii="Calibri" w:eastAsia="Times New Roman" w:hAnsi="Calibri"/>
                <w:color w:val="000000"/>
              </w:rPr>
              <w:t> </w:t>
            </w:r>
          </w:p>
        </w:tc>
      </w:tr>
      <w:tr w:rsidR="00A82123" w:rsidRPr="00357C4A" w14:paraId="641A3B2C" w14:textId="77777777" w:rsidTr="004D51B5">
        <w:trPr>
          <w:trHeight w:val="320"/>
        </w:trPr>
        <w:tc>
          <w:tcPr>
            <w:tcW w:w="2239" w:type="dxa"/>
            <w:tcBorders>
              <w:top w:val="nil"/>
              <w:left w:val="nil"/>
              <w:right w:val="nil"/>
            </w:tcBorders>
            <w:shd w:val="clear" w:color="auto" w:fill="auto"/>
            <w:noWrap/>
            <w:vAlign w:val="bottom"/>
            <w:hideMark/>
          </w:tcPr>
          <w:p w14:paraId="14744360" w14:textId="77777777" w:rsidR="00A82123" w:rsidRPr="00357C4A" w:rsidRDefault="00A82123" w:rsidP="004D51B5">
            <w:pPr>
              <w:rPr>
                <w:rFonts w:ascii="Calibri" w:eastAsia="Times New Roman" w:hAnsi="Calibri"/>
                <w:color w:val="000000"/>
              </w:rPr>
            </w:pPr>
            <w:r w:rsidRPr="00357C4A">
              <w:rPr>
                <w:rFonts w:ascii="Calibri" w:eastAsia="Times New Roman" w:hAnsi="Calibri"/>
                <w:color w:val="000000"/>
              </w:rPr>
              <w:t>Photic Oracle Model</w:t>
            </w:r>
          </w:p>
        </w:tc>
        <w:tc>
          <w:tcPr>
            <w:tcW w:w="602" w:type="dxa"/>
            <w:tcBorders>
              <w:top w:val="nil"/>
              <w:left w:val="nil"/>
              <w:right w:val="nil"/>
            </w:tcBorders>
            <w:shd w:val="clear" w:color="auto" w:fill="auto"/>
            <w:noWrap/>
            <w:vAlign w:val="bottom"/>
            <w:hideMark/>
          </w:tcPr>
          <w:p w14:paraId="4B496F26" w14:textId="77777777" w:rsidR="00A82123" w:rsidRPr="00357C4A" w:rsidRDefault="00A82123" w:rsidP="004D51B5">
            <w:pPr>
              <w:jc w:val="center"/>
              <w:rPr>
                <w:rFonts w:ascii="Calibri" w:eastAsia="Times New Roman" w:hAnsi="Calibri"/>
                <w:color w:val="000000"/>
              </w:rPr>
            </w:pPr>
            <w:r w:rsidRPr="00357C4A">
              <w:rPr>
                <w:rFonts w:ascii="Calibri" w:eastAsia="Times New Roman" w:hAnsi="Calibri"/>
                <w:color w:val="000000"/>
              </w:rPr>
              <w:t>25</w:t>
            </w:r>
          </w:p>
        </w:tc>
        <w:tc>
          <w:tcPr>
            <w:tcW w:w="1383" w:type="dxa"/>
            <w:tcBorders>
              <w:top w:val="nil"/>
              <w:left w:val="nil"/>
              <w:right w:val="nil"/>
            </w:tcBorders>
            <w:vAlign w:val="bottom"/>
          </w:tcPr>
          <w:p w14:paraId="5B39E443" w14:textId="77777777" w:rsidR="00A82123" w:rsidRPr="00357C4A" w:rsidRDefault="00A82123" w:rsidP="004D51B5">
            <w:pPr>
              <w:jc w:val="center"/>
              <w:rPr>
                <w:rFonts w:ascii="Calibri" w:eastAsia="Times New Roman" w:hAnsi="Calibri"/>
                <w:color w:val="000000"/>
              </w:rPr>
            </w:pPr>
            <w:r w:rsidRPr="00357C4A">
              <w:rPr>
                <w:rFonts w:ascii="Calibri" w:eastAsia="Times New Roman" w:hAnsi="Calibri"/>
                <w:color w:val="000000"/>
              </w:rPr>
              <w:t>-0.71 (0.75)</w:t>
            </w:r>
          </w:p>
        </w:tc>
        <w:tc>
          <w:tcPr>
            <w:tcW w:w="1331" w:type="dxa"/>
            <w:tcBorders>
              <w:top w:val="nil"/>
              <w:left w:val="nil"/>
              <w:right w:val="nil"/>
            </w:tcBorders>
            <w:vAlign w:val="bottom"/>
          </w:tcPr>
          <w:p w14:paraId="56F6C7EA" w14:textId="77777777" w:rsidR="00A82123" w:rsidRPr="00357C4A" w:rsidRDefault="00A82123" w:rsidP="004D51B5">
            <w:pPr>
              <w:jc w:val="center"/>
              <w:rPr>
                <w:rFonts w:ascii="Calibri" w:eastAsia="Times New Roman" w:hAnsi="Calibri"/>
                <w:color w:val="000000"/>
              </w:rPr>
            </w:pPr>
            <w:r w:rsidRPr="00357C4A">
              <w:rPr>
                <w:rFonts w:ascii="Calibri" w:eastAsia="Times New Roman" w:hAnsi="Calibri"/>
                <w:color w:val="000000"/>
              </w:rPr>
              <w:t>-2.41 - 0.70</w:t>
            </w:r>
          </w:p>
        </w:tc>
        <w:tc>
          <w:tcPr>
            <w:tcW w:w="1362" w:type="dxa"/>
            <w:tcBorders>
              <w:top w:val="nil"/>
              <w:left w:val="nil"/>
              <w:right w:val="nil"/>
            </w:tcBorders>
            <w:shd w:val="clear" w:color="auto" w:fill="auto"/>
            <w:noWrap/>
            <w:vAlign w:val="bottom"/>
            <w:hideMark/>
          </w:tcPr>
          <w:p w14:paraId="54603339" w14:textId="77777777" w:rsidR="00A82123" w:rsidRPr="00357C4A" w:rsidRDefault="00A82123" w:rsidP="004D51B5">
            <w:pPr>
              <w:jc w:val="center"/>
              <w:rPr>
                <w:rFonts w:ascii="Calibri" w:eastAsia="Times New Roman" w:hAnsi="Calibri"/>
                <w:color w:val="000000"/>
              </w:rPr>
            </w:pPr>
            <w:r w:rsidRPr="00357C4A">
              <w:rPr>
                <w:rFonts w:ascii="Calibri" w:eastAsia="Times New Roman" w:hAnsi="Calibri"/>
                <w:color w:val="000000"/>
              </w:rPr>
              <w:t>-0.64 (1.52)</w:t>
            </w:r>
          </w:p>
        </w:tc>
        <w:tc>
          <w:tcPr>
            <w:tcW w:w="1276" w:type="dxa"/>
            <w:tcBorders>
              <w:top w:val="nil"/>
              <w:left w:val="nil"/>
              <w:right w:val="nil"/>
            </w:tcBorders>
            <w:shd w:val="clear" w:color="auto" w:fill="auto"/>
            <w:noWrap/>
            <w:vAlign w:val="bottom"/>
            <w:hideMark/>
          </w:tcPr>
          <w:p w14:paraId="0999FC09" w14:textId="77777777" w:rsidR="00A82123" w:rsidRPr="00357C4A" w:rsidRDefault="00A82123" w:rsidP="004D51B5">
            <w:pPr>
              <w:jc w:val="center"/>
              <w:rPr>
                <w:rFonts w:ascii="Calibri" w:eastAsia="Times New Roman" w:hAnsi="Calibri"/>
                <w:color w:val="000000"/>
              </w:rPr>
            </w:pPr>
            <w:r w:rsidRPr="00357C4A">
              <w:rPr>
                <w:rFonts w:ascii="Calibri" w:eastAsia="Times New Roman" w:hAnsi="Calibri"/>
                <w:color w:val="000000"/>
              </w:rPr>
              <w:t>1.26</w:t>
            </w:r>
            <w:r>
              <w:rPr>
                <w:rFonts w:ascii="Calibri" w:eastAsia="Times New Roman" w:hAnsi="Calibri"/>
                <w:color w:val="000000"/>
              </w:rPr>
              <w:t xml:space="preserve"> (1.03)</w:t>
            </w:r>
          </w:p>
        </w:tc>
        <w:tc>
          <w:tcPr>
            <w:tcW w:w="1276" w:type="dxa"/>
            <w:tcBorders>
              <w:top w:val="nil"/>
              <w:left w:val="nil"/>
              <w:right w:val="nil"/>
            </w:tcBorders>
            <w:vAlign w:val="bottom"/>
          </w:tcPr>
          <w:p w14:paraId="73668F14" w14:textId="77777777" w:rsidR="00A82123" w:rsidRPr="00357C4A" w:rsidRDefault="00A82123" w:rsidP="004D51B5">
            <w:pPr>
              <w:jc w:val="center"/>
              <w:rPr>
                <w:rFonts w:ascii="Calibri" w:eastAsia="Times New Roman" w:hAnsi="Calibri"/>
                <w:color w:val="000000"/>
              </w:rPr>
            </w:pPr>
            <w:r w:rsidRPr="00357C4A">
              <w:rPr>
                <w:rFonts w:ascii="Calibri" w:eastAsia="Times New Roman" w:hAnsi="Calibri"/>
                <w:color w:val="000000"/>
              </w:rPr>
              <w:t>0.01</w:t>
            </w:r>
          </w:p>
        </w:tc>
        <w:tc>
          <w:tcPr>
            <w:tcW w:w="1275" w:type="dxa"/>
            <w:tcBorders>
              <w:top w:val="nil"/>
              <w:left w:val="nil"/>
              <w:right w:val="nil"/>
            </w:tcBorders>
            <w:shd w:val="clear" w:color="auto" w:fill="auto"/>
            <w:noWrap/>
            <w:vAlign w:val="bottom"/>
            <w:hideMark/>
          </w:tcPr>
          <w:p w14:paraId="408BD9BE" w14:textId="77777777" w:rsidR="00A82123" w:rsidRPr="00357C4A" w:rsidRDefault="00A82123" w:rsidP="004D51B5">
            <w:pPr>
              <w:jc w:val="center"/>
              <w:rPr>
                <w:rFonts w:ascii="Calibri" w:eastAsia="Times New Roman" w:hAnsi="Calibri"/>
                <w:color w:val="000000"/>
              </w:rPr>
            </w:pPr>
            <w:r w:rsidRPr="00357C4A">
              <w:rPr>
                <w:rFonts w:ascii="Calibri" w:eastAsia="Times New Roman" w:hAnsi="Calibri"/>
                <w:color w:val="000000"/>
              </w:rPr>
              <w:t>3.67</w:t>
            </w:r>
          </w:p>
        </w:tc>
        <w:tc>
          <w:tcPr>
            <w:tcW w:w="1276" w:type="dxa"/>
            <w:tcBorders>
              <w:top w:val="nil"/>
              <w:left w:val="nil"/>
              <w:right w:val="nil"/>
            </w:tcBorders>
            <w:shd w:val="clear" w:color="auto" w:fill="auto"/>
            <w:noWrap/>
            <w:vAlign w:val="bottom"/>
            <w:hideMark/>
          </w:tcPr>
          <w:p w14:paraId="502D2204" w14:textId="77777777" w:rsidR="00A82123" w:rsidRPr="00357C4A" w:rsidRDefault="00A82123" w:rsidP="004D51B5">
            <w:pPr>
              <w:jc w:val="center"/>
              <w:rPr>
                <w:rFonts w:ascii="Calibri" w:eastAsia="Times New Roman" w:hAnsi="Calibri"/>
                <w:color w:val="000000"/>
              </w:rPr>
            </w:pPr>
            <w:r w:rsidRPr="00357C4A">
              <w:rPr>
                <w:rFonts w:ascii="Calibri" w:eastAsia="Times New Roman" w:hAnsi="Calibri"/>
                <w:color w:val="000000"/>
              </w:rPr>
              <w:t>32%</w:t>
            </w:r>
          </w:p>
        </w:tc>
        <w:tc>
          <w:tcPr>
            <w:tcW w:w="1276" w:type="dxa"/>
            <w:tcBorders>
              <w:top w:val="nil"/>
              <w:left w:val="nil"/>
              <w:right w:val="nil"/>
            </w:tcBorders>
            <w:shd w:val="clear" w:color="auto" w:fill="auto"/>
            <w:noWrap/>
            <w:vAlign w:val="bottom"/>
            <w:hideMark/>
          </w:tcPr>
          <w:p w14:paraId="6E7EE50B" w14:textId="77777777" w:rsidR="00A82123" w:rsidRPr="00357C4A" w:rsidRDefault="00A82123" w:rsidP="004D51B5">
            <w:pPr>
              <w:jc w:val="center"/>
              <w:rPr>
                <w:rFonts w:ascii="Calibri" w:eastAsia="Times New Roman" w:hAnsi="Calibri"/>
                <w:color w:val="000000"/>
              </w:rPr>
            </w:pPr>
            <w:r w:rsidRPr="00357C4A">
              <w:rPr>
                <w:rFonts w:ascii="Calibri" w:eastAsia="Times New Roman" w:hAnsi="Calibri"/>
                <w:color w:val="000000"/>
              </w:rPr>
              <w:t>52%</w:t>
            </w:r>
          </w:p>
        </w:tc>
        <w:tc>
          <w:tcPr>
            <w:tcW w:w="1276" w:type="dxa"/>
            <w:tcBorders>
              <w:top w:val="nil"/>
              <w:left w:val="nil"/>
              <w:right w:val="nil"/>
            </w:tcBorders>
            <w:shd w:val="clear" w:color="auto" w:fill="auto"/>
            <w:noWrap/>
            <w:vAlign w:val="bottom"/>
            <w:hideMark/>
          </w:tcPr>
          <w:p w14:paraId="1525BEED" w14:textId="77777777" w:rsidR="00A82123" w:rsidRPr="00357C4A" w:rsidRDefault="00A82123" w:rsidP="004D51B5">
            <w:pPr>
              <w:jc w:val="center"/>
              <w:rPr>
                <w:rFonts w:ascii="Calibri" w:eastAsia="Times New Roman" w:hAnsi="Calibri"/>
                <w:color w:val="000000"/>
              </w:rPr>
            </w:pPr>
            <w:r w:rsidRPr="00357C4A">
              <w:rPr>
                <w:rFonts w:ascii="Calibri" w:eastAsia="Times New Roman" w:hAnsi="Calibri"/>
                <w:color w:val="000000"/>
              </w:rPr>
              <w:t>76%</w:t>
            </w:r>
          </w:p>
        </w:tc>
      </w:tr>
      <w:tr w:rsidR="00A82123" w:rsidRPr="00357C4A" w14:paraId="3A0C7D52" w14:textId="77777777" w:rsidTr="004D51B5">
        <w:trPr>
          <w:trHeight w:val="320"/>
        </w:trPr>
        <w:tc>
          <w:tcPr>
            <w:tcW w:w="2239" w:type="dxa"/>
            <w:tcBorders>
              <w:top w:val="nil"/>
              <w:left w:val="nil"/>
              <w:bottom w:val="single" w:sz="4" w:space="0" w:color="auto"/>
              <w:right w:val="nil"/>
            </w:tcBorders>
            <w:shd w:val="clear" w:color="auto" w:fill="auto"/>
            <w:noWrap/>
            <w:vAlign w:val="bottom"/>
            <w:hideMark/>
          </w:tcPr>
          <w:p w14:paraId="5D5D0636" w14:textId="77777777" w:rsidR="00A82123" w:rsidRPr="00357C4A" w:rsidRDefault="00A82123" w:rsidP="004D51B5">
            <w:pPr>
              <w:rPr>
                <w:rFonts w:ascii="Calibri" w:eastAsia="Times New Roman" w:hAnsi="Calibri"/>
                <w:color w:val="000000"/>
              </w:rPr>
            </w:pPr>
            <w:r w:rsidRPr="00357C4A">
              <w:rPr>
                <w:rFonts w:ascii="Calibri" w:eastAsia="Times New Roman" w:hAnsi="Calibri"/>
                <w:color w:val="000000"/>
              </w:rPr>
              <w:t>PNP Oracle Model</w:t>
            </w:r>
          </w:p>
        </w:tc>
        <w:tc>
          <w:tcPr>
            <w:tcW w:w="602" w:type="dxa"/>
            <w:tcBorders>
              <w:top w:val="nil"/>
              <w:left w:val="nil"/>
              <w:bottom w:val="single" w:sz="4" w:space="0" w:color="auto"/>
              <w:right w:val="nil"/>
            </w:tcBorders>
            <w:shd w:val="clear" w:color="auto" w:fill="auto"/>
            <w:noWrap/>
            <w:vAlign w:val="bottom"/>
            <w:hideMark/>
          </w:tcPr>
          <w:p w14:paraId="54C42FCA" w14:textId="77777777" w:rsidR="00A82123" w:rsidRPr="00357C4A" w:rsidRDefault="00A82123" w:rsidP="004D51B5">
            <w:pPr>
              <w:jc w:val="center"/>
              <w:rPr>
                <w:rFonts w:ascii="Calibri" w:eastAsia="Times New Roman" w:hAnsi="Calibri"/>
                <w:color w:val="000000"/>
              </w:rPr>
            </w:pPr>
            <w:r w:rsidRPr="00357C4A">
              <w:rPr>
                <w:rFonts w:ascii="Calibri" w:eastAsia="Times New Roman" w:hAnsi="Calibri"/>
                <w:color w:val="000000"/>
              </w:rPr>
              <w:t>25</w:t>
            </w:r>
          </w:p>
        </w:tc>
        <w:tc>
          <w:tcPr>
            <w:tcW w:w="1383" w:type="dxa"/>
            <w:tcBorders>
              <w:top w:val="nil"/>
              <w:left w:val="nil"/>
              <w:bottom w:val="single" w:sz="4" w:space="0" w:color="auto"/>
              <w:right w:val="nil"/>
            </w:tcBorders>
            <w:vAlign w:val="bottom"/>
          </w:tcPr>
          <w:p w14:paraId="056A40FD" w14:textId="77777777" w:rsidR="00A82123" w:rsidRPr="00357C4A" w:rsidRDefault="00A82123" w:rsidP="004D51B5">
            <w:pPr>
              <w:jc w:val="center"/>
              <w:rPr>
                <w:rFonts w:ascii="Calibri" w:eastAsia="Times New Roman" w:hAnsi="Calibri"/>
                <w:color w:val="000000"/>
              </w:rPr>
            </w:pPr>
            <w:r w:rsidRPr="00357C4A">
              <w:rPr>
                <w:rFonts w:ascii="Calibri" w:eastAsia="Times New Roman" w:hAnsi="Calibri"/>
                <w:color w:val="000000"/>
              </w:rPr>
              <w:t>-1.70 (1.05)</w:t>
            </w:r>
          </w:p>
        </w:tc>
        <w:tc>
          <w:tcPr>
            <w:tcW w:w="1331" w:type="dxa"/>
            <w:tcBorders>
              <w:top w:val="nil"/>
              <w:left w:val="nil"/>
              <w:bottom w:val="single" w:sz="4" w:space="0" w:color="auto"/>
              <w:right w:val="nil"/>
            </w:tcBorders>
            <w:vAlign w:val="bottom"/>
          </w:tcPr>
          <w:p w14:paraId="584BCCE7" w14:textId="77777777" w:rsidR="00A82123" w:rsidRPr="00357C4A" w:rsidRDefault="00A82123" w:rsidP="004D51B5">
            <w:pPr>
              <w:jc w:val="center"/>
              <w:rPr>
                <w:rFonts w:ascii="Calibri" w:eastAsia="Times New Roman" w:hAnsi="Calibri"/>
                <w:color w:val="000000"/>
              </w:rPr>
            </w:pPr>
            <w:r w:rsidRPr="00357C4A">
              <w:rPr>
                <w:rFonts w:ascii="Calibri" w:eastAsia="Times New Roman" w:hAnsi="Calibri"/>
                <w:color w:val="000000"/>
              </w:rPr>
              <w:t>-3.61 - 0.09</w:t>
            </w:r>
          </w:p>
        </w:tc>
        <w:tc>
          <w:tcPr>
            <w:tcW w:w="1362" w:type="dxa"/>
            <w:tcBorders>
              <w:top w:val="nil"/>
              <w:left w:val="nil"/>
              <w:bottom w:val="single" w:sz="4" w:space="0" w:color="auto"/>
              <w:right w:val="nil"/>
            </w:tcBorders>
            <w:shd w:val="clear" w:color="auto" w:fill="auto"/>
            <w:noWrap/>
            <w:vAlign w:val="bottom"/>
            <w:hideMark/>
          </w:tcPr>
          <w:p w14:paraId="6F008D16" w14:textId="77777777" w:rsidR="00A82123" w:rsidRPr="00357C4A" w:rsidRDefault="00A82123" w:rsidP="004D51B5">
            <w:pPr>
              <w:jc w:val="center"/>
              <w:rPr>
                <w:rFonts w:ascii="Calibri" w:eastAsia="Times New Roman" w:hAnsi="Calibri"/>
                <w:color w:val="000000"/>
              </w:rPr>
            </w:pPr>
            <w:r w:rsidRPr="00357C4A">
              <w:rPr>
                <w:rFonts w:ascii="Calibri" w:eastAsia="Times New Roman" w:hAnsi="Calibri"/>
                <w:color w:val="000000"/>
              </w:rPr>
              <w:t>0.35 (1.32)</w:t>
            </w:r>
          </w:p>
        </w:tc>
        <w:tc>
          <w:tcPr>
            <w:tcW w:w="1276" w:type="dxa"/>
            <w:tcBorders>
              <w:top w:val="nil"/>
              <w:left w:val="nil"/>
              <w:bottom w:val="single" w:sz="4" w:space="0" w:color="auto"/>
              <w:right w:val="nil"/>
            </w:tcBorders>
            <w:shd w:val="clear" w:color="auto" w:fill="auto"/>
            <w:noWrap/>
            <w:vAlign w:val="bottom"/>
            <w:hideMark/>
          </w:tcPr>
          <w:p w14:paraId="033176AA" w14:textId="77777777" w:rsidR="00A82123" w:rsidRPr="00357C4A" w:rsidRDefault="00A82123" w:rsidP="004D51B5">
            <w:pPr>
              <w:jc w:val="center"/>
              <w:rPr>
                <w:rFonts w:ascii="Calibri" w:eastAsia="Times New Roman" w:hAnsi="Calibri"/>
                <w:color w:val="000000"/>
              </w:rPr>
            </w:pPr>
            <w:r w:rsidRPr="00357C4A">
              <w:rPr>
                <w:rFonts w:ascii="Calibri" w:eastAsia="Times New Roman" w:hAnsi="Calibri"/>
                <w:color w:val="000000"/>
              </w:rPr>
              <w:t>1.04</w:t>
            </w:r>
            <w:r>
              <w:rPr>
                <w:rFonts w:ascii="Calibri" w:eastAsia="Times New Roman" w:hAnsi="Calibri"/>
                <w:color w:val="000000"/>
              </w:rPr>
              <w:t xml:space="preserve"> (0.86)</w:t>
            </w:r>
          </w:p>
        </w:tc>
        <w:tc>
          <w:tcPr>
            <w:tcW w:w="1276" w:type="dxa"/>
            <w:tcBorders>
              <w:top w:val="nil"/>
              <w:left w:val="nil"/>
              <w:bottom w:val="single" w:sz="4" w:space="0" w:color="auto"/>
              <w:right w:val="nil"/>
            </w:tcBorders>
            <w:vAlign w:val="bottom"/>
          </w:tcPr>
          <w:p w14:paraId="1BA1FA01" w14:textId="77777777" w:rsidR="00A82123" w:rsidRPr="00357C4A" w:rsidRDefault="00A82123" w:rsidP="004D51B5">
            <w:pPr>
              <w:jc w:val="center"/>
              <w:rPr>
                <w:rFonts w:ascii="Calibri" w:eastAsia="Times New Roman" w:hAnsi="Calibri"/>
                <w:color w:val="000000"/>
              </w:rPr>
            </w:pPr>
            <w:r w:rsidRPr="00357C4A">
              <w:rPr>
                <w:rFonts w:ascii="Calibri" w:eastAsia="Times New Roman" w:hAnsi="Calibri"/>
                <w:color w:val="000000"/>
              </w:rPr>
              <w:t>0.08</w:t>
            </w:r>
          </w:p>
        </w:tc>
        <w:tc>
          <w:tcPr>
            <w:tcW w:w="1275" w:type="dxa"/>
            <w:tcBorders>
              <w:top w:val="nil"/>
              <w:left w:val="nil"/>
              <w:bottom w:val="single" w:sz="4" w:space="0" w:color="auto"/>
              <w:right w:val="nil"/>
            </w:tcBorders>
            <w:shd w:val="clear" w:color="auto" w:fill="auto"/>
            <w:noWrap/>
            <w:vAlign w:val="bottom"/>
            <w:hideMark/>
          </w:tcPr>
          <w:p w14:paraId="3000AC38" w14:textId="77777777" w:rsidR="00A82123" w:rsidRPr="00357C4A" w:rsidRDefault="00A82123" w:rsidP="004D51B5">
            <w:pPr>
              <w:jc w:val="center"/>
              <w:rPr>
                <w:rFonts w:ascii="Calibri" w:eastAsia="Times New Roman" w:hAnsi="Calibri"/>
                <w:color w:val="000000"/>
              </w:rPr>
            </w:pPr>
            <w:r w:rsidRPr="00357C4A">
              <w:rPr>
                <w:rFonts w:ascii="Calibri" w:eastAsia="Times New Roman" w:hAnsi="Calibri"/>
                <w:color w:val="000000"/>
              </w:rPr>
              <w:t>3.19</w:t>
            </w:r>
          </w:p>
        </w:tc>
        <w:tc>
          <w:tcPr>
            <w:tcW w:w="1276" w:type="dxa"/>
            <w:tcBorders>
              <w:top w:val="nil"/>
              <w:left w:val="nil"/>
              <w:bottom w:val="single" w:sz="4" w:space="0" w:color="auto"/>
              <w:right w:val="nil"/>
            </w:tcBorders>
            <w:shd w:val="clear" w:color="auto" w:fill="auto"/>
            <w:noWrap/>
            <w:vAlign w:val="bottom"/>
            <w:hideMark/>
          </w:tcPr>
          <w:p w14:paraId="24DB9F23" w14:textId="77777777" w:rsidR="00A82123" w:rsidRPr="00357C4A" w:rsidRDefault="00A82123" w:rsidP="004D51B5">
            <w:pPr>
              <w:jc w:val="center"/>
              <w:rPr>
                <w:rFonts w:ascii="Calibri" w:eastAsia="Times New Roman" w:hAnsi="Calibri"/>
                <w:color w:val="000000"/>
              </w:rPr>
            </w:pPr>
            <w:r w:rsidRPr="00357C4A">
              <w:rPr>
                <w:rFonts w:ascii="Calibri" w:eastAsia="Times New Roman" w:hAnsi="Calibri"/>
                <w:color w:val="000000"/>
              </w:rPr>
              <w:t>36%</w:t>
            </w:r>
          </w:p>
        </w:tc>
        <w:tc>
          <w:tcPr>
            <w:tcW w:w="1276" w:type="dxa"/>
            <w:tcBorders>
              <w:top w:val="nil"/>
              <w:left w:val="nil"/>
              <w:bottom w:val="single" w:sz="4" w:space="0" w:color="auto"/>
              <w:right w:val="nil"/>
            </w:tcBorders>
            <w:shd w:val="clear" w:color="auto" w:fill="auto"/>
            <w:noWrap/>
            <w:vAlign w:val="bottom"/>
            <w:hideMark/>
          </w:tcPr>
          <w:p w14:paraId="1874BD6F" w14:textId="77777777" w:rsidR="00A82123" w:rsidRPr="00357C4A" w:rsidRDefault="00A82123" w:rsidP="004D51B5">
            <w:pPr>
              <w:jc w:val="center"/>
              <w:rPr>
                <w:rFonts w:ascii="Calibri" w:eastAsia="Times New Roman" w:hAnsi="Calibri"/>
                <w:color w:val="000000"/>
              </w:rPr>
            </w:pPr>
            <w:r w:rsidRPr="00357C4A">
              <w:rPr>
                <w:rFonts w:ascii="Calibri" w:eastAsia="Times New Roman" w:hAnsi="Calibri"/>
                <w:color w:val="000000"/>
              </w:rPr>
              <w:t>64%</w:t>
            </w:r>
          </w:p>
        </w:tc>
        <w:tc>
          <w:tcPr>
            <w:tcW w:w="1276" w:type="dxa"/>
            <w:tcBorders>
              <w:top w:val="nil"/>
              <w:left w:val="nil"/>
              <w:bottom w:val="single" w:sz="4" w:space="0" w:color="auto"/>
              <w:right w:val="nil"/>
            </w:tcBorders>
            <w:shd w:val="clear" w:color="auto" w:fill="auto"/>
            <w:noWrap/>
            <w:vAlign w:val="bottom"/>
            <w:hideMark/>
          </w:tcPr>
          <w:p w14:paraId="51941C3F" w14:textId="77777777" w:rsidR="00A82123" w:rsidRPr="00357C4A" w:rsidRDefault="00A82123" w:rsidP="004D51B5">
            <w:pPr>
              <w:jc w:val="center"/>
              <w:rPr>
                <w:rFonts w:ascii="Calibri" w:eastAsia="Times New Roman" w:hAnsi="Calibri"/>
                <w:color w:val="000000"/>
              </w:rPr>
            </w:pPr>
            <w:r w:rsidRPr="00357C4A">
              <w:rPr>
                <w:rFonts w:ascii="Calibri" w:eastAsia="Times New Roman" w:hAnsi="Calibri"/>
                <w:color w:val="000000"/>
              </w:rPr>
              <w:t>88%</w:t>
            </w:r>
          </w:p>
        </w:tc>
      </w:tr>
    </w:tbl>
    <w:p w14:paraId="0C3083DD" w14:textId="77777777" w:rsidR="00A82123" w:rsidRPr="00357C4A" w:rsidRDefault="00A82123" w:rsidP="00A82123">
      <w:pPr>
        <w:rPr>
          <w:rFonts w:ascii="Calibri" w:hAnsi="Calibri"/>
          <w:lang w:val="en-AU"/>
        </w:rPr>
      </w:pPr>
    </w:p>
    <w:p w14:paraId="3C3F7D4B" w14:textId="77777777" w:rsidR="00A82123" w:rsidRPr="00357C4A" w:rsidRDefault="00A82123" w:rsidP="00A82123">
      <w:pPr>
        <w:spacing w:line="360" w:lineRule="auto"/>
        <w:rPr>
          <w:rFonts w:ascii="Calibri" w:hAnsi="Calibri"/>
          <w:b/>
          <w:lang w:val="en-AU"/>
        </w:rPr>
      </w:pPr>
    </w:p>
    <w:p w14:paraId="6AB66F13" w14:textId="77777777" w:rsidR="00A82123" w:rsidRPr="00357C4A" w:rsidRDefault="00A82123" w:rsidP="00A82123">
      <w:pPr>
        <w:rPr>
          <w:rFonts w:ascii="Calibri" w:hAnsi="Calibri"/>
        </w:rPr>
      </w:pPr>
    </w:p>
    <w:p w14:paraId="285017C3" w14:textId="77777777" w:rsidR="005814A6" w:rsidRDefault="005814A6"/>
    <w:p w14:paraId="28D03FB2" w14:textId="55A6D622" w:rsidR="005814A6" w:rsidRPr="005814A6" w:rsidRDefault="005814A6">
      <w:pPr>
        <w:rPr>
          <w:b/>
        </w:rPr>
      </w:pPr>
      <w:r>
        <w:rPr>
          <w:b/>
        </w:rPr>
        <w:t>Supplementary References</w:t>
      </w:r>
    </w:p>
    <w:p w14:paraId="75576673" w14:textId="77777777" w:rsidR="00E964B7" w:rsidRPr="00E964B7" w:rsidRDefault="005814A6" w:rsidP="00E964B7">
      <w:pPr>
        <w:pStyle w:val="EndNoteBibliography"/>
        <w:ind w:left="720" w:hanging="720"/>
        <w:rPr>
          <w:noProof/>
        </w:rPr>
      </w:pPr>
      <w:r>
        <w:fldChar w:fldCharType="begin"/>
      </w:r>
      <w:r>
        <w:instrText xml:space="preserve"> ADDIN EN.REFLIST </w:instrText>
      </w:r>
      <w:r>
        <w:fldChar w:fldCharType="separate"/>
      </w:r>
      <w:r w:rsidR="00E964B7" w:rsidRPr="00E964B7">
        <w:rPr>
          <w:noProof/>
        </w:rPr>
        <w:t>1</w:t>
      </w:r>
      <w:r w:rsidR="00E964B7" w:rsidRPr="00E964B7">
        <w:rPr>
          <w:noProof/>
        </w:rPr>
        <w:tab/>
        <w:t xml:space="preserve">Scheuermaier, K., Laffan, A. M. &amp; Duffy, J. F. Light exposure patterns in healthy older and young adults. </w:t>
      </w:r>
      <w:r w:rsidR="00E964B7" w:rsidRPr="00E964B7">
        <w:rPr>
          <w:i/>
          <w:noProof/>
        </w:rPr>
        <w:t>Journal of Biological Rhythms</w:t>
      </w:r>
      <w:r w:rsidR="00E964B7" w:rsidRPr="00E964B7">
        <w:rPr>
          <w:noProof/>
        </w:rPr>
        <w:t xml:space="preserve"> </w:t>
      </w:r>
      <w:r w:rsidR="00E964B7" w:rsidRPr="00E964B7">
        <w:rPr>
          <w:b/>
          <w:noProof/>
        </w:rPr>
        <w:t>25</w:t>
      </w:r>
      <w:r w:rsidR="00E964B7" w:rsidRPr="00E964B7">
        <w:rPr>
          <w:noProof/>
        </w:rPr>
        <w:t>, 113-122 (2010).</w:t>
      </w:r>
    </w:p>
    <w:p w14:paraId="05E99EB0" w14:textId="77777777" w:rsidR="00E964B7" w:rsidRPr="00E964B7" w:rsidRDefault="00E964B7" w:rsidP="00E964B7">
      <w:pPr>
        <w:pStyle w:val="EndNoteBibliography"/>
        <w:ind w:left="720" w:hanging="720"/>
        <w:rPr>
          <w:noProof/>
        </w:rPr>
      </w:pPr>
      <w:r w:rsidRPr="00E964B7">
        <w:rPr>
          <w:noProof/>
        </w:rPr>
        <w:t>2</w:t>
      </w:r>
      <w:r w:rsidRPr="00E964B7">
        <w:rPr>
          <w:noProof/>
        </w:rPr>
        <w:tab/>
        <w:t xml:space="preserve">Wyatt, J. K., Cecco, A. R. D., Czeisler, C. A. &amp; Dijk, D. J. Circadian temperature and melatonin rhythms, sleep, and neurobehavioral function in humans living on a 20-h day. </w:t>
      </w:r>
      <w:r w:rsidRPr="00E964B7">
        <w:rPr>
          <w:i/>
          <w:noProof/>
        </w:rPr>
        <w:t>American Journal of Physiology-Regulatory, Integrative and Comparative Physiology</w:t>
      </w:r>
      <w:r w:rsidRPr="00E964B7">
        <w:rPr>
          <w:noProof/>
        </w:rPr>
        <w:t xml:space="preserve"> </w:t>
      </w:r>
      <w:r w:rsidRPr="00E964B7">
        <w:rPr>
          <w:b/>
          <w:noProof/>
        </w:rPr>
        <w:t>277</w:t>
      </w:r>
      <w:r w:rsidRPr="00E964B7">
        <w:rPr>
          <w:noProof/>
        </w:rPr>
        <w:t>, R1152-R1163 (1999).</w:t>
      </w:r>
    </w:p>
    <w:p w14:paraId="73D01B05" w14:textId="30E61613" w:rsidR="009F72A3" w:rsidRDefault="005814A6">
      <w:r>
        <w:fldChar w:fldCharType="end"/>
      </w:r>
    </w:p>
    <w:sectPr w:rsidR="009F72A3" w:rsidSect="001C1B42">
      <w:pgSz w:w="16840" w:h="1190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6F7FE4" w14:textId="77777777" w:rsidR="00AA1298" w:rsidRDefault="00AA1298" w:rsidP="00A82123">
      <w:r>
        <w:separator/>
      </w:r>
    </w:p>
  </w:endnote>
  <w:endnote w:type="continuationSeparator" w:id="0">
    <w:p w14:paraId="098E0364" w14:textId="77777777" w:rsidR="00AA1298" w:rsidRDefault="00AA1298" w:rsidP="00A82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9BC9A0" w14:textId="77777777" w:rsidR="00AA1298" w:rsidRDefault="00AA1298" w:rsidP="00A82123">
      <w:r>
        <w:separator/>
      </w:r>
    </w:p>
  </w:footnote>
  <w:footnote w:type="continuationSeparator" w:id="0">
    <w:p w14:paraId="691E04EC" w14:textId="77777777" w:rsidR="00AA1298" w:rsidRDefault="00AA1298" w:rsidP="00A821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Nature Scientific Reports&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9ffsxfw6wsp9hevexj5x50x50wvsprax9sv&quot;&gt;Paper 3 HCP model in shiftworkers&lt;record-ids&gt;&lt;item&gt;49&lt;/item&gt;&lt;item&gt;60&lt;/item&gt;&lt;/record-ids&gt;&lt;/item&gt;&lt;/Libraries&gt;"/>
  </w:docVars>
  <w:rsids>
    <w:rsidRoot w:val="00A82123"/>
    <w:rsid w:val="00033128"/>
    <w:rsid w:val="00076D33"/>
    <w:rsid w:val="00112B97"/>
    <w:rsid w:val="00136EEF"/>
    <w:rsid w:val="00162882"/>
    <w:rsid w:val="001C18CB"/>
    <w:rsid w:val="00225F06"/>
    <w:rsid w:val="002A7157"/>
    <w:rsid w:val="00334283"/>
    <w:rsid w:val="00391483"/>
    <w:rsid w:val="003A7411"/>
    <w:rsid w:val="003E0DA6"/>
    <w:rsid w:val="00416F76"/>
    <w:rsid w:val="00441323"/>
    <w:rsid w:val="0048565F"/>
    <w:rsid w:val="004C03F3"/>
    <w:rsid w:val="004C6471"/>
    <w:rsid w:val="004D0463"/>
    <w:rsid w:val="00500639"/>
    <w:rsid w:val="005561DC"/>
    <w:rsid w:val="005814A6"/>
    <w:rsid w:val="00675B08"/>
    <w:rsid w:val="007102FA"/>
    <w:rsid w:val="00720D99"/>
    <w:rsid w:val="00726D82"/>
    <w:rsid w:val="00750321"/>
    <w:rsid w:val="00833A1B"/>
    <w:rsid w:val="009F72A3"/>
    <w:rsid w:val="00A40CF2"/>
    <w:rsid w:val="00A82123"/>
    <w:rsid w:val="00AA1298"/>
    <w:rsid w:val="00AB1F71"/>
    <w:rsid w:val="00B12DE5"/>
    <w:rsid w:val="00B47987"/>
    <w:rsid w:val="00B95D44"/>
    <w:rsid w:val="00BB1A42"/>
    <w:rsid w:val="00C512A5"/>
    <w:rsid w:val="00C90CE8"/>
    <w:rsid w:val="00D13A7C"/>
    <w:rsid w:val="00DC2EC7"/>
    <w:rsid w:val="00DF7D73"/>
    <w:rsid w:val="00E11303"/>
    <w:rsid w:val="00E449E9"/>
    <w:rsid w:val="00E455A3"/>
    <w:rsid w:val="00E46177"/>
    <w:rsid w:val="00E731A2"/>
    <w:rsid w:val="00E964B7"/>
    <w:rsid w:val="00FA11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E533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A82123"/>
    <w:rPr>
      <w:lang w:val="en-US"/>
    </w:rPr>
  </w:style>
  <w:style w:type="paragraph" w:styleId="Heading3">
    <w:name w:val="heading 3"/>
    <w:basedOn w:val="Normal"/>
    <w:next w:val="Normal"/>
    <w:link w:val="Heading3Char"/>
    <w:uiPriority w:val="9"/>
    <w:unhideWhenUsed/>
    <w:qFormat/>
    <w:rsid w:val="00225F06"/>
    <w:pPr>
      <w:widowControl w:val="0"/>
      <w:tabs>
        <w:tab w:val="left" w:pos="720"/>
      </w:tabs>
      <w:suppressAutoHyphens/>
      <w:spacing w:before="240" w:after="180" w:line="271" w:lineRule="auto"/>
      <w:outlineLvl w:val="2"/>
    </w:pPr>
    <w:rPr>
      <w:rFonts w:ascii="Arial" w:hAnsi="Arial"/>
      <w:iCs/>
      <w:smallCaps/>
      <w:spacing w:val="5"/>
      <w:szCs w:val="26"/>
      <w:lang w:val="en-AU"/>
    </w:rPr>
  </w:style>
  <w:style w:type="paragraph" w:styleId="Heading4">
    <w:name w:val="heading 4"/>
    <w:basedOn w:val="Normal"/>
    <w:next w:val="Normal"/>
    <w:link w:val="Heading4Char"/>
    <w:uiPriority w:val="9"/>
    <w:unhideWhenUsed/>
    <w:qFormat/>
    <w:rsid w:val="00225F06"/>
    <w:pPr>
      <w:widowControl w:val="0"/>
      <w:tabs>
        <w:tab w:val="left" w:pos="720"/>
      </w:tabs>
      <w:suppressAutoHyphens/>
      <w:spacing w:before="180" w:after="120" w:line="271" w:lineRule="auto"/>
      <w:outlineLvl w:val="3"/>
    </w:pPr>
    <w:rPr>
      <w:rFonts w:ascii="Arial" w:hAnsi="Arial" w:cs="Times New Roman"/>
      <w:b/>
      <w:bCs/>
      <w:i/>
      <w:spacing w:val="5"/>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225F06"/>
    <w:rPr>
      <w:rFonts w:ascii="Arial" w:hAnsi="Arial" w:cs="Times New Roman"/>
      <w:b/>
      <w:bCs/>
      <w:i/>
      <w:spacing w:val="5"/>
      <w:lang w:val="en-AU"/>
    </w:rPr>
  </w:style>
  <w:style w:type="character" w:customStyle="1" w:styleId="Heading3Char">
    <w:name w:val="Heading 3 Char"/>
    <w:basedOn w:val="DefaultParagraphFont"/>
    <w:link w:val="Heading3"/>
    <w:uiPriority w:val="9"/>
    <w:rsid w:val="00225F06"/>
    <w:rPr>
      <w:rFonts w:ascii="Arial" w:hAnsi="Arial"/>
      <w:iCs/>
      <w:smallCaps/>
      <w:spacing w:val="5"/>
      <w:szCs w:val="26"/>
      <w:lang w:val="en-AU"/>
    </w:rPr>
  </w:style>
  <w:style w:type="character" w:styleId="CommentReference">
    <w:name w:val="annotation reference"/>
    <w:basedOn w:val="DefaultParagraphFont"/>
    <w:uiPriority w:val="99"/>
    <w:semiHidden/>
    <w:unhideWhenUsed/>
    <w:rsid w:val="00A82123"/>
    <w:rPr>
      <w:sz w:val="18"/>
      <w:szCs w:val="18"/>
    </w:rPr>
  </w:style>
  <w:style w:type="paragraph" w:styleId="CommentText">
    <w:name w:val="annotation text"/>
    <w:basedOn w:val="Normal"/>
    <w:link w:val="CommentTextChar"/>
    <w:uiPriority w:val="99"/>
    <w:semiHidden/>
    <w:unhideWhenUsed/>
    <w:rsid w:val="00A82123"/>
  </w:style>
  <w:style w:type="character" w:customStyle="1" w:styleId="CommentTextChar">
    <w:name w:val="Comment Text Char"/>
    <w:basedOn w:val="DefaultParagraphFont"/>
    <w:link w:val="CommentText"/>
    <w:uiPriority w:val="99"/>
    <w:semiHidden/>
    <w:rsid w:val="00A82123"/>
    <w:rPr>
      <w:lang w:val="en-US"/>
    </w:rPr>
  </w:style>
  <w:style w:type="paragraph" w:styleId="Header">
    <w:name w:val="header"/>
    <w:basedOn w:val="Normal"/>
    <w:link w:val="HeaderChar"/>
    <w:uiPriority w:val="99"/>
    <w:unhideWhenUsed/>
    <w:rsid w:val="00A82123"/>
    <w:pPr>
      <w:tabs>
        <w:tab w:val="center" w:pos="4513"/>
        <w:tab w:val="right" w:pos="9026"/>
      </w:tabs>
    </w:pPr>
  </w:style>
  <w:style w:type="character" w:customStyle="1" w:styleId="HeaderChar">
    <w:name w:val="Header Char"/>
    <w:basedOn w:val="DefaultParagraphFont"/>
    <w:link w:val="Header"/>
    <w:uiPriority w:val="99"/>
    <w:rsid w:val="00A82123"/>
    <w:rPr>
      <w:lang w:val="en-US"/>
    </w:rPr>
  </w:style>
  <w:style w:type="paragraph" w:styleId="Footer">
    <w:name w:val="footer"/>
    <w:basedOn w:val="Normal"/>
    <w:link w:val="FooterChar"/>
    <w:uiPriority w:val="99"/>
    <w:unhideWhenUsed/>
    <w:rsid w:val="00A82123"/>
    <w:pPr>
      <w:tabs>
        <w:tab w:val="center" w:pos="4513"/>
        <w:tab w:val="right" w:pos="9026"/>
      </w:tabs>
    </w:pPr>
  </w:style>
  <w:style w:type="character" w:customStyle="1" w:styleId="FooterChar">
    <w:name w:val="Footer Char"/>
    <w:basedOn w:val="DefaultParagraphFont"/>
    <w:link w:val="Footer"/>
    <w:uiPriority w:val="99"/>
    <w:rsid w:val="00A82123"/>
    <w:rPr>
      <w:lang w:val="en-US"/>
    </w:rPr>
  </w:style>
  <w:style w:type="paragraph" w:customStyle="1" w:styleId="EndNoteBibliographyTitle">
    <w:name w:val="EndNote Bibliography Title"/>
    <w:basedOn w:val="Normal"/>
    <w:rsid w:val="005814A6"/>
    <w:pPr>
      <w:jc w:val="center"/>
    </w:pPr>
    <w:rPr>
      <w:rFonts w:ascii="Calibri" w:hAnsi="Calibri"/>
    </w:rPr>
  </w:style>
  <w:style w:type="paragraph" w:customStyle="1" w:styleId="EndNoteBibliography">
    <w:name w:val="EndNote Bibliography"/>
    <w:basedOn w:val="Normal"/>
    <w:rsid w:val="005814A6"/>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00467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1121</Words>
  <Characters>6396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Monash University</Company>
  <LinksUpToDate>false</LinksUpToDate>
  <CharactersWithSpaces>7502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Stone</dc:creator>
  <cp:keywords/>
  <dc:description/>
  <cp:lastModifiedBy>Julia Stone</cp:lastModifiedBy>
  <cp:revision>4</cp:revision>
  <dcterms:created xsi:type="dcterms:W3CDTF">2019-04-17T05:12:00Z</dcterms:created>
  <dcterms:modified xsi:type="dcterms:W3CDTF">2019-04-24T06:44:00Z</dcterms:modified>
</cp:coreProperties>
</file>