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27" w:rsidRPr="00EF7ABA" w:rsidRDefault="000C7B27" w:rsidP="000C7B27">
      <w:pPr>
        <w:spacing w:line="480" w:lineRule="auto"/>
        <w:rPr>
          <w:b/>
          <w:lang w:val="en-US"/>
        </w:rPr>
      </w:pPr>
      <w:proofErr w:type="spellStart"/>
      <w:r w:rsidRPr="00EF7ABA">
        <w:rPr>
          <w:b/>
          <w:lang w:val="en-US"/>
        </w:rPr>
        <w:t>Defibrotide</w:t>
      </w:r>
      <w:proofErr w:type="spellEnd"/>
      <w:r w:rsidRPr="00EF7ABA">
        <w:rPr>
          <w:b/>
          <w:lang w:val="en-US"/>
        </w:rPr>
        <w:t xml:space="preserve"> enhances fibrinolysis in human endotoxemia – a randomized, double blind, crossover trial in healthy volunteers</w:t>
      </w:r>
    </w:p>
    <w:p w:rsidR="000C7B27" w:rsidRPr="00EF7ABA" w:rsidRDefault="000C7B27" w:rsidP="000C7B27">
      <w:pPr>
        <w:spacing w:line="480" w:lineRule="auto"/>
        <w:rPr>
          <w:vertAlign w:val="superscript"/>
          <w:lang w:val="en-US"/>
        </w:rPr>
      </w:pPr>
      <w:r w:rsidRPr="00EF7ABA">
        <w:rPr>
          <w:lang w:val="en-US"/>
        </w:rPr>
        <w:t>Christian Schoergenhofer</w:t>
      </w:r>
      <w:r w:rsidRPr="00EF7ABA">
        <w:rPr>
          <w:vertAlign w:val="superscript"/>
          <w:lang w:val="en-US"/>
        </w:rPr>
        <w:t>1</w:t>
      </w:r>
      <w:r w:rsidRPr="00EF7ABA">
        <w:rPr>
          <w:lang w:val="en-US"/>
        </w:rPr>
        <w:t>, Nina Buchtele</w:t>
      </w:r>
      <w:r w:rsidRPr="00EF7ABA">
        <w:rPr>
          <w:vertAlign w:val="superscript"/>
          <w:lang w:val="en-US"/>
        </w:rPr>
        <w:t>1</w:t>
      </w:r>
      <w:r w:rsidRPr="00EF7ABA">
        <w:rPr>
          <w:lang w:val="en-US"/>
        </w:rPr>
        <w:t>, Georg Gelbenegger</w:t>
      </w:r>
      <w:r w:rsidRPr="00EF7ABA">
        <w:rPr>
          <w:vertAlign w:val="superscript"/>
          <w:lang w:val="en-US"/>
        </w:rPr>
        <w:t>1</w:t>
      </w:r>
      <w:r w:rsidRPr="00EF7ABA">
        <w:rPr>
          <w:lang w:val="en-US"/>
        </w:rPr>
        <w:t>, Ulla Derhaschnig</w:t>
      </w:r>
      <w:r w:rsidRPr="00EF7ABA">
        <w:rPr>
          <w:vertAlign w:val="superscript"/>
          <w:lang w:val="en-US"/>
        </w:rPr>
        <w:t>1</w:t>
      </w:r>
      <w:r w:rsidRPr="00EF7ABA">
        <w:rPr>
          <w:lang w:val="en-US"/>
        </w:rPr>
        <w:t>, Christa Firbas</w:t>
      </w:r>
      <w:r w:rsidRPr="00EF7ABA">
        <w:rPr>
          <w:vertAlign w:val="superscript"/>
          <w:lang w:val="en-US"/>
        </w:rPr>
        <w:t>1</w:t>
      </w:r>
      <w:r w:rsidRPr="00EF7ABA">
        <w:rPr>
          <w:lang w:val="en-US"/>
        </w:rPr>
        <w:t>, Katarina D Kovacevic</w:t>
      </w:r>
      <w:r w:rsidRPr="00EF7ABA">
        <w:rPr>
          <w:vertAlign w:val="superscript"/>
          <w:lang w:val="en-US"/>
        </w:rPr>
        <w:t>1</w:t>
      </w:r>
      <w:r w:rsidRPr="00EF7ABA">
        <w:rPr>
          <w:lang w:val="en-US"/>
        </w:rPr>
        <w:t>, Michael Schwameis</w:t>
      </w:r>
      <w:r w:rsidRPr="00EF7ABA">
        <w:rPr>
          <w:vertAlign w:val="superscript"/>
          <w:lang w:val="en-US"/>
        </w:rPr>
        <w:t>2</w:t>
      </w:r>
      <w:r w:rsidRPr="00EF7ABA">
        <w:rPr>
          <w:lang w:val="en-US"/>
        </w:rPr>
        <w:t>, Philipp Wohlfarth</w:t>
      </w:r>
      <w:r w:rsidRPr="00EF7ABA">
        <w:rPr>
          <w:vertAlign w:val="superscript"/>
          <w:lang w:val="en-US"/>
        </w:rPr>
        <w:t>3</w:t>
      </w:r>
      <w:r w:rsidRPr="00EF7ABA">
        <w:rPr>
          <w:lang w:val="en-US"/>
        </w:rPr>
        <w:t>, Werner Rabitsch</w:t>
      </w:r>
      <w:r w:rsidRPr="00EF7ABA">
        <w:rPr>
          <w:vertAlign w:val="superscript"/>
          <w:lang w:val="en-US"/>
        </w:rPr>
        <w:t>3</w:t>
      </w:r>
      <w:r w:rsidRPr="00EF7ABA">
        <w:rPr>
          <w:lang w:val="en-US"/>
        </w:rPr>
        <w:t>, Bernd Jilma</w:t>
      </w:r>
      <w:r w:rsidRPr="00EF7ABA">
        <w:rPr>
          <w:vertAlign w:val="superscript"/>
          <w:lang w:val="en-US"/>
        </w:rPr>
        <w:t>1</w:t>
      </w:r>
    </w:p>
    <w:p w:rsidR="000C7B27" w:rsidRPr="00EF7ABA" w:rsidRDefault="000C7B27" w:rsidP="000C7B27">
      <w:pPr>
        <w:spacing w:line="480" w:lineRule="auto"/>
        <w:rPr>
          <w:vertAlign w:val="superscript"/>
          <w:lang w:val="en-US"/>
        </w:rPr>
      </w:pPr>
    </w:p>
    <w:p w:rsidR="000C7B27" w:rsidRPr="00EF7ABA" w:rsidRDefault="000C7B27" w:rsidP="000C7B27">
      <w:pPr>
        <w:spacing w:line="480" w:lineRule="auto"/>
        <w:rPr>
          <w:lang w:val="en-US"/>
        </w:rPr>
      </w:pPr>
      <w:proofErr w:type="gramStart"/>
      <w:r w:rsidRPr="00EF7ABA">
        <w:rPr>
          <w:vertAlign w:val="superscript"/>
          <w:lang w:val="en-US"/>
        </w:rPr>
        <w:t xml:space="preserve">1 </w:t>
      </w:r>
      <w:r w:rsidRPr="00EF7ABA">
        <w:rPr>
          <w:lang w:val="en-US"/>
        </w:rPr>
        <w:t>Department of Clinical Pharmacology</w:t>
      </w:r>
      <w:proofErr w:type="gramEnd"/>
      <w:r w:rsidRPr="00EF7ABA">
        <w:rPr>
          <w:lang w:val="en-US"/>
        </w:rPr>
        <w:t>, Medical University of Vienna, Austria</w:t>
      </w: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vertAlign w:val="superscript"/>
          <w:lang w:val="en-US"/>
        </w:rPr>
        <w:t>2</w:t>
      </w:r>
      <w:r w:rsidRPr="00EF7ABA">
        <w:rPr>
          <w:lang w:val="en-US"/>
        </w:rPr>
        <w:t xml:space="preserve"> Department of Emergency Medicine, Medical University of Vienna, Austria</w:t>
      </w: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vertAlign w:val="superscript"/>
          <w:lang w:val="en-US"/>
        </w:rPr>
        <w:t xml:space="preserve">3 </w:t>
      </w:r>
      <w:proofErr w:type="gramStart"/>
      <w:r w:rsidRPr="00EF7ABA">
        <w:rPr>
          <w:lang w:val="en-US"/>
        </w:rPr>
        <w:t>Department</w:t>
      </w:r>
      <w:proofErr w:type="gramEnd"/>
      <w:r w:rsidRPr="00EF7ABA">
        <w:rPr>
          <w:lang w:val="en-US"/>
        </w:rPr>
        <w:t xml:space="preserve"> of Blood and Bone Marrow Transplantation, Medical University of Vienna, Austria</w:t>
      </w:r>
    </w:p>
    <w:p w:rsidR="000C7B27" w:rsidRPr="00EF7ABA" w:rsidRDefault="000C7B27" w:rsidP="000C7B27">
      <w:pPr>
        <w:spacing w:line="480" w:lineRule="auto"/>
        <w:rPr>
          <w:lang w:val="en-US"/>
        </w:rPr>
      </w:pP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lang w:val="en-US"/>
        </w:rPr>
        <w:t xml:space="preserve">Corresponding Author: </w:t>
      </w: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lang w:val="en-US"/>
        </w:rPr>
        <w:t xml:space="preserve">Bernd </w:t>
      </w:r>
      <w:proofErr w:type="spellStart"/>
      <w:r w:rsidRPr="00EF7ABA">
        <w:rPr>
          <w:lang w:val="en-US"/>
        </w:rPr>
        <w:t>Jilma</w:t>
      </w:r>
      <w:proofErr w:type="spellEnd"/>
      <w:r w:rsidRPr="00EF7ABA">
        <w:rPr>
          <w:lang w:val="en-US"/>
        </w:rPr>
        <w:t>, MD</w:t>
      </w: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lang w:val="en-US"/>
        </w:rPr>
        <w:t>Department of Clinical Pharmacology</w:t>
      </w: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lang w:val="en-US"/>
        </w:rPr>
        <w:t>Medical University of Vienna</w:t>
      </w:r>
    </w:p>
    <w:p w:rsidR="000C7B27" w:rsidRPr="00EF7ABA" w:rsidRDefault="000C7B27" w:rsidP="000C7B27">
      <w:pPr>
        <w:spacing w:line="480" w:lineRule="auto"/>
        <w:rPr>
          <w:lang w:val="en-US"/>
        </w:rPr>
      </w:pPr>
      <w:proofErr w:type="spellStart"/>
      <w:r w:rsidRPr="00EF7ABA">
        <w:rPr>
          <w:lang w:val="en-US"/>
        </w:rPr>
        <w:t>Währinger</w:t>
      </w:r>
      <w:proofErr w:type="spellEnd"/>
      <w:r w:rsidRPr="00EF7ABA">
        <w:rPr>
          <w:lang w:val="en-US"/>
        </w:rPr>
        <w:t xml:space="preserve"> </w:t>
      </w:r>
      <w:proofErr w:type="spellStart"/>
      <w:r w:rsidRPr="00EF7ABA">
        <w:rPr>
          <w:lang w:val="en-US"/>
        </w:rPr>
        <w:t>Gürtel</w:t>
      </w:r>
      <w:proofErr w:type="spellEnd"/>
      <w:r w:rsidRPr="00EF7ABA">
        <w:rPr>
          <w:lang w:val="en-US"/>
        </w:rPr>
        <w:t xml:space="preserve"> 18-20</w:t>
      </w:r>
    </w:p>
    <w:p w:rsidR="000C7B27" w:rsidRPr="00EF7ABA" w:rsidRDefault="000C7B27" w:rsidP="000C7B27">
      <w:pPr>
        <w:spacing w:line="480" w:lineRule="auto"/>
        <w:rPr>
          <w:lang w:val="it-IT"/>
        </w:rPr>
      </w:pPr>
      <w:proofErr w:type="gramStart"/>
      <w:r w:rsidRPr="00EF7ABA">
        <w:rPr>
          <w:lang w:val="it-IT"/>
        </w:rPr>
        <w:t>1090 Vienna</w:t>
      </w:r>
      <w:proofErr w:type="gramEnd"/>
      <w:r w:rsidRPr="00EF7ABA">
        <w:rPr>
          <w:lang w:val="it-IT"/>
        </w:rPr>
        <w:t>, Austria</w:t>
      </w:r>
    </w:p>
    <w:p w:rsidR="000C7B27" w:rsidRPr="00EF7ABA" w:rsidRDefault="000C7B27" w:rsidP="000C7B27">
      <w:pPr>
        <w:spacing w:line="480" w:lineRule="auto"/>
        <w:rPr>
          <w:lang w:val="it-IT"/>
        </w:rPr>
      </w:pPr>
      <w:r w:rsidRPr="00EF7ABA">
        <w:rPr>
          <w:lang w:val="it-IT"/>
        </w:rPr>
        <w:t>Bernd.jilma@meduniwien.ac.at</w:t>
      </w: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lang w:val="en-US"/>
        </w:rPr>
        <w:t>Tel: +43 1 40400 29810</w:t>
      </w: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lang w:val="en-US"/>
        </w:rPr>
        <w:t>Fax: +43 1 40400 29980</w:t>
      </w:r>
    </w:p>
    <w:p w:rsidR="000C7B27" w:rsidRPr="00EF7ABA" w:rsidRDefault="000C7B27" w:rsidP="000C7B27">
      <w:pPr>
        <w:spacing w:line="480" w:lineRule="auto"/>
        <w:rPr>
          <w:lang w:val="en-US"/>
        </w:rPr>
      </w:pPr>
    </w:p>
    <w:p w:rsidR="000C7B27" w:rsidRPr="00EF7ABA" w:rsidRDefault="000C7B27" w:rsidP="000C7B27">
      <w:pPr>
        <w:spacing w:line="480" w:lineRule="auto"/>
        <w:rPr>
          <w:lang w:val="en-US"/>
        </w:rPr>
      </w:pPr>
      <w:r w:rsidRPr="00EF7ABA">
        <w:rPr>
          <w:b/>
          <w:lang w:val="en-US"/>
        </w:rPr>
        <w:t>Running Title</w:t>
      </w:r>
      <w:r w:rsidRPr="00EF7ABA">
        <w:rPr>
          <w:lang w:val="en-US"/>
        </w:rPr>
        <w:t xml:space="preserve">: </w:t>
      </w:r>
      <w:proofErr w:type="spellStart"/>
      <w:r w:rsidRPr="00EF7ABA">
        <w:rPr>
          <w:lang w:val="en-US"/>
        </w:rPr>
        <w:t>Defibrotide</w:t>
      </w:r>
      <w:proofErr w:type="spellEnd"/>
      <w:r w:rsidRPr="00EF7ABA">
        <w:rPr>
          <w:lang w:val="en-US"/>
        </w:rPr>
        <w:t xml:space="preserve"> during endotoxemia</w:t>
      </w:r>
    </w:p>
    <w:p w:rsidR="000C7B27" w:rsidRDefault="000C7B27" w:rsidP="000C7B27">
      <w:pPr>
        <w:spacing w:line="480" w:lineRule="auto"/>
        <w:jc w:val="center"/>
        <w:rPr>
          <w:lang w:val="en-US"/>
        </w:rPr>
      </w:pPr>
    </w:p>
    <w:p w:rsidR="000C7B27" w:rsidRDefault="000C7B27" w:rsidP="000C7B27">
      <w:pPr>
        <w:spacing w:line="480" w:lineRule="auto"/>
        <w:jc w:val="center"/>
        <w:rPr>
          <w:lang w:val="en-US"/>
        </w:rPr>
      </w:pPr>
    </w:p>
    <w:p w:rsidR="000C7B27" w:rsidRPr="00EF7ABA" w:rsidRDefault="000C7B27" w:rsidP="000C7B27">
      <w:pPr>
        <w:spacing w:line="480" w:lineRule="auto"/>
        <w:jc w:val="center"/>
        <w:rPr>
          <w:lang w:val="en-US"/>
        </w:rPr>
      </w:pPr>
      <w:bookmarkStart w:id="0" w:name="_GoBack"/>
      <w:bookmarkEnd w:id="0"/>
    </w:p>
    <w:p w:rsidR="000C7B27" w:rsidRPr="00EF7ABA" w:rsidRDefault="000C7B27" w:rsidP="000C7B27">
      <w:pPr>
        <w:spacing w:line="480" w:lineRule="auto"/>
        <w:rPr>
          <w:b/>
          <w:lang w:val="en-US"/>
        </w:rPr>
      </w:pPr>
      <w:r w:rsidRPr="00EF7ABA">
        <w:rPr>
          <w:b/>
          <w:lang w:val="en-US"/>
        </w:rPr>
        <w:lastRenderedPageBreak/>
        <w:t xml:space="preserve">Supplement: </w:t>
      </w:r>
    </w:p>
    <w:p w:rsidR="000C7B27" w:rsidRPr="00EF7ABA" w:rsidRDefault="000C7B27" w:rsidP="000C7B27">
      <w:pPr>
        <w:spacing w:line="480" w:lineRule="auto"/>
        <w:rPr>
          <w:b/>
          <w:lang w:val="en-US"/>
        </w:rPr>
      </w:pPr>
      <w:r w:rsidRPr="00EF7ABA">
        <w:rPr>
          <w:b/>
          <w:lang w:val="en-US"/>
        </w:rPr>
        <w:t xml:space="preserve">Figure S1 Platelet and leucocyte counts </w:t>
      </w:r>
    </w:p>
    <w:p w:rsidR="000C7B27" w:rsidRPr="00EF7ABA" w:rsidRDefault="000C7B27" w:rsidP="000C7B27">
      <w:pPr>
        <w:spacing w:line="480" w:lineRule="auto"/>
        <w:jc w:val="center"/>
        <w:rPr>
          <w:lang w:val="en-US"/>
        </w:rPr>
      </w:pPr>
      <w:r w:rsidRPr="00EF7ABA">
        <w:rPr>
          <w:noProof/>
        </w:rPr>
        <w:drawing>
          <wp:inline distT="0" distB="0" distL="0" distR="0" wp14:anchorId="47F0BF76" wp14:editId="79EDE1AA">
            <wp:extent cx="2961428" cy="4426454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eps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7" t="3995" r="48968" b="7705"/>
                    <a:stretch/>
                  </pic:blipFill>
                  <pic:spPr bwMode="auto">
                    <a:xfrm>
                      <a:off x="0" y="0"/>
                      <a:ext cx="2962128" cy="4427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B27" w:rsidRPr="00EF7ABA" w:rsidRDefault="000C7B27" w:rsidP="000C7B27">
      <w:pPr>
        <w:spacing w:line="480" w:lineRule="auto"/>
        <w:rPr>
          <w:b/>
          <w:lang w:val="en-US"/>
        </w:rPr>
      </w:pPr>
      <w:r w:rsidRPr="00EF7ABA">
        <w:rPr>
          <w:b/>
          <w:lang w:val="en-US"/>
        </w:rPr>
        <w:t xml:space="preserve">Figure S1 Platelet and leucocyte counts </w:t>
      </w:r>
    </w:p>
    <w:p w:rsidR="000C7B27" w:rsidRDefault="000C7B27" w:rsidP="000C7B27">
      <w:pPr>
        <w:spacing w:line="480" w:lineRule="auto"/>
        <w:rPr>
          <w:lang w:val="en-US"/>
        </w:rPr>
      </w:pPr>
      <w:r w:rsidRPr="00EF7ABA">
        <w:rPr>
          <w:lang w:val="en-US"/>
        </w:rPr>
        <w:t>Upper Panel: fold-change in platelet counts during experimental endotoxemia (n=16 for LPS, n=4 for placebo); lower panel: fold-change in leucocyte counts during experimental endotoxemia and after placebo infusion (n=16 for LPS, n=4 for placebo); presented are medians ± interquartile range.</w:t>
      </w:r>
    </w:p>
    <w:p w:rsidR="000C7B27" w:rsidRDefault="000C7B27" w:rsidP="000C7B27">
      <w:pPr>
        <w:spacing w:line="480" w:lineRule="auto"/>
        <w:rPr>
          <w:lang w:val="en-US"/>
        </w:rPr>
      </w:pPr>
    </w:p>
    <w:p w:rsidR="000C7B27" w:rsidRDefault="000C7B27" w:rsidP="000C7B27">
      <w:pPr>
        <w:spacing w:line="480" w:lineRule="auto"/>
        <w:rPr>
          <w:lang w:val="en-US"/>
        </w:rPr>
      </w:pPr>
    </w:p>
    <w:p w:rsidR="00967EC7" w:rsidRDefault="00967EC7"/>
    <w:sectPr w:rsidR="00967EC7" w:rsidSect="00967EC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27"/>
    <w:rsid w:val="000C7B27"/>
    <w:rsid w:val="0096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B99D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B27"/>
    <w:rPr>
      <w:rFonts w:ascii="Cambria" w:eastAsia="MS ??" w:hAnsi="Cambria" w:cs="Times New Roma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C7B27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C7B27"/>
    <w:rPr>
      <w:rFonts w:ascii="Lucida Grande" w:eastAsia="MS ??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B27"/>
    <w:rPr>
      <w:rFonts w:ascii="Cambria" w:eastAsia="MS ??" w:hAnsi="Cambria" w:cs="Times New Roma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C7B27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C7B27"/>
    <w:rPr>
      <w:rFonts w:ascii="Lucida Grande" w:eastAsia="MS ??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1059</Characters>
  <Application>Microsoft Macintosh Word</Application>
  <DocSecurity>0</DocSecurity>
  <Lines>8</Lines>
  <Paragraphs>2</Paragraphs>
  <ScaleCrop>false</ScaleCrop>
  <Company>Meduniwien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Schörgenhofer</dc:creator>
  <cp:keywords/>
  <dc:description/>
  <cp:lastModifiedBy>Christian  Schörgenhofer</cp:lastModifiedBy>
  <cp:revision>1</cp:revision>
  <dcterms:created xsi:type="dcterms:W3CDTF">2019-06-26T13:42:00Z</dcterms:created>
  <dcterms:modified xsi:type="dcterms:W3CDTF">2019-06-26T13:47:00Z</dcterms:modified>
</cp:coreProperties>
</file>