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26FB" w14:textId="77777777" w:rsidR="00CA6595" w:rsidRDefault="00CA6595" w:rsidP="00CA6595">
      <w:pPr>
        <w:widowControl/>
        <w:autoSpaceDE w:val="0"/>
        <w:autoSpaceDN w:val="0"/>
        <w:adjustRightInd w:val="0"/>
        <w:spacing w:before="10" w:after="10"/>
        <w:jc w:val="center"/>
        <w:rPr>
          <w:rFonts w:ascii="Times" w:eastAsia="等线" w:hAnsi="Times" w:cs="Times"/>
          <w:b/>
          <w:bCs/>
          <w:color w:val="000000"/>
          <w:sz w:val="26"/>
          <w:szCs w:val="26"/>
        </w:rPr>
      </w:pPr>
      <w:bookmarkStart w:id="0" w:name="_GoBack"/>
      <w:bookmarkEnd w:id="0"/>
      <w:r>
        <w:rPr>
          <w:rFonts w:cs="Times New Roman"/>
          <w:b/>
          <w:bCs/>
          <w:sz w:val="23"/>
          <w:szCs w:val="23"/>
        </w:rPr>
        <w:t>Supplementary Online Content</w:t>
      </w:r>
    </w:p>
    <w:p w14:paraId="0E16422E" w14:textId="77777777" w:rsidR="00CA6595" w:rsidRDefault="00CA6595" w:rsidP="00813F21">
      <w:pPr>
        <w:widowControl/>
        <w:autoSpaceDE w:val="0"/>
        <w:autoSpaceDN w:val="0"/>
        <w:adjustRightInd w:val="0"/>
        <w:spacing w:before="10" w:after="10"/>
        <w:jc w:val="left"/>
        <w:rPr>
          <w:rFonts w:ascii="Times" w:eastAsia="等线" w:hAnsi="Times" w:cs="Times"/>
          <w:b/>
          <w:bCs/>
          <w:color w:val="000000"/>
          <w:sz w:val="26"/>
          <w:szCs w:val="26"/>
        </w:rPr>
      </w:pPr>
    </w:p>
    <w:p w14:paraId="06F58DC5" w14:textId="77777777" w:rsidR="00CA6595" w:rsidRDefault="00CA6595" w:rsidP="00813F21">
      <w:pPr>
        <w:widowControl/>
        <w:autoSpaceDE w:val="0"/>
        <w:autoSpaceDN w:val="0"/>
        <w:adjustRightInd w:val="0"/>
        <w:spacing w:before="10" w:after="10"/>
        <w:jc w:val="left"/>
        <w:rPr>
          <w:rFonts w:ascii="Times" w:eastAsia="等线" w:hAnsi="Times" w:cs="Times"/>
          <w:b/>
          <w:bCs/>
          <w:color w:val="000000"/>
          <w:sz w:val="26"/>
          <w:szCs w:val="26"/>
        </w:rPr>
      </w:pPr>
    </w:p>
    <w:p w14:paraId="68C733BE" w14:textId="77777777" w:rsidR="00E56A4E" w:rsidRDefault="00E56A4E" w:rsidP="00813F21">
      <w:pPr>
        <w:widowControl/>
        <w:autoSpaceDE w:val="0"/>
        <w:autoSpaceDN w:val="0"/>
        <w:adjustRightInd w:val="0"/>
        <w:spacing w:before="10" w:after="10"/>
        <w:jc w:val="left"/>
        <w:rPr>
          <w:rFonts w:ascii="Times" w:eastAsia="等线" w:hAnsi="Times" w:cs="Times"/>
          <w:bCs/>
          <w:color w:val="000000"/>
        </w:rPr>
      </w:pPr>
      <w:r w:rsidRPr="00E56A4E">
        <w:rPr>
          <w:rFonts w:ascii="Times" w:eastAsia="等线" w:hAnsi="Times" w:cs="Times"/>
          <w:bCs/>
          <w:color w:val="000000"/>
        </w:rPr>
        <w:t>Do population-level risk prediction models that use routinely collected health data reliably predict individual risks?</w:t>
      </w:r>
    </w:p>
    <w:p w14:paraId="31275D03" w14:textId="085CBCE4" w:rsidR="00CA6595" w:rsidRDefault="00A70147" w:rsidP="00813F21">
      <w:pPr>
        <w:widowControl/>
        <w:autoSpaceDE w:val="0"/>
        <w:autoSpaceDN w:val="0"/>
        <w:adjustRightInd w:val="0"/>
        <w:spacing w:before="10" w:after="10"/>
        <w:jc w:val="left"/>
        <w:rPr>
          <w:rFonts w:ascii="Times" w:eastAsia="等线" w:hAnsi="Times" w:cs="Times"/>
          <w:bCs/>
          <w:color w:val="000000"/>
        </w:rPr>
      </w:pPr>
      <w:r>
        <w:rPr>
          <w:rFonts w:ascii="Times" w:eastAsia="等线" w:hAnsi="Times" w:cs="Times"/>
          <w:bCs/>
          <w:color w:val="000000"/>
        </w:rPr>
        <w:t>Scientific Reports</w:t>
      </w:r>
      <w:r w:rsidR="00CA6595">
        <w:rPr>
          <w:rFonts w:ascii="Times" w:eastAsia="等线" w:hAnsi="Times" w:cs="Times"/>
          <w:bCs/>
          <w:color w:val="000000"/>
        </w:rPr>
        <w:t xml:space="preserve"> XXX</w:t>
      </w:r>
      <w:r w:rsidR="00312926">
        <w:rPr>
          <w:rFonts w:ascii="Times" w:eastAsia="等线" w:hAnsi="Times" w:cs="Times"/>
          <w:bCs/>
          <w:color w:val="000000"/>
        </w:rPr>
        <w:t>. Published online XXX</w:t>
      </w:r>
    </w:p>
    <w:p w14:paraId="4E281A93" w14:textId="77777777" w:rsidR="00312926" w:rsidRDefault="00312926" w:rsidP="00813F21">
      <w:pPr>
        <w:widowControl/>
        <w:autoSpaceDE w:val="0"/>
        <w:autoSpaceDN w:val="0"/>
        <w:adjustRightInd w:val="0"/>
        <w:spacing w:before="10" w:after="10"/>
        <w:jc w:val="left"/>
        <w:rPr>
          <w:rFonts w:ascii="Times" w:eastAsia="等线" w:hAnsi="Times" w:cs="Times"/>
          <w:bCs/>
          <w:color w:val="000000"/>
        </w:rPr>
      </w:pPr>
      <w:r>
        <w:rPr>
          <w:rFonts w:ascii="Times" w:eastAsia="等线" w:hAnsi="Times" w:cs="Times"/>
          <w:bCs/>
          <w:color w:val="000000"/>
        </w:rPr>
        <w:t>Doi: XXXX</w:t>
      </w:r>
    </w:p>
    <w:p w14:paraId="7390551D" w14:textId="77777777" w:rsidR="00312926" w:rsidRDefault="00312926" w:rsidP="00813F21">
      <w:pPr>
        <w:widowControl/>
        <w:autoSpaceDE w:val="0"/>
        <w:autoSpaceDN w:val="0"/>
        <w:adjustRightInd w:val="0"/>
        <w:spacing w:before="10" w:after="10"/>
        <w:jc w:val="left"/>
        <w:rPr>
          <w:rFonts w:ascii="Times" w:eastAsia="等线" w:hAnsi="Times" w:cs="Times"/>
          <w:bCs/>
          <w:color w:val="000000"/>
        </w:rPr>
      </w:pPr>
    </w:p>
    <w:p w14:paraId="031E1FF7" w14:textId="77777777" w:rsidR="006F53D4" w:rsidRDefault="006F53D4" w:rsidP="00813F21">
      <w:pPr>
        <w:widowControl/>
        <w:autoSpaceDE w:val="0"/>
        <w:autoSpaceDN w:val="0"/>
        <w:adjustRightInd w:val="0"/>
        <w:spacing w:before="10" w:after="10"/>
        <w:jc w:val="left"/>
        <w:rPr>
          <w:rFonts w:ascii="Times" w:eastAsia="等线" w:hAnsi="Times" w:cs="Times"/>
          <w:bCs/>
          <w:color w:val="000000"/>
        </w:rPr>
      </w:pPr>
      <w:proofErr w:type="spellStart"/>
      <w:r w:rsidRPr="006F53D4">
        <w:rPr>
          <w:rFonts w:ascii="Times" w:eastAsia="等线" w:hAnsi="Times" w:cs="Times"/>
          <w:b/>
          <w:bCs/>
          <w:color w:val="000000"/>
        </w:rPr>
        <w:t>eAppendix</w:t>
      </w:r>
      <w:proofErr w:type="spellEnd"/>
      <w:r w:rsidRPr="006F53D4">
        <w:rPr>
          <w:rFonts w:ascii="Times" w:eastAsia="等线" w:hAnsi="Times" w:cs="Times"/>
          <w:b/>
          <w:bCs/>
          <w:color w:val="000000"/>
        </w:rPr>
        <w:t>.</w:t>
      </w:r>
      <w:r>
        <w:rPr>
          <w:rFonts w:ascii="Times" w:eastAsia="等线" w:hAnsi="Times" w:cs="Times"/>
          <w:bCs/>
          <w:color w:val="000000"/>
        </w:rPr>
        <w:t xml:space="preserve"> </w:t>
      </w:r>
      <w:r w:rsidR="006A0393">
        <w:rPr>
          <w:rFonts w:ascii="Times" w:eastAsia="等线" w:hAnsi="Times" w:cs="Times"/>
          <w:bCs/>
          <w:color w:val="000000"/>
        </w:rPr>
        <w:t>I</w:t>
      </w:r>
      <w:r>
        <w:rPr>
          <w:rFonts w:ascii="Times" w:eastAsia="等线" w:hAnsi="Times" w:cs="Times"/>
          <w:bCs/>
          <w:color w:val="000000"/>
        </w:rPr>
        <w:t xml:space="preserve">nterpretation of appendix tables and figures. </w:t>
      </w:r>
    </w:p>
    <w:p w14:paraId="35BD05E5" w14:textId="77777777" w:rsidR="00054AFE" w:rsidRDefault="00054AFE" w:rsidP="00813F21">
      <w:pPr>
        <w:widowControl/>
        <w:autoSpaceDE w:val="0"/>
        <w:autoSpaceDN w:val="0"/>
        <w:adjustRightInd w:val="0"/>
        <w:spacing w:before="10" w:after="10"/>
        <w:jc w:val="left"/>
        <w:rPr>
          <w:rFonts w:ascii="Times" w:eastAsia="等线" w:hAnsi="Times" w:cs="Times"/>
          <w:bCs/>
          <w:color w:val="000000"/>
        </w:rPr>
      </w:pPr>
    </w:p>
    <w:p w14:paraId="2F9800C1" w14:textId="77777777" w:rsidR="00054AFE" w:rsidRDefault="00401A5A" w:rsidP="00813F21">
      <w:pPr>
        <w:widowControl/>
        <w:autoSpaceDE w:val="0"/>
        <w:autoSpaceDN w:val="0"/>
        <w:adjustRightInd w:val="0"/>
        <w:spacing w:before="10" w:after="10"/>
        <w:jc w:val="left"/>
        <w:rPr>
          <w:rFonts w:ascii="Times" w:eastAsia="等线" w:hAnsi="Times" w:cs="Times"/>
          <w:bCs/>
          <w:color w:val="000000"/>
        </w:rPr>
      </w:pPr>
      <w:proofErr w:type="spellStart"/>
      <w:r w:rsidRPr="00264EA2">
        <w:rPr>
          <w:rFonts w:ascii="Times" w:eastAsia="等线" w:hAnsi="Times" w:cs="Times"/>
          <w:b/>
          <w:bCs/>
          <w:color w:val="000000"/>
        </w:rPr>
        <w:t>e</w:t>
      </w:r>
      <w:r w:rsidR="00054AFE" w:rsidRPr="00264EA2">
        <w:rPr>
          <w:rFonts w:ascii="Times" w:eastAsia="等线" w:hAnsi="Times" w:cs="Times"/>
          <w:b/>
          <w:bCs/>
          <w:color w:val="000000"/>
        </w:rPr>
        <w:t>Table</w:t>
      </w:r>
      <w:proofErr w:type="spellEnd"/>
      <w:r w:rsidR="00054AFE" w:rsidRPr="00264EA2">
        <w:rPr>
          <w:rFonts w:ascii="Times" w:eastAsia="等线" w:hAnsi="Times" w:cs="Times"/>
          <w:b/>
          <w:bCs/>
          <w:color w:val="000000"/>
        </w:rPr>
        <w:t xml:space="preserve"> 1. </w:t>
      </w:r>
      <w:r w:rsidR="00034E83" w:rsidRPr="00034E83">
        <w:rPr>
          <w:rFonts w:ascii="Times" w:eastAsia="等线" w:hAnsi="Times" w:cs="Times"/>
          <w:bCs/>
          <w:color w:val="000000"/>
        </w:rPr>
        <w:t>Distribution across practices of the number of CVD cases, number of patients at risk and survival rate over 10 years</w:t>
      </w:r>
    </w:p>
    <w:p w14:paraId="7561BF6E" w14:textId="77777777" w:rsidR="0004481A" w:rsidRDefault="0004481A" w:rsidP="00813F21">
      <w:pPr>
        <w:widowControl/>
        <w:autoSpaceDE w:val="0"/>
        <w:autoSpaceDN w:val="0"/>
        <w:adjustRightInd w:val="0"/>
        <w:spacing w:before="10" w:after="10"/>
        <w:jc w:val="left"/>
        <w:rPr>
          <w:rFonts w:ascii="Times" w:eastAsia="等线" w:hAnsi="Times" w:cs="Times"/>
          <w:bCs/>
          <w:color w:val="000000"/>
        </w:rPr>
      </w:pPr>
    </w:p>
    <w:p w14:paraId="023F6743" w14:textId="77777777" w:rsidR="008E15D1" w:rsidRPr="008E15D1" w:rsidRDefault="0004481A" w:rsidP="008E15D1">
      <w:pPr>
        <w:widowControl/>
        <w:autoSpaceDE w:val="0"/>
        <w:autoSpaceDN w:val="0"/>
        <w:adjustRightInd w:val="0"/>
        <w:spacing w:before="10" w:after="10"/>
        <w:jc w:val="left"/>
        <w:rPr>
          <w:rFonts w:ascii="Times" w:eastAsia="等线" w:hAnsi="Times" w:cs="Times"/>
          <w:bCs/>
          <w:color w:val="000000"/>
        </w:rPr>
      </w:pPr>
      <w:proofErr w:type="spellStart"/>
      <w:r w:rsidRPr="009D56B2">
        <w:rPr>
          <w:rFonts w:ascii="Times" w:eastAsia="等线" w:hAnsi="Times" w:cs="Times"/>
          <w:b/>
          <w:bCs/>
          <w:color w:val="000000"/>
        </w:rPr>
        <w:t>e</w:t>
      </w:r>
      <w:r w:rsidR="00910101" w:rsidRPr="009D56B2">
        <w:rPr>
          <w:rFonts w:ascii="Times" w:eastAsia="等线" w:hAnsi="Times" w:cs="Times"/>
          <w:b/>
          <w:bCs/>
          <w:color w:val="000000"/>
        </w:rPr>
        <w:t>Figure</w:t>
      </w:r>
      <w:proofErr w:type="spellEnd"/>
      <w:r w:rsidR="00910101" w:rsidRPr="009D56B2">
        <w:rPr>
          <w:rFonts w:ascii="Times" w:eastAsia="等线" w:hAnsi="Times" w:cs="Times"/>
          <w:b/>
          <w:bCs/>
          <w:color w:val="000000"/>
        </w:rPr>
        <w:t xml:space="preserve"> 1</w:t>
      </w:r>
      <w:r w:rsidR="005D44A6">
        <w:rPr>
          <w:rFonts w:ascii="Times" w:eastAsia="等线" w:hAnsi="Times" w:cs="Times"/>
          <w:bCs/>
          <w:color w:val="000000"/>
        </w:rPr>
        <w:t xml:space="preserve">. </w:t>
      </w:r>
      <w:r w:rsidR="008E15D1" w:rsidRPr="008E15D1">
        <w:rPr>
          <w:rFonts w:ascii="Times" w:eastAsia="等线" w:hAnsi="Times" w:cs="Times"/>
          <w:bCs/>
          <w:color w:val="000000"/>
        </w:rPr>
        <w:t xml:space="preserve">Comparison of random effects model’s score and QRISK3 score </w:t>
      </w:r>
    </w:p>
    <w:p w14:paraId="41F9DE90" w14:textId="5569394C" w:rsidR="0004481A" w:rsidRDefault="008E15D1" w:rsidP="008E15D1">
      <w:pPr>
        <w:widowControl/>
        <w:autoSpaceDE w:val="0"/>
        <w:autoSpaceDN w:val="0"/>
        <w:adjustRightInd w:val="0"/>
        <w:spacing w:before="10" w:after="10"/>
        <w:jc w:val="left"/>
        <w:rPr>
          <w:rFonts w:ascii="Times" w:eastAsia="等线" w:hAnsi="Times" w:cs="Times"/>
          <w:bCs/>
          <w:color w:val="000000"/>
        </w:rPr>
      </w:pPr>
      <w:r w:rsidRPr="008E15D1">
        <w:rPr>
          <w:rFonts w:ascii="Times" w:eastAsia="等线" w:hAnsi="Times" w:cs="Times"/>
          <w:bCs/>
          <w:color w:val="000000"/>
        </w:rPr>
        <w:t>in the same group of patients (grouped by certain range (red lines) of QRISK3 score)</w:t>
      </w:r>
    </w:p>
    <w:p w14:paraId="29DC210A" w14:textId="77777777" w:rsidR="006338C4" w:rsidRDefault="006338C4" w:rsidP="00813F21">
      <w:pPr>
        <w:widowControl/>
        <w:autoSpaceDE w:val="0"/>
        <w:autoSpaceDN w:val="0"/>
        <w:adjustRightInd w:val="0"/>
        <w:spacing w:before="10" w:after="10"/>
        <w:jc w:val="left"/>
        <w:rPr>
          <w:rFonts w:ascii="Times" w:eastAsia="等线" w:hAnsi="Times" w:cs="Times"/>
          <w:bCs/>
          <w:color w:val="000000"/>
        </w:rPr>
      </w:pPr>
    </w:p>
    <w:p w14:paraId="7CEC5798" w14:textId="77777777" w:rsidR="006338C4" w:rsidRDefault="006338C4" w:rsidP="00813F21">
      <w:pPr>
        <w:widowControl/>
        <w:autoSpaceDE w:val="0"/>
        <w:autoSpaceDN w:val="0"/>
        <w:adjustRightInd w:val="0"/>
        <w:spacing w:before="10" w:after="10"/>
        <w:jc w:val="left"/>
        <w:rPr>
          <w:rFonts w:ascii="Times" w:eastAsia="等线" w:hAnsi="Times" w:cs="Times"/>
          <w:bCs/>
          <w:color w:val="000000"/>
        </w:rPr>
      </w:pPr>
      <w:proofErr w:type="spellStart"/>
      <w:r w:rsidRPr="006338C4">
        <w:rPr>
          <w:rFonts w:ascii="Times" w:eastAsia="等线" w:hAnsi="Times" w:cs="Times"/>
          <w:b/>
          <w:bCs/>
          <w:color w:val="000000"/>
        </w:rPr>
        <w:t>eFigure</w:t>
      </w:r>
      <w:proofErr w:type="spellEnd"/>
      <w:r w:rsidRPr="006338C4">
        <w:rPr>
          <w:rFonts w:ascii="Times" w:eastAsia="等线" w:hAnsi="Times" w:cs="Times"/>
          <w:b/>
          <w:bCs/>
          <w:color w:val="000000"/>
        </w:rPr>
        <w:t xml:space="preserve"> 2.</w:t>
      </w:r>
      <w:r w:rsidRPr="006338C4">
        <w:rPr>
          <w:rFonts w:ascii="Times" w:eastAsia="等线" w:hAnsi="Times" w:cs="Times"/>
          <w:bCs/>
          <w:color w:val="000000"/>
        </w:rPr>
        <w:t xml:space="preserve"> </w:t>
      </w:r>
      <w:r w:rsidR="00062246">
        <w:rPr>
          <w:rFonts w:ascii="Times" w:eastAsia="等线" w:hAnsi="Times" w:cs="Times"/>
          <w:bCs/>
          <w:color w:val="000000"/>
        </w:rPr>
        <w:t>Comparison of n</w:t>
      </w:r>
      <w:r w:rsidRPr="006338C4">
        <w:rPr>
          <w:rFonts w:ascii="Times" w:eastAsia="等线" w:hAnsi="Times" w:cs="Times"/>
          <w:bCs/>
          <w:color w:val="000000"/>
        </w:rPr>
        <w:t xml:space="preserve">et benefit </w:t>
      </w:r>
      <w:r w:rsidR="00062246">
        <w:rPr>
          <w:rFonts w:ascii="Times" w:eastAsia="等线" w:hAnsi="Times" w:cs="Times"/>
          <w:bCs/>
          <w:color w:val="000000"/>
        </w:rPr>
        <w:t>between</w:t>
      </w:r>
      <w:r w:rsidRPr="006338C4">
        <w:rPr>
          <w:rFonts w:ascii="Times" w:eastAsia="等线" w:hAnsi="Times" w:cs="Times"/>
          <w:bCs/>
          <w:color w:val="000000"/>
        </w:rPr>
        <w:t xml:space="preserve"> QRISK3 and random effects model</w:t>
      </w:r>
    </w:p>
    <w:p w14:paraId="11E94FB1" w14:textId="4258B50B" w:rsidR="00887604" w:rsidRDefault="00887604" w:rsidP="00813F21">
      <w:pPr>
        <w:widowControl/>
        <w:autoSpaceDE w:val="0"/>
        <w:autoSpaceDN w:val="0"/>
        <w:adjustRightInd w:val="0"/>
        <w:spacing w:before="10" w:after="10"/>
        <w:jc w:val="left"/>
        <w:rPr>
          <w:rFonts w:ascii="Times" w:eastAsia="等线" w:hAnsi="Times" w:cs="Times"/>
          <w:bCs/>
          <w:color w:val="000000"/>
        </w:rPr>
      </w:pPr>
    </w:p>
    <w:p w14:paraId="33FA214A" w14:textId="77777777" w:rsidR="007B634D" w:rsidRDefault="007B634D" w:rsidP="007B634D">
      <w:pPr>
        <w:widowControl/>
        <w:rPr>
          <w:rFonts w:cs="Times New Roman"/>
          <w:b/>
          <w:color w:val="00000A"/>
          <w:sz w:val="24"/>
          <w:szCs w:val="24"/>
        </w:rPr>
      </w:pPr>
      <w:proofErr w:type="spellStart"/>
      <w:r>
        <w:rPr>
          <w:rFonts w:cs="Times New Roman"/>
          <w:b/>
          <w:color w:val="00000A"/>
          <w:sz w:val="24"/>
          <w:szCs w:val="24"/>
        </w:rPr>
        <w:t>eFigure</w:t>
      </w:r>
      <w:proofErr w:type="spellEnd"/>
      <w:r>
        <w:rPr>
          <w:rFonts w:cs="Times New Roman"/>
          <w:b/>
          <w:color w:val="00000A"/>
          <w:sz w:val="24"/>
          <w:szCs w:val="24"/>
        </w:rPr>
        <w:t xml:space="preserve"> 3-1. </w:t>
      </w:r>
      <w:r w:rsidRPr="001D5DCE">
        <w:rPr>
          <w:rFonts w:cs="Times New Roman"/>
          <w:color w:val="00000A"/>
          <w:sz w:val="24"/>
          <w:szCs w:val="24"/>
        </w:rPr>
        <w:t>Calibration plot of QRISK3</w:t>
      </w:r>
    </w:p>
    <w:p w14:paraId="60262F86" w14:textId="1DDBE628" w:rsidR="007B634D" w:rsidRDefault="007B634D" w:rsidP="00813F21">
      <w:pPr>
        <w:widowControl/>
        <w:autoSpaceDE w:val="0"/>
        <w:autoSpaceDN w:val="0"/>
        <w:adjustRightInd w:val="0"/>
        <w:spacing w:before="10" w:after="10"/>
        <w:jc w:val="left"/>
        <w:rPr>
          <w:rFonts w:ascii="Times" w:eastAsia="等线" w:hAnsi="Times" w:cs="Times"/>
          <w:bCs/>
          <w:color w:val="000000"/>
        </w:rPr>
      </w:pPr>
    </w:p>
    <w:p w14:paraId="1E43012C" w14:textId="66390AE3" w:rsidR="007B634D" w:rsidRDefault="007B634D" w:rsidP="007B634D">
      <w:pPr>
        <w:widowControl/>
        <w:rPr>
          <w:rFonts w:cs="Times New Roman"/>
          <w:b/>
          <w:color w:val="00000A"/>
          <w:sz w:val="24"/>
          <w:szCs w:val="24"/>
        </w:rPr>
      </w:pPr>
      <w:proofErr w:type="spellStart"/>
      <w:r>
        <w:rPr>
          <w:rFonts w:cs="Times New Roman"/>
          <w:b/>
          <w:color w:val="00000A"/>
          <w:sz w:val="24"/>
          <w:szCs w:val="24"/>
        </w:rPr>
        <w:t>eFigure</w:t>
      </w:r>
      <w:proofErr w:type="spellEnd"/>
      <w:r>
        <w:rPr>
          <w:rFonts w:cs="Times New Roman"/>
          <w:b/>
          <w:color w:val="00000A"/>
          <w:sz w:val="24"/>
          <w:szCs w:val="24"/>
        </w:rPr>
        <w:t xml:space="preserve"> 3-2. </w:t>
      </w:r>
      <w:r w:rsidRPr="001D5DCE">
        <w:rPr>
          <w:rFonts w:cs="Times New Roman"/>
          <w:color w:val="00000A"/>
          <w:sz w:val="24"/>
          <w:szCs w:val="24"/>
        </w:rPr>
        <w:t>Calibration plot of random effects model</w:t>
      </w:r>
    </w:p>
    <w:p w14:paraId="181950F2" w14:textId="77777777" w:rsidR="007B634D" w:rsidRDefault="007B634D" w:rsidP="00813F21">
      <w:pPr>
        <w:widowControl/>
        <w:autoSpaceDE w:val="0"/>
        <w:autoSpaceDN w:val="0"/>
        <w:adjustRightInd w:val="0"/>
        <w:spacing w:before="10" w:after="10"/>
        <w:jc w:val="left"/>
        <w:rPr>
          <w:rFonts w:ascii="Times" w:eastAsia="等线" w:hAnsi="Times" w:cs="Times"/>
          <w:bCs/>
          <w:color w:val="000000"/>
        </w:rPr>
      </w:pPr>
    </w:p>
    <w:p w14:paraId="3EA2FB50" w14:textId="0927C488" w:rsidR="009D1529" w:rsidRDefault="009D1529" w:rsidP="00813F21">
      <w:pPr>
        <w:widowControl/>
        <w:autoSpaceDE w:val="0"/>
        <w:autoSpaceDN w:val="0"/>
        <w:adjustRightInd w:val="0"/>
        <w:spacing w:before="10" w:after="10"/>
        <w:jc w:val="left"/>
        <w:rPr>
          <w:rFonts w:ascii="Times" w:eastAsia="等线" w:hAnsi="Times" w:cs="Times"/>
          <w:bCs/>
          <w:color w:val="000000"/>
        </w:rPr>
      </w:pPr>
      <w:proofErr w:type="spellStart"/>
      <w:r w:rsidRPr="00887604">
        <w:rPr>
          <w:rFonts w:ascii="Times" w:eastAsia="等线" w:hAnsi="Times" w:cs="Times"/>
          <w:b/>
          <w:bCs/>
          <w:color w:val="000000"/>
        </w:rPr>
        <w:t>eFigure</w:t>
      </w:r>
      <w:proofErr w:type="spellEnd"/>
      <w:r w:rsidRPr="00887604">
        <w:rPr>
          <w:rFonts w:ascii="Times" w:eastAsia="等线" w:hAnsi="Times" w:cs="Times"/>
          <w:b/>
          <w:bCs/>
          <w:color w:val="000000"/>
        </w:rPr>
        <w:t xml:space="preserve"> </w:t>
      </w:r>
      <w:r w:rsidR="00D424D8">
        <w:rPr>
          <w:rFonts w:ascii="Times" w:eastAsia="等线" w:hAnsi="Times" w:cs="Times"/>
          <w:b/>
          <w:bCs/>
          <w:color w:val="000000"/>
        </w:rPr>
        <w:t>4</w:t>
      </w:r>
      <w:r w:rsidRPr="00887604">
        <w:rPr>
          <w:rFonts w:ascii="Times" w:eastAsia="等线" w:hAnsi="Times" w:cs="Times"/>
          <w:bCs/>
          <w:color w:val="000000"/>
        </w:rPr>
        <w:t xml:space="preserve">. </w:t>
      </w:r>
      <w:r>
        <w:rPr>
          <w:rFonts w:ascii="Times" w:eastAsia="等线" w:hAnsi="Times" w:cs="Times"/>
          <w:bCs/>
          <w:color w:val="000000"/>
        </w:rPr>
        <w:t xml:space="preserve">Variation of QRISK3’s C-statistic among practices—a replication of </w:t>
      </w:r>
      <w:r w:rsidRPr="00887604">
        <w:rPr>
          <w:rFonts w:ascii="Times" w:eastAsia="等线" w:hAnsi="Times" w:cs="Times"/>
          <w:bCs/>
          <w:color w:val="000000"/>
        </w:rPr>
        <w:t xml:space="preserve">Riley’s </w:t>
      </w:r>
      <w:r w:rsidR="00582332">
        <w:rPr>
          <w:rFonts w:ascii="Times" w:eastAsia="等线" w:hAnsi="Times" w:cs="Times"/>
          <w:bCs/>
          <w:color w:val="000000"/>
        </w:rPr>
        <w:t>funnel plot</w:t>
      </w:r>
    </w:p>
    <w:p w14:paraId="69649EE8" w14:textId="77777777" w:rsidR="00582332" w:rsidRDefault="00582332" w:rsidP="00813F21">
      <w:pPr>
        <w:widowControl/>
        <w:autoSpaceDE w:val="0"/>
        <w:autoSpaceDN w:val="0"/>
        <w:adjustRightInd w:val="0"/>
        <w:spacing w:before="10" w:after="10"/>
        <w:jc w:val="left"/>
        <w:rPr>
          <w:rFonts w:ascii="Times" w:eastAsia="等线" w:hAnsi="Times" w:cs="Times"/>
          <w:bCs/>
          <w:color w:val="000000"/>
        </w:rPr>
        <w:sectPr w:rsidR="00582332" w:rsidSect="00F930B3">
          <w:pgSz w:w="11906" w:h="16838"/>
          <w:pgMar w:top="1440" w:right="1800" w:bottom="1440" w:left="1800" w:header="851" w:footer="992" w:gutter="0"/>
          <w:cols w:space="425"/>
          <w:docGrid w:type="lines" w:linePitch="312"/>
        </w:sectPr>
      </w:pPr>
    </w:p>
    <w:p w14:paraId="54311AD3" w14:textId="77777777" w:rsidR="005B71E0" w:rsidRDefault="00B60392" w:rsidP="0072537D">
      <w:pPr>
        <w:adjustRightInd w:val="0"/>
        <w:spacing w:before="10" w:after="10"/>
        <w:jc w:val="left"/>
        <w:rPr>
          <w:rFonts w:ascii="Times" w:eastAsia="等线" w:hAnsi="Times" w:cs="Times"/>
          <w:b/>
          <w:bCs/>
          <w:color w:val="000000"/>
          <w:sz w:val="26"/>
          <w:szCs w:val="26"/>
        </w:rPr>
      </w:pPr>
      <w:proofErr w:type="spellStart"/>
      <w:r w:rsidRPr="006F53D4">
        <w:rPr>
          <w:rFonts w:ascii="Times" w:eastAsia="等线" w:hAnsi="Times" w:cs="Times"/>
          <w:b/>
          <w:bCs/>
          <w:color w:val="000000"/>
        </w:rPr>
        <w:lastRenderedPageBreak/>
        <w:t>eAppendix</w:t>
      </w:r>
      <w:proofErr w:type="spellEnd"/>
      <w:r w:rsidRPr="006F53D4">
        <w:rPr>
          <w:rFonts w:ascii="Times" w:eastAsia="等线" w:hAnsi="Times" w:cs="Times"/>
          <w:b/>
          <w:bCs/>
          <w:color w:val="000000"/>
        </w:rPr>
        <w:t>.</w:t>
      </w:r>
      <w:r>
        <w:rPr>
          <w:rFonts w:ascii="Times" w:eastAsia="等线" w:hAnsi="Times" w:cs="Times"/>
          <w:bCs/>
          <w:color w:val="000000"/>
        </w:rPr>
        <w:t xml:space="preserve"> Interpretation of appendix tables and figures.</w:t>
      </w:r>
    </w:p>
    <w:p w14:paraId="7ADEE3BF" w14:textId="77777777" w:rsidR="00B87D3B" w:rsidRDefault="00B87D3B" w:rsidP="0072537D">
      <w:pPr>
        <w:adjustRightInd w:val="0"/>
        <w:spacing w:before="10" w:after="10"/>
        <w:jc w:val="left"/>
        <w:rPr>
          <w:rFonts w:ascii="Times" w:hAnsi="Times" w:cs="Times"/>
          <w:bCs/>
          <w:color w:val="000000"/>
        </w:rPr>
      </w:pPr>
    </w:p>
    <w:p w14:paraId="53D40115" w14:textId="77777777" w:rsidR="00561EAD" w:rsidRDefault="009D2C15" w:rsidP="00561EAD">
      <w:pPr>
        <w:adjustRightInd w:val="0"/>
        <w:spacing w:before="10" w:after="10"/>
        <w:jc w:val="left"/>
        <w:rPr>
          <w:rFonts w:ascii="Times" w:hAnsi="Times" w:cs="Times"/>
          <w:bCs/>
          <w:color w:val="000000"/>
        </w:rPr>
      </w:pPr>
      <w:hyperlink w:anchor="eTable1" w:history="1">
        <w:proofErr w:type="spellStart"/>
        <w:r w:rsidR="00561EAD" w:rsidRPr="006D4F28">
          <w:rPr>
            <w:rStyle w:val="Hyperlink"/>
            <w:rFonts w:ascii="Times" w:hAnsi="Times" w:cs="Times"/>
            <w:bCs/>
          </w:rPr>
          <w:t>eTable</w:t>
        </w:r>
        <w:proofErr w:type="spellEnd"/>
        <w:r w:rsidR="00561EAD" w:rsidRPr="006D4F28">
          <w:rPr>
            <w:rStyle w:val="Hyperlink"/>
            <w:rFonts w:ascii="Times" w:hAnsi="Times" w:cs="Times"/>
            <w:bCs/>
          </w:rPr>
          <w:t xml:space="preserve"> 1</w:t>
        </w:r>
      </w:hyperlink>
      <w:r w:rsidR="00561EAD" w:rsidRPr="00561EAD">
        <w:rPr>
          <w:rFonts w:ascii="Times" w:hAnsi="Times" w:cs="Times"/>
          <w:bCs/>
          <w:color w:val="000000"/>
        </w:rPr>
        <w:t xml:space="preserve"> shows the distribution of number of CVD events, number of patients at risk and survival rate among practices at 10 years. The number of CVD events, number of patients at risk and survival rate of practices are generally decreasing along the 10 years. The number of CVD events and the number of patients at risk varied between 5~95% percentile practices. The survival rate of 5~95% practices has less variation. Practices which do not have survival rate in 10 years are because their longest follow-ups are less than 10 years.</w:t>
      </w:r>
    </w:p>
    <w:p w14:paraId="073A75A6" w14:textId="77777777" w:rsidR="00561EAD" w:rsidRDefault="00561EAD" w:rsidP="00561EAD">
      <w:pPr>
        <w:adjustRightInd w:val="0"/>
        <w:spacing w:before="10" w:after="10"/>
        <w:jc w:val="left"/>
        <w:rPr>
          <w:rFonts w:ascii="Times" w:hAnsi="Times" w:cs="Times"/>
          <w:bCs/>
          <w:color w:val="000000"/>
        </w:rPr>
      </w:pPr>
    </w:p>
    <w:p w14:paraId="68C00DCF" w14:textId="77777777" w:rsidR="00561EAD" w:rsidRDefault="009D2C15" w:rsidP="00561EAD">
      <w:pPr>
        <w:adjustRightInd w:val="0"/>
        <w:spacing w:before="10" w:after="10"/>
        <w:jc w:val="left"/>
        <w:rPr>
          <w:rFonts w:ascii="Times" w:hAnsi="Times" w:cs="Times"/>
          <w:bCs/>
          <w:color w:val="000000"/>
        </w:rPr>
      </w:pPr>
      <w:hyperlink w:anchor="eFigure1" w:history="1">
        <w:proofErr w:type="spellStart"/>
        <w:r w:rsidR="00561EAD" w:rsidRPr="006D4F28">
          <w:rPr>
            <w:rStyle w:val="Hyperlink"/>
            <w:rFonts w:ascii="Times" w:hAnsi="Times" w:cs="Times"/>
            <w:bCs/>
          </w:rPr>
          <w:t>eFigure</w:t>
        </w:r>
        <w:proofErr w:type="spellEnd"/>
        <w:r w:rsidR="00561EAD" w:rsidRPr="006D4F28">
          <w:rPr>
            <w:rStyle w:val="Hyperlink"/>
            <w:rFonts w:ascii="Times" w:hAnsi="Times" w:cs="Times"/>
            <w:bCs/>
          </w:rPr>
          <w:t xml:space="preserve"> 1</w:t>
        </w:r>
      </w:hyperlink>
      <w:r w:rsidR="00561EAD" w:rsidRPr="00561EAD">
        <w:rPr>
          <w:rFonts w:ascii="Times" w:hAnsi="Times" w:cs="Times"/>
          <w:bCs/>
          <w:color w:val="000000"/>
        </w:rPr>
        <w:t xml:space="preserve"> </w:t>
      </w:r>
      <w:r w:rsidR="00565423" w:rsidRPr="00561EAD">
        <w:rPr>
          <w:rFonts w:ascii="Times" w:hAnsi="Times" w:cs="Times"/>
          <w:bCs/>
          <w:color w:val="000000"/>
        </w:rPr>
        <w:t>visuali</w:t>
      </w:r>
      <w:r w:rsidR="00565423">
        <w:rPr>
          <w:rFonts w:ascii="Times" w:hAnsi="Times" w:cs="Times"/>
          <w:bCs/>
          <w:color w:val="000000"/>
        </w:rPr>
        <w:t>z</w:t>
      </w:r>
      <w:r w:rsidR="00565423" w:rsidRPr="00561EAD">
        <w:rPr>
          <w:rFonts w:ascii="Times" w:hAnsi="Times" w:cs="Times"/>
          <w:bCs/>
          <w:color w:val="000000"/>
        </w:rPr>
        <w:t>es</w:t>
      </w:r>
      <w:r w:rsidR="00561EAD" w:rsidRPr="00561EAD">
        <w:rPr>
          <w:rFonts w:ascii="Times" w:hAnsi="Times" w:cs="Times"/>
          <w:bCs/>
          <w:color w:val="000000"/>
        </w:rPr>
        <w:t xml:space="preserve"> the inconsistencies between the risks predicted for the same group of individual patients by QRISK3 and the random effects model. Patients with a predicted QRISK3 risk between 9.5% ~ 10.5% were found to have a much larger range of risks in the random effects model (between about 6% ~15%)</w:t>
      </w:r>
    </w:p>
    <w:p w14:paraId="2ADEBA5B" w14:textId="77777777" w:rsidR="00561EAD" w:rsidRDefault="00561EAD" w:rsidP="00561EAD">
      <w:pPr>
        <w:adjustRightInd w:val="0"/>
        <w:spacing w:before="10" w:after="10"/>
        <w:jc w:val="left"/>
        <w:rPr>
          <w:rFonts w:ascii="Times" w:hAnsi="Times" w:cs="Times"/>
          <w:bCs/>
          <w:color w:val="000000"/>
        </w:rPr>
      </w:pPr>
    </w:p>
    <w:p w14:paraId="3DA00E13" w14:textId="77777777" w:rsidR="007C36D6" w:rsidRDefault="009D2C15" w:rsidP="00561EAD">
      <w:pPr>
        <w:adjustRightInd w:val="0"/>
        <w:spacing w:before="10" w:after="10"/>
        <w:jc w:val="left"/>
        <w:rPr>
          <w:rFonts w:ascii="Times" w:hAnsi="Times" w:cs="Times"/>
          <w:bCs/>
          <w:color w:val="000000"/>
        </w:rPr>
      </w:pPr>
      <w:hyperlink w:anchor="eFigure2" w:history="1">
        <w:proofErr w:type="spellStart"/>
        <w:r w:rsidR="007C36D6" w:rsidRPr="007C36D6">
          <w:rPr>
            <w:rStyle w:val="Hyperlink"/>
            <w:rFonts w:ascii="Times" w:hAnsi="Times" w:cs="Times" w:hint="eastAsia"/>
            <w:bCs/>
          </w:rPr>
          <w:t>e</w:t>
        </w:r>
        <w:r w:rsidR="007C36D6" w:rsidRPr="007C36D6">
          <w:rPr>
            <w:rStyle w:val="Hyperlink"/>
            <w:rFonts w:ascii="Times" w:hAnsi="Times" w:cs="Times"/>
            <w:bCs/>
          </w:rPr>
          <w:t>Figure</w:t>
        </w:r>
        <w:proofErr w:type="spellEnd"/>
        <w:r w:rsidR="007C36D6" w:rsidRPr="007C36D6">
          <w:rPr>
            <w:rStyle w:val="Hyperlink"/>
            <w:rFonts w:ascii="Times" w:hAnsi="Times" w:cs="Times"/>
            <w:bCs/>
          </w:rPr>
          <w:t xml:space="preserve"> 2</w:t>
        </w:r>
      </w:hyperlink>
      <w:r w:rsidR="007C36D6">
        <w:rPr>
          <w:rFonts w:ascii="Times" w:hAnsi="Times" w:cs="Times"/>
          <w:bCs/>
          <w:color w:val="000000"/>
        </w:rPr>
        <w:t xml:space="preserve"> </w:t>
      </w:r>
      <w:r w:rsidR="00606DEC">
        <w:rPr>
          <w:rFonts w:ascii="Times" w:hAnsi="Times" w:cs="Times"/>
          <w:bCs/>
          <w:color w:val="000000"/>
        </w:rPr>
        <w:t>shows</w:t>
      </w:r>
      <w:r w:rsidR="00BB25F7">
        <w:rPr>
          <w:rFonts w:ascii="Times" w:hAnsi="Times" w:cs="Times"/>
          <w:bCs/>
          <w:color w:val="000000"/>
        </w:rPr>
        <w:t xml:space="preserve"> two models’ net benefit </w:t>
      </w:r>
      <w:r w:rsidR="00606DEC">
        <w:rPr>
          <w:rFonts w:ascii="Times" w:hAnsi="Times" w:cs="Times"/>
          <w:bCs/>
          <w:color w:val="000000"/>
        </w:rPr>
        <w:t>is about 3.1% at</w:t>
      </w:r>
      <w:r w:rsidR="00BB25F7">
        <w:rPr>
          <w:rFonts w:ascii="Times" w:hAnsi="Times" w:cs="Times"/>
          <w:bCs/>
          <w:color w:val="000000"/>
        </w:rPr>
        <w:t xml:space="preserve"> the </w:t>
      </w:r>
      <w:r w:rsidR="00606DEC">
        <w:rPr>
          <w:rFonts w:ascii="Times" w:hAnsi="Times" w:cs="Times"/>
          <w:bCs/>
          <w:color w:val="000000"/>
        </w:rPr>
        <w:t>threshold 10%, which</w:t>
      </w:r>
      <w:r w:rsidR="00D56C6A">
        <w:rPr>
          <w:rFonts w:ascii="Times" w:hAnsi="Times" w:cs="Times"/>
          <w:bCs/>
          <w:color w:val="000000"/>
        </w:rPr>
        <w:t xml:space="preserve"> means both of models</w:t>
      </w:r>
      <w:r w:rsidR="00606DEC">
        <w:rPr>
          <w:rFonts w:ascii="Times" w:hAnsi="Times" w:cs="Times"/>
          <w:bCs/>
          <w:color w:val="000000"/>
        </w:rPr>
        <w:t xml:space="preserve"> predict about 3 true positive CVD events without adding new false positive CVD patients.</w:t>
      </w:r>
    </w:p>
    <w:p w14:paraId="4048C0A6" w14:textId="463AFC46" w:rsidR="00D56C6A" w:rsidRDefault="00D56C6A" w:rsidP="0072537D">
      <w:pPr>
        <w:adjustRightInd w:val="0"/>
        <w:spacing w:before="10" w:after="10"/>
        <w:jc w:val="left"/>
        <w:rPr>
          <w:rFonts w:ascii="Times" w:hAnsi="Times" w:cs="Times"/>
          <w:b/>
          <w:bCs/>
          <w:color w:val="000000"/>
        </w:rPr>
      </w:pPr>
    </w:p>
    <w:p w14:paraId="5FECE2D1" w14:textId="2E24A1AC" w:rsidR="00594E74" w:rsidRDefault="009D2C15" w:rsidP="0072537D">
      <w:pPr>
        <w:adjustRightInd w:val="0"/>
        <w:spacing w:before="10" w:after="10"/>
        <w:jc w:val="left"/>
        <w:rPr>
          <w:rFonts w:ascii="Times" w:hAnsi="Times" w:cs="Times"/>
          <w:b/>
          <w:bCs/>
          <w:color w:val="000000"/>
        </w:rPr>
      </w:pPr>
      <w:hyperlink w:anchor="eFigure31" w:history="1">
        <w:proofErr w:type="spellStart"/>
        <w:r w:rsidR="00594E74" w:rsidRPr="009E5321">
          <w:rPr>
            <w:rStyle w:val="Hyperlink"/>
            <w:rFonts w:ascii="Times" w:hAnsi="Times" w:cs="Times"/>
            <w:bCs/>
          </w:rPr>
          <w:t>eFigure</w:t>
        </w:r>
        <w:proofErr w:type="spellEnd"/>
        <w:r w:rsidR="00594E74" w:rsidRPr="009E5321">
          <w:rPr>
            <w:rStyle w:val="Hyperlink"/>
            <w:rFonts w:ascii="Times" w:hAnsi="Times" w:cs="Times"/>
            <w:bCs/>
          </w:rPr>
          <w:t xml:space="preserve"> 3-1</w:t>
        </w:r>
      </w:hyperlink>
      <w:r w:rsidR="00594E74">
        <w:rPr>
          <w:rFonts w:ascii="Times" w:hAnsi="Times" w:cs="Times"/>
          <w:b/>
          <w:bCs/>
          <w:color w:val="000000"/>
        </w:rPr>
        <w:t xml:space="preserve"> </w:t>
      </w:r>
      <w:r w:rsidR="00594E74" w:rsidRPr="001251CD">
        <w:rPr>
          <w:rFonts w:ascii="Times" w:hAnsi="Times" w:cs="Times"/>
          <w:bCs/>
          <w:color w:val="000000"/>
        </w:rPr>
        <w:t>and</w:t>
      </w:r>
      <w:r w:rsidR="00594E74">
        <w:rPr>
          <w:rFonts w:ascii="Times" w:hAnsi="Times" w:cs="Times"/>
          <w:b/>
          <w:bCs/>
          <w:color w:val="000000"/>
        </w:rPr>
        <w:t xml:space="preserve"> </w:t>
      </w:r>
      <w:hyperlink w:anchor="eFigure32" w:history="1">
        <w:r w:rsidR="00594E74" w:rsidRPr="009E5321">
          <w:rPr>
            <w:rStyle w:val="Hyperlink"/>
            <w:rFonts w:ascii="Times" w:hAnsi="Times" w:cs="Times"/>
            <w:bCs/>
          </w:rPr>
          <w:t>3-2</w:t>
        </w:r>
      </w:hyperlink>
      <w:r w:rsidR="00594E74">
        <w:rPr>
          <w:rFonts w:ascii="Times" w:hAnsi="Times" w:cs="Times"/>
          <w:b/>
          <w:bCs/>
          <w:color w:val="000000"/>
        </w:rPr>
        <w:t xml:space="preserve"> </w:t>
      </w:r>
      <w:r w:rsidR="00594E74" w:rsidRPr="00594E74">
        <w:rPr>
          <w:rFonts w:ascii="Times" w:hAnsi="Times" w:cs="Times"/>
          <w:bCs/>
          <w:color w:val="000000"/>
        </w:rPr>
        <w:t>show two models have similar calibration.</w:t>
      </w:r>
      <w:r w:rsidR="00594E74">
        <w:rPr>
          <w:rFonts w:ascii="Times" w:hAnsi="Times" w:cs="Times"/>
          <w:b/>
          <w:bCs/>
          <w:color w:val="000000"/>
        </w:rPr>
        <w:t xml:space="preserve"> </w:t>
      </w:r>
    </w:p>
    <w:p w14:paraId="3E5D15DB" w14:textId="77777777" w:rsidR="00594E74" w:rsidRDefault="00594E74" w:rsidP="0072537D">
      <w:pPr>
        <w:adjustRightInd w:val="0"/>
        <w:spacing w:before="10" w:after="10"/>
        <w:jc w:val="left"/>
        <w:rPr>
          <w:rFonts w:ascii="Times" w:hAnsi="Times" w:cs="Times"/>
          <w:b/>
          <w:bCs/>
          <w:color w:val="000000"/>
        </w:rPr>
      </w:pPr>
    </w:p>
    <w:p w14:paraId="421380AA" w14:textId="4BDEE68E" w:rsidR="00CA7E76" w:rsidRPr="00E830D3" w:rsidRDefault="009D2C15" w:rsidP="0072537D">
      <w:pPr>
        <w:adjustRightInd w:val="0"/>
        <w:spacing w:before="10" w:after="10"/>
        <w:jc w:val="left"/>
        <w:rPr>
          <w:rFonts w:ascii="Times" w:hAnsi="Times" w:cs="Times"/>
          <w:bCs/>
          <w:color w:val="000000"/>
        </w:rPr>
      </w:pPr>
      <w:hyperlink w:anchor="eFigure3" w:history="1">
        <w:proofErr w:type="spellStart"/>
        <w:r w:rsidR="00594E74">
          <w:rPr>
            <w:rStyle w:val="Hyperlink"/>
            <w:rFonts w:ascii="Times" w:hAnsi="Times" w:cs="Times"/>
            <w:bCs/>
          </w:rPr>
          <w:t>eFigure</w:t>
        </w:r>
        <w:proofErr w:type="spellEnd"/>
        <w:r w:rsidR="00594E74">
          <w:rPr>
            <w:rStyle w:val="Hyperlink"/>
            <w:rFonts w:ascii="Times" w:hAnsi="Times" w:cs="Times"/>
            <w:bCs/>
          </w:rPr>
          <w:t xml:space="preserve"> 4</w:t>
        </w:r>
      </w:hyperlink>
      <w:r w:rsidR="00E830D3">
        <w:rPr>
          <w:rFonts w:ascii="Times" w:hAnsi="Times" w:cs="Times"/>
          <w:bCs/>
          <w:color w:val="000000"/>
        </w:rPr>
        <w:t xml:space="preserve"> </w:t>
      </w:r>
      <w:r w:rsidR="004A22FB">
        <w:rPr>
          <w:rFonts w:ascii="Times" w:hAnsi="Times" w:cs="Times"/>
          <w:bCs/>
          <w:color w:val="000000"/>
        </w:rPr>
        <w:t xml:space="preserve">is a </w:t>
      </w:r>
      <w:r w:rsidR="002911BC">
        <w:rPr>
          <w:rFonts w:ascii="Times" w:hAnsi="Times" w:cs="Times"/>
          <w:bCs/>
          <w:color w:val="000000"/>
        </w:rPr>
        <w:t xml:space="preserve">replication of Riley’s </w:t>
      </w:r>
      <w:r w:rsidR="002911BC">
        <w:rPr>
          <w:rFonts w:ascii="Times" w:hAnsi="Times" w:cs="Times"/>
          <w:bCs/>
          <w:color w:val="000000"/>
        </w:rPr>
        <w:fldChar w:fldCharType="begin" w:fldLock="1"/>
      </w:r>
      <w:r>
        <w:rPr>
          <w:rFonts w:ascii="Times" w:hAnsi="Times" w:cs="Times"/>
          <w:bCs/>
          <w:color w:val="000000"/>
        </w:rPr>
        <w:instrText>ADDIN CSL_CITATION {"citationItems":[{"id":"ITEM-1","itemData":{"DOI":"10.1136/BMJ.I3140","ISSN":"1756-1833","PMID":"27334381","abstract":"Access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A popular type of clinical research is the development of statistical models that predict disease presence and outcome occurrence in individuals, 1-3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individual's risk based on values of multiple predictors (such as age and smoking, or biomarkers and genetic information). Figure 1 gives the format of equa-tions based on logistic or Cox regression, which involve an intercept or baseline hazard term combined with multiple predictor effects (corresponding to odds or hazard ratios). Well known examples are the Framing-ham risk score and QRISK2, 4 5 which estimate the 10 year risk of developing cardiovascular disease; the Not-tingham prognostic index, which predicts the five year survival probability of a woman with newly diagnosed breast cancer; 6 7 and the Wells score for predicting the presence of a pulmonary embolism. 8 9 In 2009, The BMJ published a series of four articles to guide those undertaking prediction model research, 2 10-12 and further recommendations were made in the 2013 PROGRESS series. 3 13-15 These articles all emphasised three fundamental components of prediction model research: model development, external validation, and impact evaluation. Model development is the process that leads to the final prediction equation, and involves many aspects detailed elsewhere. 2 16-18 Impact studies evaluate, ide-ally in a randomised trial, whether the implementation of a prediction model in clinical practice actually improves patient outcomes by informing treatment decisions according to the model's predicted risk. How-ever, impact studies should not be considered until the robustness and generalisability of a developed model is verified in one or more external validation studies. 3 19 External validation uses new participant level data, e…","author":[{"dropping-particle":"","family":"Riley","given":"Richard D","non-dropping-particle":"","parse-names":false,"suffix":""},{"dropping-particle":"","family":"Ensor","given":"Joie","non-dropping-particle":"","parse-names":false,"suffix":""},{"dropping-particle":"","family":"Snell","given":"Kym I E","non-dropping-particle":"","parse-names":false,"suffix":""},{"dropping-particle":"","family":"Debray","given":"Thomas P A","non-dropping-particle":"","parse-names":false,"suffix":""},{"dropping-particle":"","family":"Altman","given":"Doug G","non-dropping-particle":"","parse-names":false,"suffix":""},{"dropping-particle":"","family":"Moons","given":"Karel G M","non-dropping-particle":"","parse-names":false,"suffix":""},{"dropping-particle":"","family":"Collins","given":"Gary S","non-dropping-particle":"","parse-names":false,"suffix":""}],"container-title":"BMJ (Clinical research ed.)","id":"ITEM-1","issued":{"date-parts":[["2016","6","22"]]},"page":"i3140","publisher":"BMJ Publishing Group","title":"External validation of clinical prediction models using big datasets from e-health records or IPD meta-analysis: opportunities and challenges.","type":"article-journal","volume":"353"},"uris":["http://www.mendeley.com/documents/?uuid=a2df45da-0716-4343-9893-e0def0237507"]}],"mendeley":{"formattedCitation":"&lt;sup&gt;1&lt;/sup&gt;","plainTextFormattedCitation":"1","previouslyFormattedCitation":"&lt;sup&gt;1&lt;/sup&gt;"},"properties":{"noteIndex":0},"schema":"https://github.com/citation-style-language/schema/raw/master/csl-citation.json"}</w:instrText>
      </w:r>
      <w:r w:rsidR="002911BC">
        <w:rPr>
          <w:rFonts w:ascii="Times" w:hAnsi="Times" w:cs="Times"/>
          <w:bCs/>
          <w:color w:val="000000"/>
        </w:rPr>
        <w:fldChar w:fldCharType="separate"/>
      </w:r>
      <w:r w:rsidR="002911BC" w:rsidRPr="002911BC">
        <w:rPr>
          <w:rFonts w:ascii="Times" w:hAnsi="Times" w:cs="Times"/>
          <w:bCs/>
          <w:noProof/>
          <w:color w:val="000000"/>
          <w:vertAlign w:val="superscript"/>
        </w:rPr>
        <w:t>1</w:t>
      </w:r>
      <w:r w:rsidR="002911BC">
        <w:rPr>
          <w:rFonts w:ascii="Times" w:hAnsi="Times" w:cs="Times"/>
          <w:bCs/>
          <w:color w:val="000000"/>
        </w:rPr>
        <w:fldChar w:fldCharType="end"/>
      </w:r>
      <w:r w:rsidR="002911BC">
        <w:rPr>
          <w:rFonts w:ascii="Times" w:hAnsi="Times" w:cs="Times"/>
          <w:bCs/>
          <w:color w:val="000000"/>
        </w:rPr>
        <w:t xml:space="preserve"> funnel plot</w:t>
      </w:r>
      <w:r w:rsidR="004A22FB">
        <w:rPr>
          <w:rFonts w:ascii="Times" w:hAnsi="Times" w:cs="Times"/>
          <w:bCs/>
          <w:color w:val="000000"/>
        </w:rPr>
        <w:t>. The</w:t>
      </w:r>
      <w:r w:rsidR="002911BC">
        <w:rPr>
          <w:rFonts w:ascii="Times" w:hAnsi="Times" w:cs="Times"/>
          <w:bCs/>
          <w:color w:val="000000"/>
        </w:rPr>
        <w:t xml:space="preserve"> </w:t>
      </w:r>
      <w:r w:rsidR="00E830D3">
        <w:rPr>
          <w:rFonts w:ascii="Times" w:hAnsi="Times" w:cs="Times"/>
          <w:bCs/>
          <w:color w:val="000000"/>
        </w:rPr>
        <w:t xml:space="preserve">left panel shows that QRISK3 has variation of </w:t>
      </w:r>
      <w:r w:rsidR="007478D8">
        <w:rPr>
          <w:rFonts w:ascii="Times" w:hAnsi="Times" w:cs="Times"/>
          <w:bCs/>
          <w:color w:val="000000"/>
        </w:rPr>
        <w:t>C-statistic</w:t>
      </w:r>
      <w:r w:rsidR="00E830D3">
        <w:rPr>
          <w:rFonts w:ascii="Times" w:hAnsi="Times" w:cs="Times"/>
          <w:bCs/>
          <w:color w:val="000000"/>
        </w:rPr>
        <w:t xml:space="preserve"> among practices, and the right panel performed a formal meta-analysis to identify outlier practices (those red dots</w:t>
      </w:r>
      <w:r w:rsidR="007478D8">
        <w:rPr>
          <w:rFonts w:ascii="Times" w:hAnsi="Times" w:cs="Times"/>
          <w:bCs/>
          <w:color w:val="000000"/>
        </w:rPr>
        <w:t xml:space="preserve"> outside the 95% prediction interval</w:t>
      </w:r>
      <w:r w:rsidR="00E830D3">
        <w:rPr>
          <w:rFonts w:ascii="Times" w:hAnsi="Times" w:cs="Times"/>
          <w:bCs/>
          <w:color w:val="000000"/>
        </w:rPr>
        <w:t>)</w:t>
      </w:r>
      <w:r w:rsidR="009F4F80">
        <w:rPr>
          <w:rFonts w:ascii="Times" w:hAnsi="Times" w:cs="Times"/>
          <w:bCs/>
          <w:color w:val="000000"/>
        </w:rPr>
        <w:t>. The figure shows that QRISK3 performs differently on different practices, which is consistent to Riley’s</w:t>
      </w:r>
      <w:r w:rsidR="00051444">
        <w:rPr>
          <w:rFonts w:ascii="Times" w:hAnsi="Times" w:cs="Times"/>
          <w:bCs/>
          <w:color w:val="000000"/>
        </w:rPr>
        <w:fldChar w:fldCharType="begin" w:fldLock="1"/>
      </w:r>
      <w:r>
        <w:rPr>
          <w:rFonts w:ascii="Times" w:hAnsi="Times" w:cs="Times"/>
          <w:bCs/>
          <w:color w:val="000000"/>
        </w:rPr>
        <w:instrText>ADDIN CSL_CITATION {"citationItems":[{"id":"ITEM-1","itemData":{"DOI":"10.1136/BMJ.I3140","ISSN":"1756-1833","PMID":"27334381","abstract":"Access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A popular type of clinical research is the development of statistical models that predict disease presence and outcome occurrence in individuals, 1-3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individual's risk based on values of multiple predictors (such as age and smoking, or biomarkers and genetic information). Figure 1 gives the format of equa-tions based on logistic or Cox regression, which involve an intercept or baseline hazard term combined with multiple predictor effects (corresponding to odds or hazard ratios). Well known examples are the Framing-ham risk score and QRISK2, 4 5 which estimate the 10 year risk of developing cardiovascular disease; the Not-tingham prognostic index, which predicts the five year survival probability of a woman with newly diagnosed breast cancer; 6 7 and the Wells score for predicting the presence of a pulmonary embolism. 8 9 In 2009, The BMJ published a series of four articles to guide those undertaking prediction model research, 2 10-12 and further recommendations were made in the 2013 PROGRESS series. 3 13-15 These articles all emphasised three fundamental components of prediction model research: model development, external validation, and impact evaluation. Model development is the process that leads to the final prediction equation, and involves many aspects detailed elsewhere. 2 16-18 Impact studies evaluate, ide-ally in a randomised trial, whether the implementation of a prediction model in clinical practice actually improves patient outcomes by informing treatment decisions according to the model's predicted risk. How-ever, impact studies should not be considered until the robustness and generalisability of a developed model is verified in one or more external validation studies. 3 19 External validation uses new participant level data, e…","author":[{"dropping-particle":"","family":"Riley","given":"Richard D","non-dropping-particle":"","parse-names":false,"suffix":""},{"dropping-particle":"","family":"Ensor","given":"Joie","non-dropping-particle":"","parse-names":false,"suffix":""},{"dropping-particle":"","family":"Snell","given":"Kym I E","non-dropping-particle":"","parse-names":false,"suffix":""},{"dropping-particle":"","family":"Debray","given":"Thomas P A","non-dropping-particle":"","parse-names":false,"suffix":""},{"dropping-particle":"","family":"Altman","given":"Doug G","non-dropping-particle":"","parse-names":false,"suffix":""},{"dropping-particle":"","family":"Moons","given":"Karel G M","non-dropping-particle":"","parse-names":false,"suffix":""},{"dropping-particle":"","family":"Collins","given":"Gary S","non-dropping-particle":"","parse-names":false,"suffix":""}],"container-title":"BMJ (Clinical research ed.)","id":"ITEM-1","issued":{"date-parts":[["2016","6","22"]]},"page":"i3140","publisher":"BMJ Publishing Group","title":"External validation of clinical prediction models using big datasets from e-health records or IPD meta-analysis: opportunities and challenges.","type":"article-journal","volume":"353"},"uris":["http://www.mendeley.com/documents/?uuid=a2df45da-0716-4343-9893-e0def0237507"]}],"mendeley":{"formattedCitation":"&lt;sup&gt;1&lt;/sup&gt;","plainTextFormattedCitation":"1","previouslyFormattedCitation":"&lt;sup&gt;1&lt;/sup&gt;"},"properties":{"noteIndex":0},"schema":"https://github.com/citation-style-language/schema/raw/master/csl-citation.json"}</w:instrText>
      </w:r>
      <w:r w:rsidR="00051444">
        <w:rPr>
          <w:rFonts w:ascii="Times" w:hAnsi="Times" w:cs="Times"/>
          <w:bCs/>
          <w:color w:val="000000"/>
        </w:rPr>
        <w:fldChar w:fldCharType="separate"/>
      </w:r>
      <w:r w:rsidR="00051444" w:rsidRPr="00051444">
        <w:rPr>
          <w:rFonts w:ascii="Times" w:hAnsi="Times" w:cs="Times"/>
          <w:bCs/>
          <w:noProof/>
          <w:color w:val="000000"/>
          <w:vertAlign w:val="superscript"/>
        </w:rPr>
        <w:t>1</w:t>
      </w:r>
      <w:r w:rsidR="00051444">
        <w:rPr>
          <w:rFonts w:ascii="Times" w:hAnsi="Times" w:cs="Times"/>
          <w:bCs/>
          <w:color w:val="000000"/>
        </w:rPr>
        <w:fldChar w:fldCharType="end"/>
      </w:r>
      <w:r w:rsidR="009F4F80">
        <w:rPr>
          <w:rFonts w:ascii="Times" w:hAnsi="Times" w:cs="Times"/>
          <w:bCs/>
          <w:color w:val="000000"/>
        </w:rPr>
        <w:t xml:space="preserve"> </w:t>
      </w:r>
      <w:r w:rsidR="004A22FB">
        <w:rPr>
          <w:rFonts w:ascii="Times" w:hAnsi="Times" w:cs="Times"/>
          <w:bCs/>
          <w:color w:val="000000"/>
        </w:rPr>
        <w:t xml:space="preserve">finding </w:t>
      </w:r>
      <w:r w:rsidR="009F4F80">
        <w:rPr>
          <w:rFonts w:ascii="Times" w:hAnsi="Times" w:cs="Times"/>
          <w:bCs/>
          <w:color w:val="000000"/>
        </w:rPr>
        <w:t xml:space="preserve">on QRISK2. </w:t>
      </w:r>
    </w:p>
    <w:p w14:paraId="013BC3DE" w14:textId="77777777" w:rsidR="00CA7E76" w:rsidRPr="007478D8" w:rsidRDefault="00CA7E76" w:rsidP="0072537D">
      <w:pPr>
        <w:adjustRightInd w:val="0"/>
        <w:spacing w:before="10" w:after="10"/>
        <w:jc w:val="left"/>
        <w:rPr>
          <w:rFonts w:ascii="Times" w:hAnsi="Times" w:cs="Times"/>
          <w:bCs/>
          <w:color w:val="000000"/>
        </w:rPr>
      </w:pPr>
    </w:p>
    <w:p w14:paraId="6CD5C169" w14:textId="77777777" w:rsidR="00CA7E76" w:rsidRDefault="00CA7E76" w:rsidP="0072537D">
      <w:pPr>
        <w:adjustRightInd w:val="0"/>
        <w:spacing w:before="10" w:after="10"/>
        <w:jc w:val="left"/>
        <w:rPr>
          <w:rFonts w:ascii="Times" w:hAnsi="Times" w:cs="Times"/>
          <w:bCs/>
          <w:color w:val="000000"/>
        </w:rPr>
      </w:pPr>
    </w:p>
    <w:p w14:paraId="5F69C7F7" w14:textId="77777777" w:rsidR="00CA7E76" w:rsidRPr="003C14A9" w:rsidRDefault="00CA7E76" w:rsidP="0072537D">
      <w:pPr>
        <w:adjustRightInd w:val="0"/>
        <w:spacing w:before="10" w:after="10"/>
        <w:jc w:val="left"/>
        <w:rPr>
          <w:rFonts w:ascii="Times" w:hAnsi="Times" w:cs="Times"/>
          <w:bCs/>
          <w:color w:val="000000"/>
        </w:rPr>
        <w:sectPr w:rsidR="00CA7E76" w:rsidRPr="003C14A9" w:rsidSect="00F930B3">
          <w:pgSz w:w="11906" w:h="16838"/>
          <w:pgMar w:top="1440" w:right="1800" w:bottom="1440" w:left="1800" w:header="851" w:footer="992" w:gutter="0"/>
          <w:cols w:space="425"/>
          <w:docGrid w:type="lines" w:linePitch="312"/>
        </w:sectPr>
      </w:pPr>
    </w:p>
    <w:p w14:paraId="7829269E" w14:textId="77777777" w:rsidR="005B71E0" w:rsidRDefault="005B71E0" w:rsidP="0072537D">
      <w:pPr>
        <w:adjustRightInd w:val="0"/>
        <w:spacing w:before="10" w:after="10"/>
        <w:jc w:val="left"/>
        <w:rPr>
          <w:rFonts w:ascii="Times" w:hAnsi="Times" w:cs="Times"/>
          <w:b/>
          <w:bCs/>
          <w:color w:val="000000"/>
        </w:rPr>
      </w:pPr>
      <w:r w:rsidRPr="005B71E0">
        <w:rPr>
          <w:rFonts w:ascii="Times" w:hAnsi="Times" w:cs="Times"/>
          <w:b/>
          <w:bCs/>
          <w:color w:val="000000"/>
        </w:rPr>
        <w:lastRenderedPageBreak/>
        <w:t>References to online-only supplement</w:t>
      </w:r>
    </w:p>
    <w:p w14:paraId="59A8E888" w14:textId="3FED96F4" w:rsidR="009D2C15" w:rsidRPr="009D2C15" w:rsidRDefault="00344160" w:rsidP="009D2C15">
      <w:pPr>
        <w:autoSpaceDE w:val="0"/>
        <w:autoSpaceDN w:val="0"/>
        <w:adjustRightInd w:val="0"/>
        <w:ind w:left="640" w:hanging="640"/>
        <w:rPr>
          <w:rFonts w:ascii="Times" w:hAnsi="Times" w:cs="Times"/>
          <w:noProof/>
        </w:rPr>
      </w:pPr>
      <w:r>
        <w:rPr>
          <w:rFonts w:ascii="Times" w:hAnsi="Times" w:cs="Times"/>
          <w:b/>
          <w:bCs/>
          <w:color w:val="000000"/>
        </w:rPr>
        <w:fldChar w:fldCharType="begin" w:fldLock="1"/>
      </w:r>
      <w:r>
        <w:rPr>
          <w:rFonts w:ascii="Times" w:hAnsi="Times" w:cs="Times"/>
          <w:b/>
          <w:bCs/>
          <w:color w:val="000000"/>
        </w:rPr>
        <w:instrText xml:space="preserve">ADDIN Mendeley Bibliography CSL_BIBLIOGRAPHY </w:instrText>
      </w:r>
      <w:r>
        <w:rPr>
          <w:rFonts w:ascii="Times" w:hAnsi="Times" w:cs="Times"/>
          <w:b/>
          <w:bCs/>
          <w:color w:val="000000"/>
        </w:rPr>
        <w:fldChar w:fldCharType="separate"/>
      </w:r>
      <w:r w:rsidR="009D2C15" w:rsidRPr="009D2C15">
        <w:rPr>
          <w:rFonts w:ascii="Times" w:hAnsi="Times" w:cs="Times"/>
          <w:noProof/>
          <w:szCs w:val="24"/>
        </w:rPr>
        <w:t>1.</w:t>
      </w:r>
      <w:r w:rsidR="009D2C15" w:rsidRPr="009D2C15">
        <w:rPr>
          <w:rFonts w:ascii="Times" w:hAnsi="Times" w:cs="Times"/>
          <w:noProof/>
          <w:szCs w:val="24"/>
        </w:rPr>
        <w:tab/>
        <w:t xml:space="preserve">Riley, R. D. </w:t>
      </w:r>
      <w:r w:rsidR="009D2C15" w:rsidRPr="009D2C15">
        <w:rPr>
          <w:rFonts w:ascii="Times" w:hAnsi="Times" w:cs="Times"/>
          <w:i/>
          <w:iCs/>
          <w:noProof/>
          <w:szCs w:val="24"/>
        </w:rPr>
        <w:t>et al.</w:t>
      </w:r>
      <w:r w:rsidR="009D2C15" w:rsidRPr="009D2C15">
        <w:rPr>
          <w:rFonts w:ascii="Times" w:hAnsi="Times" w:cs="Times"/>
          <w:noProof/>
          <w:szCs w:val="24"/>
        </w:rPr>
        <w:t xml:space="preserve"> External validation of clinical prediction models using big datasets from e-health records or IPD meta-analysis: opportunities and challenges. </w:t>
      </w:r>
      <w:r w:rsidR="009D2C15" w:rsidRPr="009D2C15">
        <w:rPr>
          <w:rFonts w:ascii="Times" w:hAnsi="Times" w:cs="Times"/>
          <w:i/>
          <w:iCs/>
          <w:noProof/>
          <w:szCs w:val="24"/>
        </w:rPr>
        <w:t>BMJ</w:t>
      </w:r>
      <w:r w:rsidR="009D2C15" w:rsidRPr="009D2C15">
        <w:rPr>
          <w:rFonts w:ascii="Times" w:hAnsi="Times" w:cs="Times"/>
          <w:noProof/>
          <w:szCs w:val="24"/>
        </w:rPr>
        <w:t xml:space="preserve"> </w:t>
      </w:r>
      <w:r w:rsidR="009D2C15" w:rsidRPr="009D2C15">
        <w:rPr>
          <w:rFonts w:ascii="Times" w:hAnsi="Times" w:cs="Times"/>
          <w:b/>
          <w:bCs/>
          <w:noProof/>
          <w:szCs w:val="24"/>
        </w:rPr>
        <w:t>353,</w:t>
      </w:r>
      <w:r w:rsidR="009D2C15" w:rsidRPr="009D2C15">
        <w:rPr>
          <w:rFonts w:ascii="Times" w:hAnsi="Times" w:cs="Times"/>
          <w:noProof/>
          <w:szCs w:val="24"/>
        </w:rPr>
        <w:t xml:space="preserve"> i3140 (2016).</w:t>
      </w:r>
    </w:p>
    <w:p w14:paraId="7CE07059" w14:textId="77777777" w:rsidR="00CD0ACC" w:rsidRPr="005B71E0" w:rsidRDefault="00344160" w:rsidP="0072537D">
      <w:pPr>
        <w:adjustRightInd w:val="0"/>
        <w:spacing w:before="10" w:after="10"/>
        <w:jc w:val="left"/>
        <w:rPr>
          <w:rFonts w:ascii="Times" w:hAnsi="Times" w:cs="Times"/>
          <w:b/>
          <w:bCs/>
          <w:color w:val="000000"/>
        </w:rPr>
      </w:pPr>
      <w:r>
        <w:rPr>
          <w:rFonts w:ascii="Times" w:hAnsi="Times" w:cs="Times"/>
          <w:b/>
          <w:bCs/>
          <w:color w:val="000000"/>
        </w:rPr>
        <w:fldChar w:fldCharType="end"/>
      </w:r>
    </w:p>
    <w:p w14:paraId="4942F12E" w14:textId="77777777" w:rsidR="005B71E0" w:rsidRDefault="005B71E0" w:rsidP="0072537D">
      <w:pPr>
        <w:adjustRightInd w:val="0"/>
        <w:spacing w:before="10" w:after="10"/>
        <w:jc w:val="left"/>
        <w:rPr>
          <w:rFonts w:ascii="Times" w:hAnsi="Times" w:cs="Times"/>
          <w:bCs/>
          <w:color w:val="000000"/>
        </w:rPr>
      </w:pPr>
    </w:p>
    <w:p w14:paraId="282B4C73" w14:textId="77777777" w:rsidR="005B71E0" w:rsidRDefault="005B71E0" w:rsidP="0072537D">
      <w:pPr>
        <w:adjustRightInd w:val="0"/>
        <w:spacing w:before="10" w:after="10"/>
        <w:jc w:val="left"/>
        <w:rPr>
          <w:rFonts w:ascii="Times" w:hAnsi="Times" w:cs="Times"/>
          <w:bCs/>
          <w:color w:val="000000"/>
        </w:rPr>
        <w:sectPr w:rsidR="005B71E0" w:rsidSect="00F930B3">
          <w:pgSz w:w="11906" w:h="16838"/>
          <w:pgMar w:top="1440" w:right="1800" w:bottom="1440" w:left="1800" w:header="851" w:footer="992" w:gutter="0"/>
          <w:cols w:space="425"/>
          <w:docGrid w:type="lines" w:linePitch="312"/>
        </w:sectPr>
      </w:pPr>
    </w:p>
    <w:p w14:paraId="2020B058" w14:textId="77777777" w:rsidR="00AD273E" w:rsidRPr="00AD273E" w:rsidRDefault="00AD273E" w:rsidP="00AD273E">
      <w:pPr>
        <w:widowControl/>
        <w:autoSpaceDE w:val="0"/>
        <w:autoSpaceDN w:val="0"/>
        <w:adjustRightInd w:val="0"/>
        <w:spacing w:before="10" w:after="10"/>
        <w:jc w:val="center"/>
        <w:rPr>
          <w:rFonts w:ascii="Times" w:eastAsia="等线" w:hAnsi="Times" w:cs="Times"/>
          <w:b/>
          <w:bCs/>
          <w:color w:val="000000"/>
          <w:sz w:val="26"/>
          <w:szCs w:val="26"/>
          <w:lang w:val="en-GB"/>
        </w:rPr>
      </w:pPr>
      <w:bookmarkStart w:id="1" w:name="eTable1"/>
      <w:proofErr w:type="spellStart"/>
      <w:r w:rsidRPr="00AD273E">
        <w:rPr>
          <w:rFonts w:ascii="Times" w:eastAsia="等线" w:hAnsi="Times" w:cs="Times"/>
          <w:b/>
          <w:bCs/>
          <w:color w:val="000000"/>
          <w:sz w:val="26"/>
          <w:szCs w:val="26"/>
          <w:lang w:val="en-GB"/>
        </w:rPr>
        <w:lastRenderedPageBreak/>
        <w:t>eTable</w:t>
      </w:r>
      <w:proofErr w:type="spellEnd"/>
      <w:r w:rsidRPr="00AD273E">
        <w:rPr>
          <w:rFonts w:ascii="Times" w:eastAsia="等线" w:hAnsi="Times" w:cs="Times"/>
          <w:b/>
          <w:bCs/>
          <w:color w:val="000000"/>
          <w:sz w:val="26"/>
          <w:szCs w:val="26"/>
          <w:lang w:val="en-GB"/>
        </w:rPr>
        <w:t xml:space="preserve"> 1. Distribution across practices of the number of CVD cases, number of patients at risk and survival rate over 10 years</w:t>
      </w:r>
      <w:bookmarkEnd w:id="1"/>
    </w:p>
    <w:p w14:paraId="2119EE45" w14:textId="77777777" w:rsidR="00AD273E" w:rsidRPr="00AD273E" w:rsidRDefault="00AD273E" w:rsidP="00AD273E">
      <w:pPr>
        <w:widowControl/>
        <w:autoSpaceDE w:val="0"/>
        <w:autoSpaceDN w:val="0"/>
        <w:adjustRightInd w:val="0"/>
        <w:jc w:val="left"/>
        <w:rPr>
          <w:rFonts w:ascii="Times" w:eastAsia="等线" w:hAnsi="Times" w:cs="Times"/>
          <w:b/>
          <w:bCs/>
          <w:color w:val="000000"/>
          <w:sz w:val="26"/>
          <w:szCs w:val="26"/>
          <w:lang w:val="en-GB"/>
        </w:rPr>
      </w:pPr>
    </w:p>
    <w:tbl>
      <w:tblPr>
        <w:tblW w:w="0" w:type="auto"/>
        <w:jc w:val="center"/>
        <w:tblLayout w:type="fixed"/>
        <w:tblCellMar>
          <w:left w:w="0" w:type="dxa"/>
          <w:right w:w="0" w:type="dxa"/>
        </w:tblCellMar>
        <w:tblLook w:val="0000" w:firstRow="0" w:lastRow="0" w:firstColumn="0" w:lastColumn="0" w:noHBand="0" w:noVBand="0"/>
      </w:tblPr>
      <w:tblGrid>
        <w:gridCol w:w="1116"/>
        <w:gridCol w:w="981"/>
        <w:gridCol w:w="981"/>
        <w:gridCol w:w="981"/>
        <w:gridCol w:w="981"/>
        <w:gridCol w:w="981"/>
        <w:gridCol w:w="981"/>
        <w:gridCol w:w="981"/>
        <w:gridCol w:w="981"/>
        <w:gridCol w:w="981"/>
        <w:gridCol w:w="981"/>
        <w:gridCol w:w="981"/>
        <w:gridCol w:w="981"/>
      </w:tblGrid>
      <w:tr w:rsidR="00AD273E" w:rsidRPr="00AD273E" w14:paraId="505067F1" w14:textId="77777777" w:rsidTr="00D06C05">
        <w:trPr>
          <w:cantSplit/>
          <w:tblHeader/>
          <w:jc w:val="center"/>
        </w:trPr>
        <w:tc>
          <w:tcPr>
            <w:tcW w:w="1116" w:type="dxa"/>
            <w:tcBorders>
              <w:top w:val="single" w:sz="6" w:space="0" w:color="000000"/>
              <w:left w:val="nil"/>
              <w:bottom w:val="single" w:sz="2" w:space="0" w:color="000000"/>
              <w:right w:val="nil"/>
            </w:tcBorders>
            <w:shd w:val="clear" w:color="auto" w:fill="FFFFFF"/>
            <w:tcMar>
              <w:left w:w="60" w:type="dxa"/>
              <w:right w:w="60" w:type="dxa"/>
            </w:tcMar>
            <w:vAlign w:val="bottom"/>
          </w:tcPr>
          <w:p w14:paraId="7AD69FC9"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bookmarkStart w:id="2" w:name="IDX"/>
            <w:bookmarkEnd w:id="2"/>
          </w:p>
        </w:tc>
        <w:tc>
          <w:tcPr>
            <w:tcW w:w="3924" w:type="dxa"/>
            <w:gridSpan w:val="4"/>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16BCD03E"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Number of patients with CVD events</w:t>
            </w:r>
            <w:r w:rsidRPr="00AD273E">
              <w:rPr>
                <w:rFonts w:ascii="Times" w:eastAsia="等线" w:hAnsi="Times" w:cs="Times"/>
                <w:b/>
                <w:bCs/>
                <w:color w:val="000000"/>
                <w:lang w:val="en-GB"/>
              </w:rPr>
              <w:br/>
              <w:t>in practices (Percentile)</w:t>
            </w:r>
          </w:p>
        </w:tc>
        <w:tc>
          <w:tcPr>
            <w:tcW w:w="3924" w:type="dxa"/>
            <w:gridSpan w:val="4"/>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648D957D"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 xml:space="preserve">Number of patients at </w:t>
            </w:r>
            <w:proofErr w:type="spellStart"/>
            <w:r w:rsidRPr="00AD273E">
              <w:rPr>
                <w:rFonts w:ascii="Times" w:eastAsia="等线" w:hAnsi="Times" w:cs="Times"/>
                <w:b/>
                <w:bCs/>
                <w:color w:val="000000"/>
                <w:lang w:val="en-GB"/>
              </w:rPr>
              <w:t>risk</w:t>
            </w:r>
            <w:r w:rsidRPr="00AD273E">
              <w:rPr>
                <w:rFonts w:ascii="Times" w:eastAsia="等线" w:hAnsi="Times" w:cs="Times"/>
                <w:b/>
                <w:bCs/>
                <w:color w:val="000000"/>
                <w:vertAlign w:val="superscript"/>
                <w:lang w:val="en-GB"/>
              </w:rPr>
              <w:t>a</w:t>
            </w:r>
            <w:proofErr w:type="spellEnd"/>
            <w:r w:rsidRPr="00AD273E">
              <w:rPr>
                <w:rFonts w:ascii="Times" w:eastAsia="等线" w:hAnsi="Times" w:cs="Times"/>
                <w:b/>
                <w:bCs/>
                <w:color w:val="000000"/>
                <w:lang w:val="en-GB"/>
              </w:rPr>
              <w:br/>
              <w:t>in practices (Percentile)</w:t>
            </w:r>
          </w:p>
        </w:tc>
        <w:tc>
          <w:tcPr>
            <w:tcW w:w="3924" w:type="dxa"/>
            <w:gridSpan w:val="4"/>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26ACDABE"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Life table estimate of proportion of</w:t>
            </w:r>
            <w:r w:rsidRPr="00AD273E">
              <w:rPr>
                <w:rFonts w:ascii="Times" w:eastAsia="等线" w:hAnsi="Times" w:cs="Times"/>
                <w:b/>
                <w:bCs/>
                <w:color w:val="000000"/>
                <w:lang w:val="en-GB"/>
              </w:rPr>
              <w:br/>
              <w:t>patients without CVD (Percentile)</w:t>
            </w:r>
          </w:p>
        </w:tc>
      </w:tr>
      <w:tr w:rsidR="00AD273E" w:rsidRPr="00AD273E" w14:paraId="2AC77F42" w14:textId="77777777" w:rsidTr="00D06C05">
        <w:trPr>
          <w:cantSplit/>
          <w:tblHeader/>
          <w:jc w:val="center"/>
        </w:trPr>
        <w:tc>
          <w:tcPr>
            <w:tcW w:w="1116" w:type="dxa"/>
            <w:tcBorders>
              <w:top w:val="nil"/>
              <w:left w:val="nil"/>
              <w:bottom w:val="single" w:sz="2" w:space="0" w:color="000000"/>
              <w:right w:val="nil"/>
            </w:tcBorders>
            <w:shd w:val="clear" w:color="auto" w:fill="FFFFFF"/>
            <w:tcMar>
              <w:left w:w="60" w:type="dxa"/>
              <w:right w:w="60" w:type="dxa"/>
            </w:tcMar>
            <w:vAlign w:val="bottom"/>
          </w:tcPr>
          <w:p w14:paraId="37B055E1"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Year</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02DB5D9A"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34A28DA6"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25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5B20F5B1"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75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1A7E76B9"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95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009D4E82"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2DD986A7"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25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0D0F7BB4"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75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26096EDD"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95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52EED489"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2F5C6F77"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25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082CE261"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75</w:t>
            </w:r>
            <w:r w:rsidRPr="00AD273E">
              <w:rPr>
                <w:rFonts w:ascii="Times" w:eastAsia="等线" w:hAnsi="Times" w:cs="Times"/>
                <w:b/>
                <w:bCs/>
                <w:color w:val="000000"/>
                <w:vertAlign w:val="superscript"/>
                <w:lang w:val="en-GB"/>
              </w:rPr>
              <w:t>th</w:t>
            </w:r>
          </w:p>
        </w:tc>
        <w:tc>
          <w:tcPr>
            <w:tcW w:w="981" w:type="dxa"/>
            <w:tcBorders>
              <w:top w:val="nil"/>
              <w:left w:val="single" w:sz="2" w:space="0" w:color="000000"/>
              <w:bottom w:val="single" w:sz="2" w:space="0" w:color="000000"/>
              <w:right w:val="nil"/>
            </w:tcBorders>
            <w:shd w:val="clear" w:color="auto" w:fill="FFFFFF"/>
            <w:tcMar>
              <w:left w:w="60" w:type="dxa"/>
              <w:right w:w="60" w:type="dxa"/>
            </w:tcMar>
            <w:vAlign w:val="bottom"/>
          </w:tcPr>
          <w:p w14:paraId="3CF554EB" w14:textId="77777777" w:rsidR="00AD273E" w:rsidRPr="00AD273E" w:rsidRDefault="00AD273E" w:rsidP="00AD273E">
            <w:pPr>
              <w:widowControl/>
              <w:autoSpaceDE w:val="0"/>
              <w:autoSpaceDN w:val="0"/>
              <w:adjustRightInd w:val="0"/>
              <w:spacing w:before="60" w:after="60"/>
              <w:jc w:val="center"/>
              <w:rPr>
                <w:rFonts w:ascii="Times" w:eastAsia="等线" w:hAnsi="Times" w:cs="Times"/>
                <w:b/>
                <w:bCs/>
                <w:color w:val="000000"/>
                <w:lang w:val="en-GB"/>
              </w:rPr>
            </w:pPr>
            <w:r w:rsidRPr="00AD273E">
              <w:rPr>
                <w:rFonts w:ascii="Times" w:eastAsia="等线" w:hAnsi="Times" w:cs="Times"/>
                <w:b/>
                <w:bCs/>
                <w:color w:val="000000"/>
                <w:lang w:val="en-GB"/>
              </w:rPr>
              <w:t>95</w:t>
            </w:r>
            <w:r w:rsidRPr="00AD273E">
              <w:rPr>
                <w:rFonts w:ascii="Times" w:eastAsia="等线" w:hAnsi="Times" w:cs="Times"/>
                <w:b/>
                <w:bCs/>
                <w:color w:val="000000"/>
                <w:vertAlign w:val="superscript"/>
                <w:lang w:val="en-GB"/>
              </w:rPr>
              <w:t>th</w:t>
            </w:r>
          </w:p>
        </w:tc>
      </w:tr>
      <w:tr w:rsidR="00AD273E" w:rsidRPr="00AD273E" w14:paraId="7F9FFFCC"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4269D02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064604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5CF8A3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31.0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5F75AB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83.5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D610C4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134.0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F20F72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1789.0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EB67A9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4358.0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988FFF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10247.5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7D17BA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14843.0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A81A15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A17611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DF5A5E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3EB296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1.00</w:t>
            </w:r>
          </w:p>
        </w:tc>
      </w:tr>
      <w:tr w:rsidR="00AD273E" w:rsidRPr="00AD273E" w14:paraId="666237E2"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38253BD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77524A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40B34E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21.0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CF9DB9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60.0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869D68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93.0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F577BA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575.0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A30104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3019.3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0EE819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7352.0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8EE3DF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10560.0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6CD25B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72BF12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BCE8C8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DF1F57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1.00</w:t>
            </w:r>
          </w:p>
        </w:tc>
      </w:tr>
      <w:tr w:rsidR="00AD273E" w:rsidRPr="00AD273E" w14:paraId="1A23863B"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6106C3A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B8C9C6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C5836B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F37DF8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D86F7B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76.0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DDAE24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85.5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126B439"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2324.8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4DCDC0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5763.3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7F1D2E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8329.0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334EA5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0.97</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00FFB0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01F18E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40C6249"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r>
      <w:tr w:rsidR="00AD273E" w:rsidRPr="00AD273E" w14:paraId="6A66F906"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5FE134B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DB01B8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81E16F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562D4C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41.0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B8A6741"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64.0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7A81DF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791DE8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1821.3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211AB9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4671.0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AEFB61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6707.5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9285C3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C6703C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0.97</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709841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31C940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0.99</w:t>
            </w:r>
          </w:p>
        </w:tc>
      </w:tr>
      <w:tr w:rsidR="00AD273E" w:rsidRPr="00AD273E" w14:paraId="463938CA"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0B6C556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6149A9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F7C8F9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89C844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78C0A3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26F9E3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F15887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1456.0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820E099"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3893.0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0551D3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5530.5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C4F3D7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proofErr w:type="spellStart"/>
            <w:r w:rsidRPr="00AD273E">
              <w:rPr>
                <w:rFonts w:ascii="Times" w:eastAsia="等线" w:hAnsi="Times" w:cs="Times"/>
                <w:color w:val="000000"/>
                <w:sz w:val="20"/>
                <w:szCs w:val="20"/>
                <w:lang w:val="en-GB"/>
              </w:rPr>
              <w:t>NA</w:t>
            </w:r>
            <w:r w:rsidRPr="00AD273E">
              <w:rPr>
                <w:rFonts w:ascii="Times" w:eastAsia="等线" w:hAnsi="Times" w:cs="Times"/>
                <w:color w:val="000000"/>
                <w:sz w:val="20"/>
                <w:szCs w:val="20"/>
                <w:vertAlign w:val="superscript"/>
                <w:lang w:val="en-GB"/>
              </w:rPr>
              <w:t>b</w:t>
            </w:r>
            <w:proofErr w:type="spellEnd"/>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6F6FB8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0.96</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C1CC521"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6C387A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0.98</w:t>
            </w:r>
          </w:p>
        </w:tc>
      </w:tr>
      <w:tr w:rsidR="00AD273E" w:rsidRPr="00AD273E" w14:paraId="5AD7E6FC"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1C446CB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6</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80C297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5A054E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2E73B5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29.5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BDBCB9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48.0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A1D99E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CA4FE4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1128.8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0BB530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3225.0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D6C91E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4713.5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9260F6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NA</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429C88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1FDFC8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0.97</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7CE27C1"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0.98</w:t>
            </w:r>
          </w:p>
        </w:tc>
      </w:tr>
      <w:tr w:rsidR="00AD273E" w:rsidRPr="00AD273E" w14:paraId="65E04672"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27C5438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7</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5BBDCF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319E56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7.0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3824DD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26.0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8F0745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BABFB8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FDD66A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839.0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BB7CAC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2688.5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4EAA0B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3995.5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8253CE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NA</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79EB71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0.94</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EE2141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0.96</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22A8FE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0.97</w:t>
            </w:r>
          </w:p>
        </w:tc>
      </w:tr>
      <w:tr w:rsidR="00AD273E" w:rsidRPr="00AD273E" w14:paraId="0818F324"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67FB6B0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346407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924DDC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65D7B2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B4B63A9"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39.0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63B1CF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4D3100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601.3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01A2C9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2208.0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72D6D1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3345.0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4BF6CF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NA</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EC4168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39FED03"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95474F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0.97</w:t>
            </w:r>
          </w:p>
        </w:tc>
      </w:tr>
      <w:tr w:rsidR="00AD273E" w:rsidRPr="00AD273E" w14:paraId="4C5B0FD9"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40346EC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9</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68A2201"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C47612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967A28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18.0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67D33B9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32.0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DA2A15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314865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420.0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57345A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1803.8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243BD0F"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2788.0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BB8B46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NA</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7EE9A7B"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0.92</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7A93534"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0.94</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16AE189"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0.96</w:t>
            </w:r>
          </w:p>
        </w:tc>
      </w:tr>
      <w:tr w:rsidR="00AD273E" w:rsidRPr="00AD273E" w14:paraId="431CF125" w14:textId="77777777" w:rsidTr="00D06C05">
        <w:trPr>
          <w:cantSplit/>
          <w:jc w:val="center"/>
        </w:trPr>
        <w:tc>
          <w:tcPr>
            <w:tcW w:w="1116" w:type="dxa"/>
            <w:tcBorders>
              <w:top w:val="nil"/>
              <w:left w:val="nil"/>
              <w:bottom w:val="single" w:sz="2" w:space="0" w:color="000000"/>
              <w:right w:val="nil"/>
            </w:tcBorders>
            <w:shd w:val="clear" w:color="auto" w:fill="FFFFFF"/>
            <w:tcMar>
              <w:left w:w="60" w:type="dxa"/>
              <w:right w:w="60" w:type="dxa"/>
            </w:tcMar>
          </w:tcPr>
          <w:p w14:paraId="5C7BD1D2"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52D44E7"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04B8FCB5"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7C3545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15.0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B885EDC"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26.0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29ABE70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0.0</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42CBC25A"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263.8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DEBCE5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1426.8</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7A588D30"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2297.5</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322D6E9D"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NA</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3F94066"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0.91</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5C2847D8"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0.93</w:t>
            </w:r>
          </w:p>
        </w:tc>
        <w:tc>
          <w:tcPr>
            <w:tcW w:w="981" w:type="dxa"/>
            <w:tcBorders>
              <w:top w:val="nil"/>
              <w:left w:val="single" w:sz="2" w:space="0" w:color="000000"/>
              <w:bottom w:val="single" w:sz="2" w:space="0" w:color="000000"/>
              <w:right w:val="nil"/>
            </w:tcBorders>
            <w:shd w:val="clear" w:color="auto" w:fill="FFFFFF"/>
            <w:tcMar>
              <w:left w:w="60" w:type="dxa"/>
              <w:right w:w="60" w:type="dxa"/>
            </w:tcMar>
          </w:tcPr>
          <w:p w14:paraId="10590B8E" w14:textId="77777777" w:rsidR="00AD273E" w:rsidRPr="00AD273E" w:rsidRDefault="00AD273E" w:rsidP="00AD273E">
            <w:pPr>
              <w:widowControl/>
              <w:autoSpaceDE w:val="0"/>
              <w:autoSpaceDN w:val="0"/>
              <w:adjustRightInd w:val="0"/>
              <w:spacing w:before="60" w:after="60"/>
              <w:jc w:val="center"/>
              <w:rPr>
                <w:rFonts w:ascii="Times" w:eastAsia="等线" w:hAnsi="Times" w:cs="Times"/>
                <w:color w:val="000000"/>
                <w:sz w:val="20"/>
                <w:szCs w:val="20"/>
                <w:lang w:val="en-GB"/>
              </w:rPr>
            </w:pPr>
            <w:r w:rsidRPr="00AD273E">
              <w:rPr>
                <w:rFonts w:ascii="Times" w:eastAsia="等线" w:hAnsi="Times" w:cs="Times"/>
                <w:color w:val="000000"/>
                <w:sz w:val="20"/>
                <w:szCs w:val="20"/>
                <w:lang w:val="en-GB"/>
              </w:rPr>
              <w:t>0.95</w:t>
            </w:r>
          </w:p>
        </w:tc>
      </w:tr>
      <w:tr w:rsidR="00AD273E" w:rsidRPr="00AD273E" w14:paraId="0B677A73" w14:textId="77777777" w:rsidTr="00D06C05">
        <w:trPr>
          <w:cantSplit/>
          <w:jc w:val="center"/>
        </w:trPr>
        <w:tc>
          <w:tcPr>
            <w:tcW w:w="12888" w:type="dxa"/>
            <w:gridSpan w:val="13"/>
            <w:tcBorders>
              <w:top w:val="nil"/>
              <w:left w:val="nil"/>
              <w:bottom w:val="single" w:sz="6" w:space="0" w:color="000000"/>
              <w:right w:val="nil"/>
            </w:tcBorders>
            <w:shd w:val="clear" w:color="auto" w:fill="FFFFFF"/>
            <w:tcMar>
              <w:left w:w="60" w:type="dxa"/>
              <w:right w:w="60" w:type="dxa"/>
            </w:tcMar>
          </w:tcPr>
          <w:p w14:paraId="485BF8E0" w14:textId="77777777" w:rsidR="00AD273E" w:rsidRPr="00AD273E" w:rsidRDefault="00AD273E" w:rsidP="00AD273E">
            <w:pPr>
              <w:widowControl/>
              <w:autoSpaceDE w:val="0"/>
              <w:autoSpaceDN w:val="0"/>
              <w:adjustRightInd w:val="0"/>
              <w:spacing w:before="60" w:after="60"/>
              <w:jc w:val="left"/>
              <w:rPr>
                <w:rFonts w:ascii="Times" w:eastAsia="等线" w:hAnsi="Times" w:cs="Times"/>
                <w:b/>
                <w:bCs/>
                <w:color w:val="000000"/>
                <w:sz w:val="20"/>
                <w:szCs w:val="20"/>
                <w:lang w:val="en-GB"/>
              </w:rPr>
            </w:pPr>
            <w:r w:rsidRPr="00AD273E">
              <w:rPr>
                <w:rFonts w:ascii="Times" w:eastAsia="等线" w:hAnsi="Times" w:cs="Times"/>
                <w:b/>
                <w:bCs/>
                <w:color w:val="000000"/>
                <w:sz w:val="20"/>
                <w:szCs w:val="20"/>
                <w:lang w:val="en-GB"/>
              </w:rPr>
              <w:br/>
              <w:t>a. Number of patients in the middle point of each year was used</w:t>
            </w:r>
            <w:r w:rsidRPr="00AD273E">
              <w:rPr>
                <w:rFonts w:ascii="Times" w:eastAsia="等线" w:hAnsi="Times" w:cs="Times"/>
                <w:b/>
                <w:bCs/>
                <w:color w:val="000000"/>
                <w:sz w:val="20"/>
                <w:szCs w:val="20"/>
                <w:lang w:val="en-GB"/>
              </w:rPr>
              <w:br/>
            </w:r>
            <w:r w:rsidRPr="00AD273E">
              <w:rPr>
                <w:rFonts w:ascii="Times" w:eastAsia="等线" w:hAnsi="Times" w:cs="Times"/>
                <w:b/>
                <w:bCs/>
                <w:color w:val="000000"/>
                <w:sz w:val="20"/>
                <w:szCs w:val="20"/>
                <w:lang w:val="en-GB"/>
              </w:rPr>
              <w:br/>
              <w:t>b. NA is because practices have less than 10 years follow-up data</w:t>
            </w:r>
          </w:p>
        </w:tc>
      </w:tr>
    </w:tbl>
    <w:p w14:paraId="1BD155C9" w14:textId="77777777" w:rsidR="00E84D35" w:rsidRPr="00AD273E" w:rsidRDefault="00E84D35">
      <w:pPr>
        <w:rPr>
          <w:lang w:val="en-GB"/>
        </w:rPr>
        <w:sectPr w:rsidR="00E84D35" w:rsidRPr="00AD273E" w:rsidSect="00BC1F07">
          <w:pgSz w:w="16838" w:h="11906" w:orient="landscape"/>
          <w:pgMar w:top="1800" w:right="1440" w:bottom="1800" w:left="1440" w:header="851" w:footer="992" w:gutter="0"/>
          <w:cols w:space="425"/>
          <w:docGrid w:type="lines" w:linePitch="312"/>
        </w:sectPr>
      </w:pPr>
    </w:p>
    <w:p w14:paraId="48D4C8DA" w14:textId="77777777" w:rsidR="0072537D" w:rsidRDefault="0072537D">
      <w:pPr>
        <w:widowControl/>
        <w:jc w:val="left"/>
        <w:rPr>
          <w:rFonts w:cs="Times New Roman"/>
          <w:b/>
          <w:color w:val="00000A"/>
          <w:sz w:val="24"/>
          <w:szCs w:val="24"/>
        </w:rPr>
      </w:pPr>
    </w:p>
    <w:p w14:paraId="262A1BF4" w14:textId="04B809EF" w:rsidR="00E84D35" w:rsidRDefault="00B630E4" w:rsidP="00E84D35">
      <w:pPr>
        <w:widowControl/>
        <w:spacing w:before="10" w:after="10" w:line="259" w:lineRule="auto"/>
        <w:jc w:val="center"/>
        <w:rPr>
          <w:rFonts w:cs="Times New Roman"/>
          <w:b/>
          <w:color w:val="00000A"/>
          <w:sz w:val="24"/>
          <w:szCs w:val="24"/>
        </w:rPr>
      </w:pPr>
      <w:r w:rsidRPr="00B630E4">
        <w:rPr>
          <w:rFonts w:cs="Times New Roman"/>
          <w:noProof/>
          <w:color w:val="00000A"/>
          <w:sz w:val="24"/>
          <w:szCs w:val="24"/>
          <w:lang w:val="en-GB"/>
        </w:rPr>
        <w:drawing>
          <wp:inline distT="0" distB="0" distL="0" distR="0" wp14:anchorId="029721F9" wp14:editId="1A576E09">
            <wp:extent cx="6762541" cy="4364006"/>
            <wp:effectExtent l="0" t="0" r="0" b="508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7"/>
                    <a:stretch>
                      <a:fillRect/>
                    </a:stretch>
                  </pic:blipFill>
                  <pic:spPr bwMode="auto">
                    <a:xfrm>
                      <a:off x="0" y="0"/>
                      <a:ext cx="6781731" cy="4376390"/>
                    </a:xfrm>
                    <a:prstGeom prst="rect">
                      <a:avLst/>
                    </a:prstGeom>
                  </pic:spPr>
                </pic:pic>
              </a:graphicData>
            </a:graphic>
          </wp:inline>
        </w:drawing>
      </w:r>
    </w:p>
    <w:p w14:paraId="3ACABF07" w14:textId="77777777" w:rsidR="00AF2DE8" w:rsidRDefault="0094666C" w:rsidP="00E84D35">
      <w:pPr>
        <w:widowControl/>
        <w:spacing w:before="10" w:after="10" w:line="259" w:lineRule="auto"/>
        <w:jc w:val="center"/>
        <w:rPr>
          <w:rFonts w:cs="Times New Roman"/>
          <w:b/>
          <w:color w:val="00000A"/>
          <w:sz w:val="24"/>
          <w:szCs w:val="24"/>
        </w:rPr>
      </w:pPr>
      <w:bookmarkStart w:id="3" w:name="eFigure1"/>
      <w:proofErr w:type="spellStart"/>
      <w:r>
        <w:rPr>
          <w:rFonts w:cs="Times New Roman"/>
          <w:b/>
          <w:color w:val="00000A"/>
          <w:sz w:val="24"/>
          <w:szCs w:val="24"/>
        </w:rPr>
        <w:t>e</w:t>
      </w:r>
      <w:r w:rsidR="00B630E4" w:rsidRPr="00B630E4">
        <w:rPr>
          <w:rFonts w:cs="Times New Roman"/>
          <w:b/>
          <w:color w:val="00000A"/>
          <w:sz w:val="24"/>
          <w:szCs w:val="24"/>
        </w:rPr>
        <w:t>Figure</w:t>
      </w:r>
      <w:proofErr w:type="spellEnd"/>
      <w:r w:rsidR="00B630E4" w:rsidRPr="00B630E4">
        <w:rPr>
          <w:rFonts w:cs="Times New Roman"/>
          <w:b/>
          <w:color w:val="00000A"/>
          <w:sz w:val="24"/>
          <w:szCs w:val="24"/>
        </w:rPr>
        <w:t xml:space="preserve"> </w:t>
      </w:r>
      <w:r>
        <w:rPr>
          <w:rFonts w:cs="Times New Roman"/>
          <w:b/>
          <w:color w:val="00000A"/>
          <w:sz w:val="24"/>
          <w:szCs w:val="24"/>
        </w:rPr>
        <w:t>1</w:t>
      </w:r>
      <w:r w:rsidR="00D130F7">
        <w:rPr>
          <w:rFonts w:cs="Times New Roman"/>
          <w:b/>
          <w:color w:val="00000A"/>
          <w:sz w:val="24"/>
          <w:szCs w:val="24"/>
        </w:rPr>
        <w:t>.</w:t>
      </w:r>
      <w:r w:rsidR="00B630E4" w:rsidRPr="00B630E4">
        <w:rPr>
          <w:rFonts w:cs="Times New Roman"/>
          <w:b/>
          <w:color w:val="00000A"/>
          <w:sz w:val="24"/>
          <w:szCs w:val="24"/>
        </w:rPr>
        <w:t xml:space="preserve"> </w:t>
      </w:r>
      <w:r w:rsidR="007908D6">
        <w:rPr>
          <w:rFonts w:cs="Times New Roman"/>
          <w:b/>
          <w:color w:val="00000A"/>
          <w:sz w:val="24"/>
          <w:szCs w:val="24"/>
        </w:rPr>
        <w:t>Comparison of</w:t>
      </w:r>
      <w:r w:rsidR="00B630E4" w:rsidRPr="00B630E4">
        <w:rPr>
          <w:rFonts w:cs="Times New Roman"/>
          <w:b/>
          <w:color w:val="00000A"/>
          <w:sz w:val="24"/>
          <w:szCs w:val="24"/>
        </w:rPr>
        <w:t xml:space="preserve"> random effects model’s score</w:t>
      </w:r>
      <w:r w:rsidR="007908D6">
        <w:rPr>
          <w:rFonts w:cs="Times New Roman"/>
          <w:b/>
          <w:color w:val="00000A"/>
          <w:sz w:val="24"/>
          <w:szCs w:val="24"/>
        </w:rPr>
        <w:t xml:space="preserve"> and QRISK3 score </w:t>
      </w:r>
    </w:p>
    <w:p w14:paraId="244CC3AD" w14:textId="746E6C98" w:rsidR="00FF2484" w:rsidRDefault="007908D6" w:rsidP="002739AA">
      <w:pPr>
        <w:widowControl/>
        <w:spacing w:before="10" w:after="10" w:line="259" w:lineRule="auto"/>
        <w:jc w:val="center"/>
        <w:rPr>
          <w:rFonts w:cs="Times New Roman"/>
          <w:b/>
          <w:color w:val="00000A"/>
          <w:sz w:val="24"/>
          <w:szCs w:val="24"/>
        </w:rPr>
      </w:pPr>
      <w:r>
        <w:rPr>
          <w:rFonts w:cs="Times New Roman"/>
          <w:b/>
          <w:color w:val="00000A"/>
          <w:sz w:val="24"/>
          <w:szCs w:val="24"/>
        </w:rPr>
        <w:t>in the same</w:t>
      </w:r>
      <w:r w:rsidR="00B630E4" w:rsidRPr="00B630E4">
        <w:rPr>
          <w:rFonts w:cs="Times New Roman"/>
          <w:b/>
          <w:color w:val="00000A"/>
          <w:sz w:val="24"/>
          <w:szCs w:val="24"/>
        </w:rPr>
        <w:t xml:space="preserve"> group</w:t>
      </w:r>
      <w:r>
        <w:rPr>
          <w:rFonts w:cs="Times New Roman"/>
          <w:b/>
          <w:color w:val="00000A"/>
          <w:sz w:val="24"/>
          <w:szCs w:val="24"/>
        </w:rPr>
        <w:t xml:space="preserve"> of patients (grouped</w:t>
      </w:r>
      <w:r w:rsidR="00B630E4" w:rsidRPr="00B630E4">
        <w:rPr>
          <w:rFonts w:cs="Times New Roman"/>
          <w:b/>
          <w:color w:val="00000A"/>
          <w:sz w:val="24"/>
          <w:szCs w:val="24"/>
        </w:rPr>
        <w:t xml:space="preserve"> by certain range</w:t>
      </w:r>
      <w:r w:rsidR="00D14F18">
        <w:rPr>
          <w:rFonts w:cs="Times New Roman"/>
          <w:b/>
          <w:color w:val="00000A"/>
          <w:sz w:val="24"/>
          <w:szCs w:val="24"/>
        </w:rPr>
        <w:t xml:space="preserve"> (red lines)</w:t>
      </w:r>
      <w:r w:rsidR="00B630E4" w:rsidRPr="00B630E4">
        <w:rPr>
          <w:rFonts w:cs="Times New Roman"/>
          <w:b/>
          <w:color w:val="00000A"/>
          <w:sz w:val="24"/>
          <w:szCs w:val="24"/>
        </w:rPr>
        <w:t xml:space="preserve"> of QRISK3 score</w:t>
      </w:r>
      <w:bookmarkEnd w:id="3"/>
      <w:r>
        <w:rPr>
          <w:rFonts w:cs="Times New Roman"/>
          <w:b/>
          <w:color w:val="00000A"/>
          <w:sz w:val="24"/>
          <w:szCs w:val="24"/>
        </w:rPr>
        <w:t>)</w:t>
      </w:r>
    </w:p>
    <w:p w14:paraId="00323EE0" w14:textId="7246E1AE" w:rsidR="00C57DA6" w:rsidRDefault="00C57DA6">
      <w:pPr>
        <w:widowControl/>
        <w:jc w:val="left"/>
        <w:rPr>
          <w:rFonts w:cs="Times New Roman"/>
          <w:b/>
          <w:color w:val="00000A"/>
          <w:sz w:val="24"/>
          <w:szCs w:val="24"/>
        </w:rPr>
        <w:sectPr w:rsidR="00C57DA6" w:rsidSect="00E84D35">
          <w:pgSz w:w="16838" w:h="11906" w:orient="landscape"/>
          <w:pgMar w:top="1800" w:right="1440" w:bottom="1800" w:left="1440" w:header="851" w:footer="992" w:gutter="0"/>
          <w:cols w:space="425"/>
          <w:docGrid w:type="lines" w:linePitch="312"/>
        </w:sectPr>
      </w:pPr>
    </w:p>
    <w:p w14:paraId="22A2B68C" w14:textId="77777777" w:rsidR="00777ED6" w:rsidRDefault="00E1100A">
      <w:pPr>
        <w:widowControl/>
        <w:jc w:val="left"/>
        <w:rPr>
          <w:rFonts w:cs="Times New Roman"/>
          <w:b/>
          <w:color w:val="00000A"/>
          <w:sz w:val="24"/>
          <w:szCs w:val="24"/>
        </w:rPr>
      </w:pPr>
      <w:r>
        <w:rPr>
          <w:rFonts w:cs="Times New Roman"/>
          <w:b/>
          <w:noProof/>
          <w:color w:val="00000A"/>
          <w:sz w:val="24"/>
          <w:szCs w:val="24"/>
          <w:lang w:val="en-GB"/>
        </w:rPr>
        <w:lastRenderedPageBreak/>
        <w:drawing>
          <wp:inline distT="0" distB="0" distL="0" distR="0" wp14:anchorId="25B68CC6" wp14:editId="6743503C">
            <wp:extent cx="5274310" cy="37230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B of QRISK3 and RE QRISK3.png"/>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14:paraId="5741E1EA" w14:textId="77777777" w:rsidR="00E1100A" w:rsidRDefault="00E1100A" w:rsidP="00E1100A">
      <w:pPr>
        <w:widowControl/>
        <w:jc w:val="center"/>
        <w:rPr>
          <w:rFonts w:cs="Times New Roman"/>
          <w:b/>
          <w:color w:val="00000A"/>
          <w:sz w:val="24"/>
          <w:szCs w:val="24"/>
        </w:rPr>
      </w:pPr>
      <w:bookmarkStart w:id="4" w:name="eFigure2"/>
      <w:proofErr w:type="spellStart"/>
      <w:r>
        <w:rPr>
          <w:rFonts w:cs="Times New Roman"/>
          <w:b/>
          <w:color w:val="00000A"/>
          <w:sz w:val="24"/>
          <w:szCs w:val="24"/>
        </w:rPr>
        <w:t>eFigure</w:t>
      </w:r>
      <w:proofErr w:type="spellEnd"/>
      <w:r>
        <w:rPr>
          <w:rFonts w:cs="Times New Roman"/>
          <w:b/>
          <w:color w:val="00000A"/>
          <w:sz w:val="24"/>
          <w:szCs w:val="24"/>
        </w:rPr>
        <w:t xml:space="preserve"> 2. Net benefit analysis on QRISK3 and random effects model</w:t>
      </w:r>
    </w:p>
    <w:bookmarkEnd w:id="4"/>
    <w:p w14:paraId="1584BA0F" w14:textId="77777777" w:rsidR="00E1100A" w:rsidRPr="00E1100A" w:rsidRDefault="00E1100A">
      <w:pPr>
        <w:widowControl/>
        <w:jc w:val="left"/>
        <w:rPr>
          <w:rFonts w:cs="Times New Roman"/>
          <w:b/>
          <w:color w:val="00000A"/>
          <w:sz w:val="24"/>
          <w:szCs w:val="24"/>
        </w:rPr>
      </w:pPr>
    </w:p>
    <w:p w14:paraId="7A7EBCB1" w14:textId="77777777" w:rsidR="0090712D" w:rsidRDefault="0090712D">
      <w:pPr>
        <w:widowControl/>
        <w:jc w:val="left"/>
        <w:rPr>
          <w:rFonts w:cs="Times New Roman"/>
          <w:b/>
          <w:color w:val="00000A"/>
          <w:sz w:val="24"/>
          <w:szCs w:val="24"/>
        </w:rPr>
        <w:sectPr w:rsidR="0090712D" w:rsidSect="006A7FAB">
          <w:pgSz w:w="11906" w:h="16838"/>
          <w:pgMar w:top="1440" w:right="1800" w:bottom="1440" w:left="1800" w:header="851" w:footer="992" w:gutter="0"/>
          <w:cols w:space="425"/>
          <w:docGrid w:type="lines" w:linePitch="312"/>
        </w:sectPr>
      </w:pPr>
    </w:p>
    <w:p w14:paraId="585174BF" w14:textId="7137C548" w:rsidR="00F7207A" w:rsidRDefault="0090712D">
      <w:pPr>
        <w:widowControl/>
        <w:jc w:val="left"/>
        <w:rPr>
          <w:rFonts w:cs="Times New Roman"/>
          <w:b/>
          <w:color w:val="00000A"/>
          <w:sz w:val="24"/>
          <w:szCs w:val="24"/>
        </w:rPr>
      </w:pPr>
      <w:r>
        <w:rPr>
          <w:rFonts w:cs="Times New Roman"/>
          <w:b/>
          <w:noProof/>
          <w:color w:val="00000A"/>
          <w:sz w:val="24"/>
          <w:szCs w:val="24"/>
          <w:lang w:val="en-GB"/>
        </w:rPr>
        <w:drawing>
          <wp:inline distT="0" distB="0" distL="0" distR="0" wp14:anchorId="6C9E55B8" wp14:editId="576F639B">
            <wp:extent cx="5274310" cy="198882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 Calibration of QRISK3 in CPRD.pdf"/>
                    <pic:cNvPicPr/>
                  </pic:nvPicPr>
                  <pic:blipFill>
                    <a:blip r:embed="rId9">
                      <a:extLst>
                        <a:ext uri="{28A0092B-C50C-407E-A947-70E740481C1C}">
                          <a14:useLocalDpi xmlns:a14="http://schemas.microsoft.com/office/drawing/2010/main" val="0"/>
                        </a:ext>
                      </a:extLst>
                    </a:blip>
                    <a:stretch>
                      <a:fillRect/>
                    </a:stretch>
                  </pic:blipFill>
                  <pic:spPr>
                    <a:xfrm>
                      <a:off x="0" y="0"/>
                      <a:ext cx="5274310" cy="1988820"/>
                    </a:xfrm>
                    <a:prstGeom prst="rect">
                      <a:avLst/>
                    </a:prstGeom>
                  </pic:spPr>
                </pic:pic>
              </a:graphicData>
            </a:graphic>
          </wp:inline>
        </w:drawing>
      </w:r>
    </w:p>
    <w:p w14:paraId="04076C00" w14:textId="59FCECCA" w:rsidR="00AA2961" w:rsidRDefault="00AA2961" w:rsidP="00AA2961">
      <w:pPr>
        <w:widowControl/>
        <w:jc w:val="center"/>
        <w:rPr>
          <w:rFonts w:cs="Times New Roman"/>
          <w:b/>
          <w:color w:val="00000A"/>
          <w:sz w:val="24"/>
          <w:szCs w:val="24"/>
        </w:rPr>
      </w:pPr>
      <w:bookmarkStart w:id="5" w:name="eFigure31"/>
      <w:proofErr w:type="spellStart"/>
      <w:r>
        <w:rPr>
          <w:rFonts w:cs="Times New Roman"/>
          <w:b/>
          <w:color w:val="00000A"/>
          <w:sz w:val="24"/>
          <w:szCs w:val="24"/>
        </w:rPr>
        <w:t>eFigure</w:t>
      </w:r>
      <w:proofErr w:type="spellEnd"/>
      <w:r>
        <w:rPr>
          <w:rFonts w:cs="Times New Roman"/>
          <w:b/>
          <w:color w:val="00000A"/>
          <w:sz w:val="24"/>
          <w:szCs w:val="24"/>
        </w:rPr>
        <w:t xml:space="preserve"> 3</w:t>
      </w:r>
      <w:r w:rsidR="00B4686C">
        <w:rPr>
          <w:rFonts w:cs="Times New Roman"/>
          <w:b/>
          <w:color w:val="00000A"/>
          <w:sz w:val="24"/>
          <w:szCs w:val="24"/>
        </w:rPr>
        <w:t>-1</w:t>
      </w:r>
      <w:bookmarkEnd w:id="5"/>
      <w:r>
        <w:rPr>
          <w:rFonts w:cs="Times New Roman"/>
          <w:b/>
          <w:color w:val="00000A"/>
          <w:sz w:val="24"/>
          <w:szCs w:val="24"/>
        </w:rPr>
        <w:t xml:space="preserve">. </w:t>
      </w:r>
      <w:r w:rsidR="00B4686C">
        <w:rPr>
          <w:rFonts w:cs="Times New Roman"/>
          <w:b/>
          <w:color w:val="00000A"/>
          <w:sz w:val="24"/>
          <w:szCs w:val="24"/>
        </w:rPr>
        <w:t>Calibration plot of</w:t>
      </w:r>
      <w:r>
        <w:rPr>
          <w:rFonts w:cs="Times New Roman"/>
          <w:b/>
          <w:color w:val="00000A"/>
          <w:sz w:val="24"/>
          <w:szCs w:val="24"/>
        </w:rPr>
        <w:t xml:space="preserve"> QRISK3</w:t>
      </w:r>
    </w:p>
    <w:p w14:paraId="039847CE" w14:textId="77777777" w:rsidR="00AA2961" w:rsidRDefault="00AA2961">
      <w:pPr>
        <w:widowControl/>
        <w:jc w:val="left"/>
        <w:rPr>
          <w:rFonts w:cs="Times New Roman"/>
          <w:b/>
          <w:color w:val="00000A"/>
          <w:sz w:val="24"/>
          <w:szCs w:val="24"/>
        </w:rPr>
      </w:pPr>
    </w:p>
    <w:p w14:paraId="1121C8F2" w14:textId="29BA1DDD" w:rsidR="0090712D" w:rsidRDefault="0090712D">
      <w:pPr>
        <w:widowControl/>
        <w:jc w:val="left"/>
        <w:rPr>
          <w:rFonts w:cs="Times New Roman"/>
          <w:b/>
          <w:color w:val="00000A"/>
          <w:sz w:val="24"/>
          <w:szCs w:val="24"/>
        </w:rPr>
      </w:pPr>
      <w:r>
        <w:rPr>
          <w:rFonts w:cs="Times New Roman"/>
          <w:b/>
          <w:noProof/>
          <w:color w:val="00000A"/>
          <w:sz w:val="24"/>
          <w:szCs w:val="24"/>
          <w:lang w:val="en-GB"/>
        </w:rPr>
        <w:drawing>
          <wp:inline distT="0" distB="0" distL="0" distR="0" wp14:anchorId="6418773B" wp14:editId="298F6676">
            <wp:extent cx="5274310" cy="19970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4 Calibration of random effect QRISK3 in CPRD.pdf"/>
                    <pic:cNvPicPr/>
                  </pic:nvPicPr>
                  <pic:blipFill>
                    <a:blip r:embed="rId10">
                      <a:extLst>
                        <a:ext uri="{28A0092B-C50C-407E-A947-70E740481C1C}">
                          <a14:useLocalDpi xmlns:a14="http://schemas.microsoft.com/office/drawing/2010/main" val="0"/>
                        </a:ext>
                      </a:extLst>
                    </a:blip>
                    <a:stretch>
                      <a:fillRect/>
                    </a:stretch>
                  </pic:blipFill>
                  <pic:spPr>
                    <a:xfrm>
                      <a:off x="0" y="0"/>
                      <a:ext cx="5274310" cy="1997075"/>
                    </a:xfrm>
                    <a:prstGeom prst="rect">
                      <a:avLst/>
                    </a:prstGeom>
                  </pic:spPr>
                </pic:pic>
              </a:graphicData>
            </a:graphic>
          </wp:inline>
        </w:drawing>
      </w:r>
    </w:p>
    <w:p w14:paraId="2B356365" w14:textId="77777777" w:rsidR="0090712D" w:rsidRDefault="0090712D">
      <w:pPr>
        <w:widowControl/>
        <w:jc w:val="left"/>
        <w:rPr>
          <w:rFonts w:cs="Times New Roman"/>
          <w:b/>
          <w:color w:val="00000A"/>
          <w:sz w:val="24"/>
          <w:szCs w:val="24"/>
        </w:rPr>
      </w:pPr>
    </w:p>
    <w:p w14:paraId="08E8CBD4" w14:textId="04181C36" w:rsidR="00384587" w:rsidRDefault="00384587" w:rsidP="00384587">
      <w:pPr>
        <w:widowControl/>
        <w:jc w:val="center"/>
        <w:rPr>
          <w:rFonts w:cs="Times New Roman"/>
          <w:b/>
          <w:color w:val="00000A"/>
          <w:sz w:val="24"/>
          <w:szCs w:val="24"/>
        </w:rPr>
      </w:pPr>
      <w:bookmarkStart w:id="6" w:name="eFigure32"/>
      <w:proofErr w:type="spellStart"/>
      <w:r>
        <w:rPr>
          <w:rFonts w:cs="Times New Roman"/>
          <w:b/>
          <w:color w:val="00000A"/>
          <w:sz w:val="24"/>
          <w:szCs w:val="24"/>
        </w:rPr>
        <w:t>eFigure</w:t>
      </w:r>
      <w:proofErr w:type="spellEnd"/>
      <w:r>
        <w:rPr>
          <w:rFonts w:cs="Times New Roman"/>
          <w:b/>
          <w:color w:val="00000A"/>
          <w:sz w:val="24"/>
          <w:szCs w:val="24"/>
        </w:rPr>
        <w:t xml:space="preserve"> 3-2</w:t>
      </w:r>
      <w:bookmarkEnd w:id="6"/>
      <w:r>
        <w:rPr>
          <w:rFonts w:cs="Times New Roman"/>
          <w:b/>
          <w:color w:val="00000A"/>
          <w:sz w:val="24"/>
          <w:szCs w:val="24"/>
        </w:rPr>
        <w:t>. Calibration plot of random effects model</w:t>
      </w:r>
    </w:p>
    <w:p w14:paraId="1FE28214" w14:textId="47F8B49A" w:rsidR="0090712D" w:rsidRDefault="0090712D">
      <w:pPr>
        <w:widowControl/>
        <w:jc w:val="left"/>
        <w:rPr>
          <w:rFonts w:cs="Times New Roman"/>
          <w:b/>
          <w:color w:val="00000A"/>
          <w:sz w:val="24"/>
          <w:szCs w:val="24"/>
        </w:rPr>
        <w:sectPr w:rsidR="0090712D" w:rsidSect="006A7FAB">
          <w:pgSz w:w="11906" w:h="16838"/>
          <w:pgMar w:top="1440" w:right="1800" w:bottom="1440" w:left="1800" w:header="851" w:footer="992" w:gutter="0"/>
          <w:cols w:space="425"/>
          <w:docGrid w:type="lines" w:linePitch="312"/>
        </w:sectPr>
      </w:pPr>
    </w:p>
    <w:p w14:paraId="4FA50EAF" w14:textId="77777777" w:rsidR="00D45FEB" w:rsidRDefault="007D4ADB" w:rsidP="00CD532D">
      <w:pPr>
        <w:widowControl/>
        <w:jc w:val="left"/>
        <w:rPr>
          <w:rFonts w:cs="Times New Roman"/>
          <w:b/>
          <w:color w:val="00000A"/>
          <w:sz w:val="24"/>
          <w:szCs w:val="24"/>
        </w:rPr>
      </w:pPr>
      <w:r>
        <w:rPr>
          <w:rFonts w:cs="Times New Roman"/>
          <w:b/>
          <w:noProof/>
          <w:color w:val="00000A"/>
          <w:sz w:val="24"/>
          <w:szCs w:val="24"/>
          <w:lang w:val="en-GB"/>
        </w:rPr>
        <w:drawing>
          <wp:inline distT="0" distB="0" distL="0" distR="0" wp14:anchorId="1C69F281" wp14:editId="2788F723">
            <wp:extent cx="8863330" cy="44316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Figure3_Sup_Figure ab Funnel_C_statistic_ran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0A312C1D" w14:textId="77777777" w:rsidR="00337CC8" w:rsidRDefault="00337CC8" w:rsidP="00355BF4">
      <w:pPr>
        <w:widowControl/>
        <w:autoSpaceDE w:val="0"/>
        <w:autoSpaceDN w:val="0"/>
        <w:adjustRightInd w:val="0"/>
        <w:spacing w:before="10" w:after="10"/>
        <w:jc w:val="center"/>
        <w:rPr>
          <w:rFonts w:ascii="Times" w:eastAsia="等线" w:hAnsi="Times" w:cs="Times"/>
          <w:b/>
          <w:bCs/>
          <w:color w:val="000000"/>
        </w:rPr>
      </w:pPr>
    </w:p>
    <w:p w14:paraId="1B761487" w14:textId="627118B6" w:rsidR="00355BF4" w:rsidRDefault="00355BF4" w:rsidP="00355BF4">
      <w:pPr>
        <w:widowControl/>
        <w:autoSpaceDE w:val="0"/>
        <w:autoSpaceDN w:val="0"/>
        <w:adjustRightInd w:val="0"/>
        <w:spacing w:before="10" w:after="10"/>
        <w:jc w:val="center"/>
        <w:rPr>
          <w:rFonts w:ascii="Times" w:eastAsia="等线" w:hAnsi="Times" w:cs="Times"/>
          <w:bCs/>
          <w:color w:val="000000"/>
        </w:rPr>
      </w:pPr>
      <w:bookmarkStart w:id="7" w:name="eFigure3"/>
      <w:proofErr w:type="spellStart"/>
      <w:r w:rsidRPr="00887604">
        <w:rPr>
          <w:rFonts w:ascii="Times" w:eastAsia="等线" w:hAnsi="Times" w:cs="Times"/>
          <w:b/>
          <w:bCs/>
          <w:color w:val="000000"/>
        </w:rPr>
        <w:t>eFigure</w:t>
      </w:r>
      <w:proofErr w:type="spellEnd"/>
      <w:r w:rsidRPr="00887604">
        <w:rPr>
          <w:rFonts w:ascii="Times" w:eastAsia="等线" w:hAnsi="Times" w:cs="Times"/>
          <w:b/>
          <w:bCs/>
          <w:color w:val="000000"/>
        </w:rPr>
        <w:t xml:space="preserve"> </w:t>
      </w:r>
      <w:r w:rsidR="00B455F7">
        <w:rPr>
          <w:rFonts w:ascii="Times" w:eastAsia="等线" w:hAnsi="Times" w:cs="Times"/>
          <w:b/>
          <w:bCs/>
          <w:color w:val="000000"/>
        </w:rPr>
        <w:t>4</w:t>
      </w:r>
      <w:r w:rsidRPr="00887604">
        <w:rPr>
          <w:rFonts w:ascii="Times" w:eastAsia="等线" w:hAnsi="Times" w:cs="Times"/>
          <w:bCs/>
          <w:color w:val="000000"/>
        </w:rPr>
        <w:t xml:space="preserve">. </w:t>
      </w:r>
      <w:r>
        <w:rPr>
          <w:rFonts w:ascii="Times" w:eastAsia="等线" w:hAnsi="Times" w:cs="Times"/>
          <w:bCs/>
          <w:color w:val="000000"/>
        </w:rPr>
        <w:t>Variation of QRISK3’s C-statistic among practices—</w:t>
      </w:r>
    </w:p>
    <w:p w14:paraId="1BFE372B" w14:textId="27A076BF" w:rsidR="00355BF4" w:rsidRDefault="00355BF4" w:rsidP="00355BF4">
      <w:pPr>
        <w:widowControl/>
        <w:autoSpaceDE w:val="0"/>
        <w:autoSpaceDN w:val="0"/>
        <w:adjustRightInd w:val="0"/>
        <w:spacing w:before="10" w:after="10"/>
        <w:jc w:val="center"/>
        <w:rPr>
          <w:rFonts w:ascii="Times" w:eastAsia="等线" w:hAnsi="Times" w:cs="Times"/>
          <w:bCs/>
          <w:color w:val="000000"/>
        </w:rPr>
      </w:pPr>
      <w:r>
        <w:rPr>
          <w:rFonts w:ascii="Times" w:eastAsia="等线" w:hAnsi="Times" w:cs="Times"/>
          <w:bCs/>
          <w:color w:val="000000"/>
        </w:rPr>
        <w:t xml:space="preserve">a replication of </w:t>
      </w:r>
      <w:r w:rsidRPr="00887604">
        <w:rPr>
          <w:rFonts w:ascii="Times" w:eastAsia="等线" w:hAnsi="Times" w:cs="Times"/>
          <w:bCs/>
          <w:color w:val="000000"/>
        </w:rPr>
        <w:t>Riley’s</w:t>
      </w:r>
      <w:r w:rsidR="001853DB">
        <w:rPr>
          <w:rFonts w:ascii="Times" w:eastAsia="等线" w:hAnsi="Times" w:cs="Times"/>
          <w:bCs/>
          <w:color w:val="000000"/>
        </w:rPr>
        <w:fldChar w:fldCharType="begin" w:fldLock="1"/>
      </w:r>
      <w:r w:rsidR="009D2C15">
        <w:rPr>
          <w:rFonts w:ascii="Times" w:eastAsia="等线" w:hAnsi="Times" w:cs="Times"/>
          <w:bCs/>
          <w:color w:val="000000"/>
        </w:rPr>
        <w:instrText>ADDIN CSL_CITATION {"citationItems":[{"id":"ITEM-1","itemData":{"DOI":"10.1136/BMJ.I3140","ISSN":"1756-1833","PMID":"27334381","abstract":"Access to big datasets from e-health records and individual participant data (IPD) meta-analysis is signalling a new advent of external validation studies for clinical prediction models. In this article, the authors illustrate novel opportunities for external validation in big, combined datasets, while drawing attention to methodological challenges and reporting issues. A popular type of clinical research is the development of statistical models that predict disease presence and outcome occurrence in individuals, 1-3 thereby inform-ing clinical diagnosis and prognosis. Such models are referred to here as diagnostic and prognostic prediction models, but they have many other names including risk models, risk scores, and clinical prediction rules. They are typically developed by use of a multivariable regres-sion framework, which provides an equation to esti-mate an individual's risk based on values of multiple predictors (such as age and smoking, or biomarkers and genetic information). Figure 1 gives the format of equa-tions based on logistic or Cox regression, which involve an intercept or baseline hazard term combined with multiple predictor effects (corresponding to odds or hazard ratios). Well known examples are the Framing-ham risk score and QRISK2, 4 5 which estimate the 10 year risk of developing cardiovascular disease; the Not-tingham prognostic index, which predicts the five year survival probability of a woman with newly diagnosed breast cancer; 6 7 and the Wells score for predicting the presence of a pulmonary embolism. 8 9 In 2009, The BMJ published a series of four articles to guide those undertaking prediction model research, 2 10-12 and further recommendations were made in the 2013 PROGRESS series. 3 13-15 These articles all emphasised three fundamental components of prediction model research: model development, external validation, and impact evaluation. Model development is the process that leads to the final prediction equation, and involves many aspects detailed elsewhere. 2 16-18 Impact studies evaluate, ide-ally in a randomised trial, whether the implementation of a prediction model in clinical practice actually improves patient outcomes by informing treatment decisions according to the model's predicted risk. How-ever, impact studies should not be considered until the robustness and generalisability of a developed model is verified in one or more external validation studies. 3 19 External validation uses new participant level data, e…","author":[{"dropping-particle":"","family":"Riley","given":"Richard D","non-dropping-particle":"","parse-names":false,"suffix":""},{"dropping-particle":"","family":"Ensor","given":"Joie","non-dropping-particle":"","parse-names":false,"suffix":""},{"dropping-particle":"","family":"Snell","given":"Kym I E","non-dropping-particle":"","parse-names":false,"suffix":""},{"dropping-particle":"","family":"Debray","given":"Thomas P A","non-dropping-particle":"","parse-names":false,"suffix":""},{"dropping-particle":"","family":"Altman","given":"Doug G","non-dropping-particle":"","parse-names":false,"suffix":""},{"dropping-particle":"","family":"Moons","given":"Karel G M","non-dropping-particle":"","parse-names":false,"suffix":""},{"dropping-particle":"","family":"Collins","given":"Gary S","non-dropping-particle":"","parse-names":false,"suffix":""}],"container-title":"BMJ (Clinical research ed.)","id":"ITEM-1","issued":{"date-parts":[["2016","6","22"]]},"page":"i3140","publisher":"BMJ Publishing Group","title":"External validation of clinical prediction models using big datasets from e-health records or IPD meta-analysis: opportunities and challenges.","type":"article-journal","volume":"353"},"uris":["http://www.mendeley.com/documents/?uuid=a2df45da-0716-4343-9893-e0def0237507"]}],"mendeley":{"formattedCitation":"&lt;sup&gt;1&lt;/sup&gt;","plainTextFormattedCitation":"1","previouslyFormattedCitation":"&lt;sup&gt;1&lt;/sup&gt;"},"properties":{"noteIndex":0},"schema":"https://github.com/citation-style-language/schema/raw/master/csl-citation.json"}</w:instrText>
      </w:r>
      <w:r w:rsidR="001853DB">
        <w:rPr>
          <w:rFonts w:ascii="Times" w:eastAsia="等线" w:hAnsi="Times" w:cs="Times"/>
          <w:bCs/>
          <w:color w:val="000000"/>
        </w:rPr>
        <w:fldChar w:fldCharType="separate"/>
      </w:r>
      <w:r w:rsidR="001853DB" w:rsidRPr="001853DB">
        <w:rPr>
          <w:rFonts w:ascii="Times" w:eastAsia="等线" w:hAnsi="Times" w:cs="Times"/>
          <w:bCs/>
          <w:noProof/>
          <w:color w:val="000000"/>
          <w:vertAlign w:val="superscript"/>
        </w:rPr>
        <w:t>1</w:t>
      </w:r>
      <w:r w:rsidR="001853DB">
        <w:rPr>
          <w:rFonts w:ascii="Times" w:eastAsia="等线" w:hAnsi="Times" w:cs="Times"/>
          <w:bCs/>
          <w:color w:val="000000"/>
        </w:rPr>
        <w:fldChar w:fldCharType="end"/>
      </w:r>
      <w:r w:rsidRPr="00887604">
        <w:rPr>
          <w:rFonts w:ascii="Times" w:eastAsia="等线" w:hAnsi="Times" w:cs="Times"/>
          <w:bCs/>
          <w:color w:val="000000"/>
        </w:rPr>
        <w:t xml:space="preserve"> </w:t>
      </w:r>
      <w:r w:rsidR="000C59CC">
        <w:rPr>
          <w:rFonts w:ascii="Times" w:eastAsia="等线" w:hAnsi="Times" w:cs="Times"/>
          <w:bCs/>
          <w:color w:val="000000"/>
        </w:rPr>
        <w:t xml:space="preserve">funnel plot </w:t>
      </w:r>
      <w:bookmarkEnd w:id="7"/>
    </w:p>
    <w:sectPr w:rsidR="00355BF4" w:rsidSect="00CD532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4D99B" w14:textId="77777777" w:rsidR="00A9176F" w:rsidRDefault="00A9176F" w:rsidP="00BC1F07">
      <w:r>
        <w:separator/>
      </w:r>
    </w:p>
  </w:endnote>
  <w:endnote w:type="continuationSeparator" w:id="0">
    <w:p w14:paraId="28830D77" w14:textId="77777777" w:rsidR="00A9176F" w:rsidRDefault="00A9176F" w:rsidP="00BC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2D6E4" w14:textId="77777777" w:rsidR="00A9176F" w:rsidRDefault="00A9176F" w:rsidP="00BC1F07">
      <w:r>
        <w:separator/>
      </w:r>
    </w:p>
  </w:footnote>
  <w:footnote w:type="continuationSeparator" w:id="0">
    <w:p w14:paraId="0A2D44E3" w14:textId="77777777" w:rsidR="00A9176F" w:rsidRDefault="00A9176F" w:rsidP="00BC1F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1A2"/>
    <w:rsid w:val="000169F1"/>
    <w:rsid w:val="00034E83"/>
    <w:rsid w:val="0004481A"/>
    <w:rsid w:val="00051444"/>
    <w:rsid w:val="00054AFE"/>
    <w:rsid w:val="000561D3"/>
    <w:rsid w:val="00062246"/>
    <w:rsid w:val="000C59CC"/>
    <w:rsid w:val="000E6DDD"/>
    <w:rsid w:val="000F1F8E"/>
    <w:rsid w:val="00120FC1"/>
    <w:rsid w:val="001251CD"/>
    <w:rsid w:val="001853DB"/>
    <w:rsid w:val="001907E7"/>
    <w:rsid w:val="001C6F0E"/>
    <w:rsid w:val="001D5DCE"/>
    <w:rsid w:val="00236D93"/>
    <w:rsid w:val="00264EA2"/>
    <w:rsid w:val="002739AA"/>
    <w:rsid w:val="002848EB"/>
    <w:rsid w:val="002911BC"/>
    <w:rsid w:val="002C2E3B"/>
    <w:rsid w:val="002F19B5"/>
    <w:rsid w:val="002F4784"/>
    <w:rsid w:val="00312926"/>
    <w:rsid w:val="00323DF4"/>
    <w:rsid w:val="00337CC8"/>
    <w:rsid w:val="00344160"/>
    <w:rsid w:val="00355BF4"/>
    <w:rsid w:val="00384587"/>
    <w:rsid w:val="003C14A9"/>
    <w:rsid w:val="00401A5A"/>
    <w:rsid w:val="00405860"/>
    <w:rsid w:val="0040775F"/>
    <w:rsid w:val="004A22FB"/>
    <w:rsid w:val="004B3E6B"/>
    <w:rsid w:val="004C02A6"/>
    <w:rsid w:val="004D4772"/>
    <w:rsid w:val="004E4368"/>
    <w:rsid w:val="0055089C"/>
    <w:rsid w:val="00561EAD"/>
    <w:rsid w:val="00565423"/>
    <w:rsid w:val="00582332"/>
    <w:rsid w:val="00583BD5"/>
    <w:rsid w:val="005922EC"/>
    <w:rsid w:val="00594E74"/>
    <w:rsid w:val="005A7146"/>
    <w:rsid w:val="005B71E0"/>
    <w:rsid w:val="005B7998"/>
    <w:rsid w:val="005D44A6"/>
    <w:rsid w:val="00606DEC"/>
    <w:rsid w:val="006338C4"/>
    <w:rsid w:val="00646642"/>
    <w:rsid w:val="00696D1D"/>
    <w:rsid w:val="006A0393"/>
    <w:rsid w:val="006A35CE"/>
    <w:rsid w:val="006A7FAB"/>
    <w:rsid w:val="006D4F28"/>
    <w:rsid w:val="006F53D4"/>
    <w:rsid w:val="0072537D"/>
    <w:rsid w:val="007478D8"/>
    <w:rsid w:val="00753003"/>
    <w:rsid w:val="00754936"/>
    <w:rsid w:val="00777ED6"/>
    <w:rsid w:val="007908D6"/>
    <w:rsid w:val="0079587F"/>
    <w:rsid w:val="007B634D"/>
    <w:rsid w:val="007C12CE"/>
    <w:rsid w:val="007C36D6"/>
    <w:rsid w:val="007D4ADB"/>
    <w:rsid w:val="007E75B2"/>
    <w:rsid w:val="0080036D"/>
    <w:rsid w:val="00813AA3"/>
    <w:rsid w:val="00813F21"/>
    <w:rsid w:val="00845C14"/>
    <w:rsid w:val="00865D53"/>
    <w:rsid w:val="00887604"/>
    <w:rsid w:val="008B71A2"/>
    <w:rsid w:val="008E15D1"/>
    <w:rsid w:val="009033DF"/>
    <w:rsid w:val="0090712D"/>
    <w:rsid w:val="00910101"/>
    <w:rsid w:val="0094666C"/>
    <w:rsid w:val="009D1529"/>
    <w:rsid w:val="009D2C15"/>
    <w:rsid w:val="009D56B2"/>
    <w:rsid w:val="009E38DB"/>
    <w:rsid w:val="009E5321"/>
    <w:rsid w:val="009F4F80"/>
    <w:rsid w:val="00A02FFC"/>
    <w:rsid w:val="00A44FFC"/>
    <w:rsid w:val="00A51C3C"/>
    <w:rsid w:val="00A537C5"/>
    <w:rsid w:val="00A70147"/>
    <w:rsid w:val="00A9176F"/>
    <w:rsid w:val="00AA2961"/>
    <w:rsid w:val="00AC2807"/>
    <w:rsid w:val="00AD273E"/>
    <w:rsid w:val="00AF2DE8"/>
    <w:rsid w:val="00AF3480"/>
    <w:rsid w:val="00B455F7"/>
    <w:rsid w:val="00B45D53"/>
    <w:rsid w:val="00B4686C"/>
    <w:rsid w:val="00B56AA6"/>
    <w:rsid w:val="00B60392"/>
    <w:rsid w:val="00B630E4"/>
    <w:rsid w:val="00B86F86"/>
    <w:rsid w:val="00B87D3B"/>
    <w:rsid w:val="00B966EA"/>
    <w:rsid w:val="00B973A7"/>
    <w:rsid w:val="00BB25F7"/>
    <w:rsid w:val="00BC1F07"/>
    <w:rsid w:val="00BF0EDD"/>
    <w:rsid w:val="00BF2A9D"/>
    <w:rsid w:val="00C20101"/>
    <w:rsid w:val="00C2278C"/>
    <w:rsid w:val="00C2420C"/>
    <w:rsid w:val="00C57DA6"/>
    <w:rsid w:val="00CA6595"/>
    <w:rsid w:val="00CA7E76"/>
    <w:rsid w:val="00CD0ACC"/>
    <w:rsid w:val="00CD532D"/>
    <w:rsid w:val="00CF415F"/>
    <w:rsid w:val="00D023E9"/>
    <w:rsid w:val="00D130F7"/>
    <w:rsid w:val="00D14F18"/>
    <w:rsid w:val="00D424D8"/>
    <w:rsid w:val="00D45FEB"/>
    <w:rsid w:val="00D56C6A"/>
    <w:rsid w:val="00DA0615"/>
    <w:rsid w:val="00DE711C"/>
    <w:rsid w:val="00E1100A"/>
    <w:rsid w:val="00E302D5"/>
    <w:rsid w:val="00E40176"/>
    <w:rsid w:val="00E56A4E"/>
    <w:rsid w:val="00E830D3"/>
    <w:rsid w:val="00E84D35"/>
    <w:rsid w:val="00E92241"/>
    <w:rsid w:val="00F34ED7"/>
    <w:rsid w:val="00F43224"/>
    <w:rsid w:val="00F44F53"/>
    <w:rsid w:val="00F46B0E"/>
    <w:rsid w:val="00F512E0"/>
    <w:rsid w:val="00F7207A"/>
    <w:rsid w:val="00F930B3"/>
    <w:rsid w:val="00F96979"/>
    <w:rsid w:val="00FA7FCF"/>
    <w:rsid w:val="00FD46E1"/>
    <w:rsid w:val="00FF2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A00A9A"/>
  <w15:chartTrackingRefBased/>
  <w15:docId w15:val="{117BBAEF-9B1B-47FA-9405-761DF08B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微软雅黑" w:hAnsi="Times New Roman"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BF4"/>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F0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C1F07"/>
    <w:rPr>
      <w:sz w:val="18"/>
      <w:szCs w:val="18"/>
    </w:rPr>
  </w:style>
  <w:style w:type="paragraph" w:styleId="Footer">
    <w:name w:val="footer"/>
    <w:basedOn w:val="Normal"/>
    <w:link w:val="FooterChar"/>
    <w:uiPriority w:val="99"/>
    <w:unhideWhenUsed/>
    <w:rsid w:val="00BC1F0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C1F07"/>
    <w:rPr>
      <w:sz w:val="18"/>
      <w:szCs w:val="18"/>
    </w:rPr>
  </w:style>
  <w:style w:type="character" w:styleId="Hyperlink">
    <w:name w:val="Hyperlink"/>
    <w:basedOn w:val="DefaultParagraphFont"/>
    <w:uiPriority w:val="99"/>
    <w:unhideWhenUsed/>
    <w:rsid w:val="006D4F28"/>
    <w:rPr>
      <w:color w:val="0563C1" w:themeColor="hyperlink"/>
      <w:u w:val="single"/>
    </w:rPr>
  </w:style>
  <w:style w:type="character" w:styleId="FollowedHyperlink">
    <w:name w:val="FollowedHyperlink"/>
    <w:basedOn w:val="DefaultParagraphFont"/>
    <w:uiPriority w:val="99"/>
    <w:semiHidden/>
    <w:unhideWhenUsed/>
    <w:rsid w:val="00594E74"/>
    <w:rPr>
      <w:color w:val="954F72" w:themeColor="followedHyperlink"/>
      <w:u w:val="single"/>
    </w:rPr>
  </w:style>
  <w:style w:type="character" w:customStyle="1" w:styleId="UnresolvedMention1">
    <w:name w:val="Unresolved Mention1"/>
    <w:basedOn w:val="DefaultParagraphFont"/>
    <w:uiPriority w:val="99"/>
    <w:semiHidden/>
    <w:unhideWhenUsed/>
    <w:rsid w:val="009E5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71C96-2655-4F64-B38A-AB9CC3C97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8</Pages>
  <Words>2533</Words>
  <Characters>14441</Characters>
  <Application>Microsoft Office Word</Application>
  <DocSecurity>0</DocSecurity>
  <Lines>120</Lines>
  <Paragraphs>33</Paragraphs>
  <ScaleCrop>false</ScaleCrop>
  <Company/>
  <LinksUpToDate>false</LinksUpToDate>
  <CharactersWithSpaces>16941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Yan</dc:creator>
  <cp:keywords/>
  <dc:description/>
  <cp:lastModifiedBy>Yan Li</cp:lastModifiedBy>
  <cp:revision>163</cp:revision>
  <dcterms:created xsi:type="dcterms:W3CDTF">2018-10-03T09:42:00Z</dcterms:created>
  <dcterms:modified xsi:type="dcterms:W3CDTF">2019-06-26T15:25:00Z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a75f8ebe-b3d6-3806-8db9-9fa63062af80</vt:lpwstr>
  </property>
  <property fmtid="{D5CDD505-2E9C-101B-9397-08002B2CF9AE}" pid="4" name="Mendeley Citation Style_1">
    <vt:lpwstr>http://www.zotero.org/styles/scientific-reports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