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EA0D4" w14:textId="035CECC3" w:rsidR="00E64F56" w:rsidRDefault="00E64F56" w:rsidP="00E64F56">
      <w:pPr>
        <w:jc w:val="both"/>
        <w:rPr>
          <w:rFonts w:asciiTheme="majorBidi" w:hAnsiTheme="majorBidi" w:cstheme="majorBidi"/>
          <w:color w:val="000000"/>
        </w:rPr>
      </w:pPr>
      <w:r w:rsidRPr="006D0BB7">
        <w:rPr>
          <w:rFonts w:asciiTheme="majorBidi" w:hAnsiTheme="majorBidi" w:cstheme="majorBidi"/>
          <w:b/>
          <w:bCs/>
        </w:rPr>
        <w:t>TITLE:</w:t>
      </w:r>
      <w:r>
        <w:rPr>
          <w:rFonts w:asciiTheme="majorBidi" w:hAnsiTheme="majorBidi" w:cstheme="majorBidi"/>
        </w:rPr>
        <w:t xml:space="preserve"> </w:t>
      </w:r>
      <w:r w:rsidRPr="002A600D">
        <w:rPr>
          <w:rFonts w:asciiTheme="majorBidi" w:hAnsiTheme="majorBidi" w:cstheme="majorBidi"/>
          <w:color w:val="000000"/>
        </w:rPr>
        <w:t>"</w:t>
      </w:r>
      <w:r w:rsidR="00037D8C" w:rsidRPr="00037D8C">
        <w:t xml:space="preserve"> </w:t>
      </w:r>
      <w:r w:rsidR="00037D8C" w:rsidRPr="00037D8C">
        <w:rPr>
          <w:rFonts w:asciiTheme="majorBidi" w:hAnsiTheme="majorBidi" w:cstheme="majorBidi"/>
          <w:color w:val="000000" w:themeColor="text1"/>
        </w:rPr>
        <w:t xml:space="preserve">Shape programming of polymeric based electrothermal actuator (ETA) via artificially induced stress relaxation </w:t>
      </w:r>
      <w:r w:rsidRPr="002A600D">
        <w:rPr>
          <w:rFonts w:asciiTheme="majorBidi" w:hAnsiTheme="majorBidi" w:cstheme="majorBidi"/>
          <w:color w:val="000000"/>
        </w:rPr>
        <w:t>"</w:t>
      </w:r>
      <w:r w:rsidRPr="006D0BB7">
        <w:rPr>
          <w:rFonts w:asciiTheme="majorBidi" w:hAnsiTheme="majorBidi" w:cstheme="majorBidi"/>
          <w:color w:val="000000"/>
        </w:rPr>
        <w:t xml:space="preserve"> </w:t>
      </w:r>
    </w:p>
    <w:p w14:paraId="751CF207" w14:textId="250AF76A" w:rsidR="00E64F56" w:rsidRDefault="00E64F56" w:rsidP="00E64F56">
      <w:pPr>
        <w:jc w:val="center"/>
        <w:rPr>
          <w:rFonts w:asciiTheme="majorBidi" w:hAnsiTheme="majorBidi" w:cstheme="majorBidi"/>
        </w:rPr>
      </w:pPr>
      <w:r w:rsidRPr="002A600D">
        <w:rPr>
          <w:rFonts w:asciiTheme="majorBidi" w:hAnsiTheme="majorBidi" w:cstheme="majorBidi"/>
        </w:rPr>
        <w:t>Yu-Chen Sun</w:t>
      </w:r>
      <w:r w:rsidR="00FA2916">
        <w:rPr>
          <w:rFonts w:asciiTheme="majorBidi" w:hAnsiTheme="majorBidi" w:cstheme="majorBidi"/>
        </w:rPr>
        <w:t xml:space="preserve"> </w:t>
      </w:r>
      <w:r w:rsidR="00FA2916">
        <w:rPr>
          <w:rFonts w:ascii="Times New Roman" w:hAnsi="Times New Roman" w:cs="Times New Roman"/>
          <w:kern w:val="0"/>
          <w:vertAlign w:val="superscript"/>
        </w:rPr>
        <w:t>a, b, c</w:t>
      </w:r>
      <w:r w:rsidRPr="002A600D">
        <w:rPr>
          <w:rFonts w:asciiTheme="majorBidi" w:hAnsiTheme="majorBidi" w:cstheme="majorBidi"/>
        </w:rPr>
        <w:t>, Benjamin D. Leaker</w:t>
      </w:r>
      <w:r w:rsidR="00FA2916">
        <w:rPr>
          <w:rFonts w:asciiTheme="majorBidi" w:hAnsiTheme="majorBidi" w:cstheme="majorBidi"/>
        </w:rPr>
        <w:t xml:space="preserve"> </w:t>
      </w:r>
      <w:r w:rsidR="00FA2916">
        <w:rPr>
          <w:rFonts w:ascii="Times New Roman" w:hAnsi="Times New Roman" w:cs="Times New Roman"/>
          <w:kern w:val="0"/>
          <w:vertAlign w:val="superscript"/>
        </w:rPr>
        <w:t>a, b, c</w:t>
      </w:r>
      <w:r w:rsidRPr="002A600D">
        <w:rPr>
          <w:rFonts w:asciiTheme="majorBidi" w:hAnsiTheme="majorBidi" w:cstheme="majorBidi"/>
        </w:rPr>
        <w:t xml:space="preserve">, </w:t>
      </w:r>
      <w:r w:rsidR="004A0FE7" w:rsidRPr="004A0FE7">
        <w:rPr>
          <w:rFonts w:asciiTheme="majorBidi" w:hAnsiTheme="majorBidi" w:cstheme="majorBidi"/>
        </w:rPr>
        <w:t xml:space="preserve">Ji </w:t>
      </w:r>
      <w:proofErr w:type="spellStart"/>
      <w:r w:rsidR="004A0FE7" w:rsidRPr="004A0FE7">
        <w:rPr>
          <w:rFonts w:asciiTheme="majorBidi" w:hAnsiTheme="majorBidi" w:cstheme="majorBidi"/>
        </w:rPr>
        <w:t>Eun</w:t>
      </w:r>
      <w:proofErr w:type="spellEnd"/>
      <w:r w:rsidR="004A0FE7" w:rsidRPr="004A0FE7">
        <w:rPr>
          <w:rFonts w:asciiTheme="majorBidi" w:hAnsiTheme="majorBidi" w:cstheme="majorBidi"/>
        </w:rPr>
        <w:t xml:space="preserve"> Lee</w:t>
      </w:r>
      <w:r w:rsidR="00FA2916">
        <w:rPr>
          <w:rFonts w:asciiTheme="majorBidi" w:hAnsiTheme="majorBidi" w:cstheme="majorBidi"/>
        </w:rPr>
        <w:t xml:space="preserve"> </w:t>
      </w:r>
      <w:r w:rsidR="00FA2916">
        <w:rPr>
          <w:rFonts w:ascii="Times New Roman" w:hAnsi="Times New Roman" w:cs="Times New Roman"/>
          <w:kern w:val="0"/>
          <w:vertAlign w:val="superscript"/>
        </w:rPr>
        <w:t>a, b, c</w:t>
      </w:r>
      <w:r w:rsidR="004A0FE7" w:rsidRPr="004A0FE7">
        <w:rPr>
          <w:rFonts w:asciiTheme="majorBidi" w:hAnsiTheme="majorBidi" w:cstheme="majorBidi"/>
        </w:rPr>
        <w:t>, Ryan Nam</w:t>
      </w:r>
      <w:r w:rsidR="00FA2916">
        <w:rPr>
          <w:rFonts w:asciiTheme="majorBidi" w:hAnsiTheme="majorBidi" w:cstheme="majorBidi"/>
        </w:rPr>
        <w:t xml:space="preserve"> </w:t>
      </w:r>
      <w:r w:rsidR="00FA2916">
        <w:rPr>
          <w:rFonts w:ascii="Times New Roman" w:hAnsi="Times New Roman" w:cs="Times New Roman"/>
          <w:kern w:val="0"/>
          <w:vertAlign w:val="superscript"/>
        </w:rPr>
        <w:t>a, b, c</w:t>
      </w:r>
      <w:r w:rsidR="004A0FE7">
        <w:rPr>
          <w:rFonts w:asciiTheme="majorBidi" w:hAnsiTheme="majorBidi" w:cstheme="majorBidi"/>
        </w:rPr>
        <w:t xml:space="preserve">, </w:t>
      </w:r>
      <w:r w:rsidRPr="002A600D">
        <w:rPr>
          <w:rFonts w:asciiTheme="majorBidi" w:hAnsiTheme="majorBidi" w:cstheme="majorBidi"/>
        </w:rPr>
        <w:t>and Hani E. Naguib</w:t>
      </w:r>
      <w:r w:rsidR="00FA2916">
        <w:rPr>
          <w:rFonts w:asciiTheme="majorBidi" w:hAnsiTheme="majorBidi" w:cstheme="majorBidi"/>
        </w:rPr>
        <w:t xml:space="preserve"> </w:t>
      </w:r>
      <w:r w:rsidR="00FA2916">
        <w:rPr>
          <w:rFonts w:ascii="Times New Roman" w:hAnsi="Times New Roman" w:cs="Times New Roman"/>
          <w:kern w:val="0"/>
          <w:vertAlign w:val="superscript"/>
        </w:rPr>
        <w:t>a, b, c</w:t>
      </w:r>
      <w:r w:rsidRPr="002A600D">
        <w:rPr>
          <w:rFonts w:asciiTheme="majorBidi" w:hAnsiTheme="majorBidi" w:cstheme="majorBidi"/>
        </w:rPr>
        <w:t>*</w:t>
      </w:r>
    </w:p>
    <w:p w14:paraId="727DF10C" w14:textId="5BB592A7" w:rsidR="00E64F56" w:rsidRPr="002A600D" w:rsidRDefault="00FA2916" w:rsidP="00E64F56">
      <w:pPr>
        <w:ind w:left="-540" w:right="-244"/>
        <w:jc w:val="center"/>
        <w:rPr>
          <w:rFonts w:asciiTheme="majorBidi" w:hAnsiTheme="majorBidi" w:cstheme="majorBidi"/>
          <w:sz w:val="18"/>
          <w:szCs w:val="16"/>
        </w:rPr>
      </w:pPr>
      <w:r>
        <w:rPr>
          <w:rFonts w:ascii="Times New Roman" w:hAnsi="Times New Roman" w:cs="Times New Roman"/>
          <w:kern w:val="0"/>
          <w:vertAlign w:val="superscript"/>
        </w:rPr>
        <w:t>a</w:t>
      </w:r>
      <w:r>
        <w:rPr>
          <w:rFonts w:ascii="Times New Roman" w:hAnsi="Times New Roman" w:cs="Times New Roman"/>
          <w:kern w:val="0"/>
          <w:vertAlign w:val="superscript"/>
        </w:rPr>
        <w:t xml:space="preserve"> </w:t>
      </w:r>
      <w:r w:rsidR="00E64F56" w:rsidRPr="002A600D">
        <w:rPr>
          <w:rFonts w:asciiTheme="majorBidi" w:hAnsiTheme="majorBidi" w:cstheme="majorBidi"/>
          <w:sz w:val="18"/>
          <w:szCs w:val="16"/>
        </w:rPr>
        <w:t>Department of Mechanical and Industrial Engineering, University of Toronto, Toronto, Canada</w:t>
      </w:r>
    </w:p>
    <w:p w14:paraId="649558F6" w14:textId="49260854" w:rsidR="00E64F56" w:rsidRPr="002A600D" w:rsidRDefault="00FA2916" w:rsidP="00E64F56">
      <w:pPr>
        <w:ind w:left="-540" w:right="-244"/>
        <w:jc w:val="center"/>
        <w:rPr>
          <w:rFonts w:asciiTheme="majorBidi" w:hAnsiTheme="majorBidi" w:cstheme="majorBidi"/>
          <w:sz w:val="18"/>
          <w:szCs w:val="16"/>
        </w:rPr>
      </w:pPr>
      <w:r>
        <w:rPr>
          <w:rFonts w:ascii="Times New Roman" w:hAnsi="Times New Roman" w:cs="Times New Roman"/>
          <w:kern w:val="0"/>
          <w:vertAlign w:val="superscript"/>
        </w:rPr>
        <w:t>b</w:t>
      </w:r>
      <w:r w:rsidRPr="002A600D">
        <w:rPr>
          <w:rFonts w:asciiTheme="majorBidi" w:hAnsiTheme="majorBidi" w:cstheme="majorBidi"/>
          <w:sz w:val="18"/>
          <w:szCs w:val="16"/>
        </w:rPr>
        <w:t xml:space="preserve"> </w:t>
      </w:r>
      <w:r w:rsidR="00E64F56" w:rsidRPr="002A600D">
        <w:rPr>
          <w:rFonts w:asciiTheme="majorBidi" w:hAnsiTheme="majorBidi" w:cstheme="majorBidi"/>
          <w:sz w:val="18"/>
          <w:szCs w:val="16"/>
        </w:rPr>
        <w:t>Department of Materials Science and Engineering, University of Toronto, Toronto</w:t>
      </w:r>
      <w:bookmarkStart w:id="0" w:name="_GoBack"/>
      <w:bookmarkEnd w:id="0"/>
      <w:r w:rsidR="00E64F56" w:rsidRPr="002A600D">
        <w:rPr>
          <w:rFonts w:asciiTheme="majorBidi" w:hAnsiTheme="majorBidi" w:cstheme="majorBidi"/>
          <w:sz w:val="18"/>
          <w:szCs w:val="16"/>
        </w:rPr>
        <w:t>, Canada</w:t>
      </w:r>
    </w:p>
    <w:p w14:paraId="5082BC18" w14:textId="1AF53450" w:rsidR="00E64F56" w:rsidRPr="002A600D" w:rsidRDefault="00FA2916" w:rsidP="00E64F56">
      <w:pPr>
        <w:ind w:left="-540" w:right="-244"/>
        <w:jc w:val="center"/>
        <w:rPr>
          <w:rFonts w:asciiTheme="majorBidi" w:hAnsiTheme="majorBidi" w:cstheme="majorBidi"/>
          <w:sz w:val="18"/>
          <w:szCs w:val="16"/>
        </w:rPr>
      </w:pPr>
      <w:r>
        <w:rPr>
          <w:rFonts w:ascii="Times New Roman" w:hAnsi="Times New Roman" w:cs="Times New Roman"/>
          <w:kern w:val="0"/>
          <w:vertAlign w:val="superscript"/>
        </w:rPr>
        <w:t>c</w:t>
      </w:r>
      <w:r w:rsidRPr="002A600D">
        <w:rPr>
          <w:rFonts w:asciiTheme="majorBidi" w:hAnsiTheme="majorBidi" w:cstheme="majorBidi"/>
          <w:sz w:val="18"/>
          <w:szCs w:val="16"/>
        </w:rPr>
        <w:t xml:space="preserve"> </w:t>
      </w:r>
      <w:r w:rsidR="00E64F56" w:rsidRPr="002A600D">
        <w:rPr>
          <w:rFonts w:asciiTheme="majorBidi" w:hAnsiTheme="majorBidi" w:cstheme="majorBidi"/>
          <w:sz w:val="18"/>
          <w:szCs w:val="16"/>
        </w:rPr>
        <w:t>Institute of Biomaterials and Biomedical Engineering, University of Toronto, Toronto, Canada</w:t>
      </w:r>
    </w:p>
    <w:p w14:paraId="4276BFAF" w14:textId="77777777" w:rsidR="00E64F56" w:rsidRPr="002A600D" w:rsidRDefault="00E64F56" w:rsidP="00E64F56">
      <w:pPr>
        <w:ind w:left="-540" w:right="-244"/>
        <w:jc w:val="center"/>
        <w:rPr>
          <w:rFonts w:asciiTheme="majorBidi" w:hAnsiTheme="majorBidi" w:cstheme="majorBidi"/>
          <w:sz w:val="18"/>
          <w:szCs w:val="16"/>
        </w:rPr>
      </w:pPr>
      <w:r w:rsidRPr="002A600D">
        <w:rPr>
          <w:rFonts w:asciiTheme="majorBidi" w:hAnsiTheme="majorBidi" w:cstheme="majorBidi"/>
          <w:sz w:val="18"/>
          <w:szCs w:val="16"/>
        </w:rPr>
        <w:t>5 Kings College Rd., Toronto, Ontario, Canada, M5S3G8</w:t>
      </w:r>
    </w:p>
    <w:p w14:paraId="60A463AE" w14:textId="77777777" w:rsidR="00E64F56" w:rsidRDefault="00E64F56" w:rsidP="00E64F56">
      <w:pPr>
        <w:ind w:left="-540" w:right="-244"/>
        <w:jc w:val="center"/>
        <w:rPr>
          <w:rFonts w:asciiTheme="majorBidi" w:hAnsiTheme="majorBidi" w:cstheme="majorBidi"/>
          <w:sz w:val="18"/>
          <w:szCs w:val="16"/>
        </w:rPr>
      </w:pPr>
      <w:r w:rsidRPr="002A600D">
        <w:rPr>
          <w:rFonts w:asciiTheme="majorBidi" w:hAnsiTheme="majorBidi" w:cstheme="majorBidi"/>
          <w:sz w:val="18"/>
          <w:szCs w:val="16"/>
        </w:rPr>
        <w:t xml:space="preserve">Contact email: </w:t>
      </w:r>
      <w:hyperlink r:id="rId6" w:history="1">
        <w:r w:rsidRPr="00DE1819">
          <w:rPr>
            <w:rStyle w:val="Hyperlink"/>
            <w:rFonts w:asciiTheme="majorBidi" w:hAnsiTheme="majorBidi" w:cstheme="majorBidi"/>
            <w:sz w:val="18"/>
            <w:szCs w:val="16"/>
          </w:rPr>
          <w:t>naguib@mie.utoronto.ca</w:t>
        </w:r>
      </w:hyperlink>
    </w:p>
    <w:p w14:paraId="1D90F283" w14:textId="77777777" w:rsidR="00E64F56" w:rsidRPr="00E64F56" w:rsidRDefault="00E64F56" w:rsidP="00E64F56">
      <w:pPr>
        <w:ind w:left="-540" w:right="-244"/>
        <w:jc w:val="center"/>
        <w:rPr>
          <w:rFonts w:asciiTheme="majorBidi" w:hAnsiTheme="majorBidi" w:cstheme="majorBidi"/>
          <w:sz w:val="18"/>
          <w:szCs w:val="16"/>
        </w:rPr>
      </w:pPr>
    </w:p>
    <w:p w14:paraId="5CB45F6F" w14:textId="77777777" w:rsidR="00855199" w:rsidRPr="00E64F56" w:rsidRDefault="00855199" w:rsidP="00E64F56">
      <w:pPr>
        <w:jc w:val="center"/>
        <w:rPr>
          <w:rFonts w:ascii="Times New Roman" w:hAnsi="Times New Roman" w:cs="Times New Roman"/>
          <w:b/>
          <w:sz w:val="56"/>
        </w:rPr>
      </w:pPr>
      <w:r w:rsidRPr="00E64F56">
        <w:rPr>
          <w:rFonts w:ascii="Times New Roman" w:hAnsi="Times New Roman" w:cs="Times New Roman"/>
          <w:b/>
          <w:sz w:val="56"/>
        </w:rPr>
        <w:t>Supplementary</w:t>
      </w:r>
      <w:r w:rsidR="00E64F56" w:rsidRPr="00E64F56">
        <w:rPr>
          <w:rFonts w:ascii="Times New Roman" w:hAnsi="Times New Roman" w:cs="Times New Roman"/>
          <w:b/>
          <w:sz w:val="56"/>
        </w:rPr>
        <w:t xml:space="preserve"> Document</w:t>
      </w:r>
    </w:p>
    <w:p w14:paraId="0EBE08FB" w14:textId="77777777" w:rsidR="00E64F56" w:rsidRDefault="00E64F56">
      <w:pPr>
        <w:widowControl/>
        <w:rPr>
          <w:rFonts w:ascii="Times New Roman" w:hAnsi="Times New Roman" w:cs="Times New Roman"/>
        </w:rPr>
      </w:pPr>
    </w:p>
    <w:p w14:paraId="2B6B4EFD" w14:textId="77777777" w:rsidR="00E64F56" w:rsidRPr="00BE6BEA" w:rsidRDefault="00E64F56" w:rsidP="00E64F56">
      <w:pPr>
        <w:widowControl/>
        <w:spacing w:line="276" w:lineRule="auto"/>
        <w:ind w:leftChars="-173" w:right="424" w:hangingChars="173" w:hanging="415"/>
        <w:jc w:val="center"/>
        <w:rPr>
          <w:rFonts w:ascii="Times New Roman" w:eastAsiaTheme="minorHAnsi" w:hAnsi="Times New Roman" w:cs="Times New Roman"/>
          <w:i/>
          <w:iCs/>
          <w:color w:val="000000" w:themeColor="text1"/>
          <w:kern w:val="0"/>
          <w:szCs w:val="24"/>
          <w:lang w:eastAsia="en-US"/>
        </w:rPr>
      </w:pPr>
      <w:r w:rsidRPr="00BE6BEA">
        <w:rPr>
          <w:rFonts w:ascii="Times New Roman" w:eastAsiaTheme="minorHAnsi" w:hAnsi="Times New Roman" w:cs="Times New Roman"/>
          <w:i/>
          <w:iCs/>
          <w:color w:val="000000" w:themeColor="text1"/>
          <w:kern w:val="0"/>
          <w:szCs w:val="24"/>
          <w:lang w:eastAsia="en-US"/>
        </w:rPr>
        <w:t>Table S1 – Programming and actuation behaviour comparison of ETA and SMP</w:t>
      </w:r>
    </w:p>
    <w:tbl>
      <w:tblPr>
        <w:tblStyle w:val="TableGrid"/>
        <w:tblW w:w="9918" w:type="dxa"/>
        <w:jc w:val="center"/>
        <w:tblLook w:val="04A0" w:firstRow="1" w:lastRow="0" w:firstColumn="1" w:lastColumn="0" w:noHBand="0" w:noVBand="1"/>
      </w:tblPr>
      <w:tblGrid>
        <w:gridCol w:w="1696"/>
        <w:gridCol w:w="8222"/>
      </w:tblGrid>
      <w:tr w:rsidR="00BE6BEA" w:rsidRPr="00BE6BEA" w14:paraId="69A9BB53" w14:textId="77777777" w:rsidTr="00E64F56">
        <w:trPr>
          <w:jc w:val="center"/>
        </w:trPr>
        <w:tc>
          <w:tcPr>
            <w:tcW w:w="1696" w:type="dxa"/>
            <w:shd w:val="clear" w:color="auto" w:fill="DBDBDB" w:themeFill="accent3" w:themeFillTint="66"/>
            <w:vAlign w:val="center"/>
          </w:tcPr>
          <w:p w14:paraId="4EC21687" w14:textId="77777777" w:rsidR="00E64F56" w:rsidRPr="00BE6BEA" w:rsidRDefault="00E64F56" w:rsidP="00E64F56">
            <w:pPr>
              <w:jc w:val="center"/>
              <w:rPr>
                <w:rFonts w:ascii="Times New Roman" w:hAnsi="Times New Roman" w:cs="Times New Roman"/>
                <w:b/>
                <w:bCs/>
                <w:i/>
                <w:color w:val="000000" w:themeColor="text1"/>
                <w:sz w:val="28"/>
                <w:szCs w:val="24"/>
                <w:lang w:eastAsia="en-US"/>
              </w:rPr>
            </w:pPr>
            <w:r w:rsidRPr="00BE6BEA">
              <w:rPr>
                <w:rFonts w:ascii="Times New Roman" w:hAnsi="Times New Roman" w:cs="Times New Roman"/>
                <w:b/>
                <w:bCs/>
                <w:i/>
                <w:color w:val="000000" w:themeColor="text1"/>
                <w:sz w:val="28"/>
                <w:szCs w:val="24"/>
                <w:lang w:eastAsia="en-US"/>
              </w:rPr>
              <w:t>Actuator type</w:t>
            </w:r>
          </w:p>
        </w:tc>
        <w:tc>
          <w:tcPr>
            <w:tcW w:w="8222" w:type="dxa"/>
            <w:shd w:val="clear" w:color="auto" w:fill="DBDBDB" w:themeFill="accent3" w:themeFillTint="66"/>
            <w:vAlign w:val="center"/>
          </w:tcPr>
          <w:p w14:paraId="06E711FD" w14:textId="77777777" w:rsidR="00E64F56" w:rsidRPr="00BE6BEA" w:rsidRDefault="00E64F56" w:rsidP="00E64F56">
            <w:pPr>
              <w:widowControl/>
              <w:spacing w:line="276" w:lineRule="auto"/>
              <w:contextualSpacing/>
              <w:jc w:val="center"/>
              <w:rPr>
                <w:rFonts w:ascii="Times New Roman" w:hAnsi="Times New Roman" w:cs="Times New Roman"/>
                <w:b/>
                <w:bCs/>
                <w:i/>
                <w:color w:val="000000" w:themeColor="text1"/>
                <w:sz w:val="28"/>
                <w:szCs w:val="24"/>
              </w:rPr>
            </w:pPr>
            <w:r w:rsidRPr="00BE6BEA">
              <w:rPr>
                <w:rFonts w:ascii="Times New Roman" w:hAnsi="Times New Roman" w:cs="Times New Roman"/>
                <w:b/>
                <w:bCs/>
                <w:i/>
                <w:color w:val="000000" w:themeColor="text1"/>
                <w:sz w:val="28"/>
                <w:szCs w:val="24"/>
              </w:rPr>
              <w:t>Programming process</w:t>
            </w:r>
          </w:p>
        </w:tc>
      </w:tr>
      <w:tr w:rsidR="00BE6BEA" w:rsidRPr="00BE6BEA" w14:paraId="5A244409" w14:textId="77777777" w:rsidTr="00E64F56">
        <w:trPr>
          <w:jc w:val="center"/>
        </w:trPr>
        <w:tc>
          <w:tcPr>
            <w:tcW w:w="1696" w:type="dxa"/>
            <w:vAlign w:val="center"/>
          </w:tcPr>
          <w:p w14:paraId="2F8443A2" w14:textId="77777777" w:rsidR="00E64F56" w:rsidRPr="00BE6BEA" w:rsidRDefault="00E64F56" w:rsidP="00B8057A">
            <w:pPr>
              <w:jc w:val="center"/>
              <w:rPr>
                <w:rFonts w:ascii="Times New Roman" w:hAnsi="Times New Roman" w:cs="Times New Roman"/>
                <w:i/>
                <w:color w:val="000000" w:themeColor="text1"/>
                <w:lang w:eastAsia="en-US"/>
              </w:rPr>
            </w:pPr>
            <w:r w:rsidRPr="00BE6BEA">
              <w:rPr>
                <w:rFonts w:ascii="Times New Roman" w:hAnsi="Times New Roman" w:cs="Times New Roman"/>
                <w:i/>
                <w:color w:val="000000" w:themeColor="text1"/>
                <w:lang w:eastAsia="en-US"/>
              </w:rPr>
              <w:t>Electrothermal Actuator</w:t>
            </w:r>
          </w:p>
        </w:tc>
        <w:tc>
          <w:tcPr>
            <w:tcW w:w="8222" w:type="dxa"/>
          </w:tcPr>
          <w:p w14:paraId="00236796" w14:textId="77777777" w:rsidR="00E64F56" w:rsidRPr="00BE6BEA" w:rsidRDefault="00E64F56" w:rsidP="00E64F56">
            <w:pPr>
              <w:pStyle w:val="ListParagraph"/>
              <w:widowControl/>
              <w:numPr>
                <w:ilvl w:val="0"/>
                <w:numId w:val="1"/>
              </w:numPr>
              <w:spacing w:line="276" w:lineRule="auto"/>
              <w:ind w:leftChars="0" w:left="460"/>
              <w:contextualSpacing/>
              <w:rPr>
                <w:rFonts w:ascii="Times New Roman" w:hAnsi="Times New Roman" w:cs="Times New Roman"/>
                <w:i/>
                <w:color w:val="000000" w:themeColor="text1"/>
                <w:szCs w:val="24"/>
              </w:rPr>
            </w:pPr>
            <w:r w:rsidRPr="00BE6BEA">
              <w:rPr>
                <w:rFonts w:ascii="Times New Roman" w:hAnsi="Times New Roman" w:cs="Times New Roman"/>
                <w:i/>
                <w:color w:val="000000" w:themeColor="text1"/>
                <w:szCs w:val="24"/>
              </w:rPr>
              <w:t xml:space="preserve">The initial configuration of a newly fabricated ETA is a flat/thin film (pre-programmed shape).  </w:t>
            </w:r>
          </w:p>
          <w:p w14:paraId="69498EC7" w14:textId="77777777" w:rsidR="00E64F56" w:rsidRPr="00BE6BEA" w:rsidRDefault="00E64F56" w:rsidP="00E64F56">
            <w:pPr>
              <w:pStyle w:val="ListParagraph"/>
              <w:widowControl/>
              <w:numPr>
                <w:ilvl w:val="0"/>
                <w:numId w:val="1"/>
              </w:numPr>
              <w:spacing w:line="276" w:lineRule="auto"/>
              <w:ind w:leftChars="0" w:left="460"/>
              <w:contextualSpacing/>
              <w:rPr>
                <w:rFonts w:ascii="Times New Roman" w:hAnsi="Times New Roman" w:cs="Times New Roman"/>
                <w:i/>
                <w:color w:val="000000" w:themeColor="text1"/>
                <w:szCs w:val="24"/>
              </w:rPr>
            </w:pPr>
            <w:r w:rsidRPr="00BE6BEA">
              <w:rPr>
                <w:rFonts w:ascii="Times New Roman" w:hAnsi="Times New Roman" w:cs="Times New Roman"/>
                <w:i/>
                <w:color w:val="000000" w:themeColor="text1"/>
                <w:szCs w:val="24"/>
              </w:rPr>
              <w:t xml:space="preserve">Low Joule heating (7V) for shape programming results in a curved (programmed or temporary shape) configuration, as shown in Figure 5 @ 0s. </w:t>
            </w:r>
          </w:p>
          <w:p w14:paraId="45F7455B" w14:textId="77777777" w:rsidR="00E64F56" w:rsidRPr="00BE6BEA" w:rsidRDefault="00E64F56" w:rsidP="00E64F56">
            <w:pPr>
              <w:pStyle w:val="ListParagraph"/>
              <w:widowControl/>
              <w:numPr>
                <w:ilvl w:val="0"/>
                <w:numId w:val="1"/>
              </w:numPr>
              <w:spacing w:line="276" w:lineRule="auto"/>
              <w:ind w:leftChars="0" w:left="460"/>
              <w:contextualSpacing/>
              <w:rPr>
                <w:rFonts w:ascii="Times New Roman" w:hAnsi="Times New Roman" w:cs="Times New Roman"/>
                <w:i/>
                <w:color w:val="000000" w:themeColor="text1"/>
                <w:szCs w:val="24"/>
              </w:rPr>
            </w:pPr>
            <w:r w:rsidRPr="00BE6BEA">
              <w:rPr>
                <w:rFonts w:ascii="Times New Roman" w:hAnsi="Times New Roman" w:cs="Times New Roman"/>
                <w:i/>
                <w:color w:val="000000" w:themeColor="text1"/>
                <w:szCs w:val="24"/>
              </w:rPr>
              <w:t xml:space="preserve">High Joule heating (12V) for actuation results in the shape recovery from the programmed shape to the pre-programmed shape, as shown in Figure 5 @ 24s.  </w:t>
            </w:r>
          </w:p>
          <w:p w14:paraId="3A2C8CD9" w14:textId="77777777" w:rsidR="00E64F56" w:rsidRPr="00BE6BEA" w:rsidRDefault="00E64F56" w:rsidP="00E64F56">
            <w:pPr>
              <w:pStyle w:val="ListParagraph"/>
              <w:widowControl/>
              <w:numPr>
                <w:ilvl w:val="0"/>
                <w:numId w:val="1"/>
              </w:numPr>
              <w:spacing w:line="276" w:lineRule="auto"/>
              <w:ind w:leftChars="0" w:left="460"/>
              <w:contextualSpacing/>
              <w:rPr>
                <w:rFonts w:ascii="Times New Roman" w:hAnsi="Times New Roman" w:cs="Times New Roman"/>
                <w:i/>
                <w:color w:val="000000" w:themeColor="text1"/>
                <w:szCs w:val="24"/>
              </w:rPr>
            </w:pPr>
            <w:r w:rsidRPr="00BE6BEA">
              <w:rPr>
                <w:rFonts w:ascii="Times New Roman" w:hAnsi="Times New Roman" w:cs="Times New Roman"/>
                <w:i/>
                <w:color w:val="000000" w:themeColor="text1"/>
                <w:szCs w:val="24"/>
              </w:rPr>
              <w:t>Voltage off results in the partial recovery of the ETA, as shown in Figure 5 @ 31s.</w:t>
            </w:r>
          </w:p>
        </w:tc>
      </w:tr>
      <w:tr w:rsidR="00BE6BEA" w:rsidRPr="00BE6BEA" w14:paraId="0D86565A" w14:textId="77777777" w:rsidTr="00E64F56">
        <w:trPr>
          <w:jc w:val="center"/>
        </w:trPr>
        <w:tc>
          <w:tcPr>
            <w:tcW w:w="1696" w:type="dxa"/>
            <w:vAlign w:val="center"/>
          </w:tcPr>
          <w:p w14:paraId="3C52F9FE" w14:textId="77777777" w:rsidR="00E64F56" w:rsidRPr="00BE6BEA" w:rsidRDefault="00E64F56" w:rsidP="00B8057A">
            <w:pPr>
              <w:jc w:val="center"/>
              <w:rPr>
                <w:rFonts w:ascii="Times New Roman" w:hAnsi="Times New Roman" w:cs="Times New Roman"/>
                <w:i/>
                <w:color w:val="000000" w:themeColor="text1"/>
                <w:lang w:eastAsia="en-US"/>
              </w:rPr>
            </w:pPr>
            <w:r w:rsidRPr="00BE6BEA">
              <w:rPr>
                <w:rFonts w:ascii="Times New Roman" w:hAnsi="Times New Roman" w:cs="Times New Roman"/>
                <w:i/>
                <w:color w:val="000000" w:themeColor="text1"/>
                <w:lang w:eastAsia="en-US"/>
              </w:rPr>
              <w:t>Shape Memory Polymer</w:t>
            </w:r>
          </w:p>
        </w:tc>
        <w:tc>
          <w:tcPr>
            <w:tcW w:w="8222" w:type="dxa"/>
          </w:tcPr>
          <w:p w14:paraId="564D4E41" w14:textId="77777777" w:rsidR="00E64F56" w:rsidRPr="00BE6BEA" w:rsidRDefault="00E64F56" w:rsidP="00E64F56">
            <w:pPr>
              <w:pStyle w:val="ListParagraph"/>
              <w:widowControl/>
              <w:numPr>
                <w:ilvl w:val="0"/>
                <w:numId w:val="1"/>
              </w:numPr>
              <w:spacing w:line="276" w:lineRule="auto"/>
              <w:ind w:leftChars="0" w:left="460"/>
              <w:contextualSpacing/>
              <w:rPr>
                <w:rFonts w:ascii="Times New Roman" w:hAnsi="Times New Roman" w:cs="Times New Roman"/>
                <w:i/>
                <w:color w:val="000000" w:themeColor="text1"/>
                <w:szCs w:val="24"/>
              </w:rPr>
            </w:pPr>
            <w:r w:rsidRPr="00BE6BEA">
              <w:rPr>
                <w:rFonts w:ascii="Times New Roman" w:hAnsi="Times New Roman" w:cs="Times New Roman"/>
                <w:i/>
                <w:color w:val="000000" w:themeColor="text1"/>
                <w:szCs w:val="24"/>
              </w:rPr>
              <w:t>The initial configuration of a newly fabricated SMP is any desired pre-programmed or permanent shape.</w:t>
            </w:r>
          </w:p>
          <w:p w14:paraId="6EBFEA4E" w14:textId="77777777" w:rsidR="00E64F56" w:rsidRPr="00BE6BEA" w:rsidRDefault="00E64F56" w:rsidP="00E64F56">
            <w:pPr>
              <w:pStyle w:val="ListParagraph"/>
              <w:widowControl/>
              <w:numPr>
                <w:ilvl w:val="0"/>
                <w:numId w:val="1"/>
              </w:numPr>
              <w:spacing w:line="276" w:lineRule="auto"/>
              <w:ind w:leftChars="0" w:left="460"/>
              <w:contextualSpacing/>
              <w:rPr>
                <w:rFonts w:ascii="Times New Roman" w:hAnsi="Times New Roman" w:cs="Times New Roman"/>
                <w:i/>
                <w:color w:val="000000" w:themeColor="text1"/>
                <w:szCs w:val="24"/>
              </w:rPr>
            </w:pPr>
            <w:r w:rsidRPr="00BE6BEA">
              <w:rPr>
                <w:rFonts w:ascii="Times New Roman" w:hAnsi="Times New Roman" w:cs="Times New Roman"/>
                <w:i/>
                <w:color w:val="000000" w:themeColor="text1"/>
                <w:szCs w:val="24"/>
              </w:rPr>
              <w:t>Loading or deformation can be applied under the condition of T &gt; T</w:t>
            </w:r>
            <w:r w:rsidRPr="00BE6BEA">
              <w:rPr>
                <w:rFonts w:ascii="Times New Roman" w:hAnsi="Times New Roman" w:cs="Times New Roman"/>
                <w:i/>
                <w:color w:val="000000" w:themeColor="text1"/>
                <w:szCs w:val="24"/>
                <w:vertAlign w:val="subscript"/>
              </w:rPr>
              <w:t>g</w:t>
            </w:r>
            <w:r w:rsidRPr="00BE6BEA">
              <w:rPr>
                <w:rFonts w:ascii="Times New Roman" w:hAnsi="Times New Roman" w:cs="Times New Roman"/>
                <w:i/>
                <w:color w:val="000000" w:themeColor="text1"/>
                <w:szCs w:val="24"/>
              </w:rPr>
              <w:t xml:space="preserve"> which results in a programmed or temporary shape</w:t>
            </w:r>
          </w:p>
          <w:p w14:paraId="538C923E" w14:textId="77777777" w:rsidR="00E64F56" w:rsidRPr="00BE6BEA" w:rsidRDefault="00E64F56" w:rsidP="00E64F56">
            <w:pPr>
              <w:pStyle w:val="ListParagraph"/>
              <w:widowControl/>
              <w:numPr>
                <w:ilvl w:val="0"/>
                <w:numId w:val="1"/>
              </w:numPr>
              <w:spacing w:line="276" w:lineRule="auto"/>
              <w:ind w:leftChars="0" w:left="460"/>
              <w:contextualSpacing/>
              <w:rPr>
                <w:rFonts w:ascii="Times New Roman" w:hAnsi="Times New Roman" w:cs="Times New Roman"/>
                <w:i/>
                <w:color w:val="000000" w:themeColor="text1"/>
                <w:szCs w:val="24"/>
              </w:rPr>
            </w:pPr>
            <w:r w:rsidRPr="00BE6BEA">
              <w:rPr>
                <w:rFonts w:ascii="Times New Roman" w:hAnsi="Times New Roman" w:cs="Times New Roman"/>
                <w:i/>
                <w:color w:val="000000" w:themeColor="text1"/>
                <w:szCs w:val="24"/>
              </w:rPr>
              <w:t>When temperature is lowered to T &lt; T</w:t>
            </w:r>
            <w:r w:rsidRPr="00BE6BEA">
              <w:rPr>
                <w:rFonts w:ascii="Times New Roman" w:hAnsi="Times New Roman" w:cs="Times New Roman"/>
                <w:i/>
                <w:color w:val="000000" w:themeColor="text1"/>
                <w:szCs w:val="24"/>
                <w:vertAlign w:val="subscript"/>
              </w:rPr>
              <w:t>g</w:t>
            </w:r>
            <w:r w:rsidRPr="00BE6BEA">
              <w:rPr>
                <w:rFonts w:ascii="Times New Roman" w:hAnsi="Times New Roman" w:cs="Times New Roman"/>
                <w:i/>
                <w:color w:val="000000" w:themeColor="text1"/>
                <w:szCs w:val="24"/>
              </w:rPr>
              <w:t>, the programmed shape is maintained after removing the applied load.</w:t>
            </w:r>
          </w:p>
          <w:p w14:paraId="52D3418B" w14:textId="77777777" w:rsidR="00E64F56" w:rsidRPr="00BE6BEA" w:rsidRDefault="00E64F56" w:rsidP="00E64F56">
            <w:pPr>
              <w:pStyle w:val="ListParagraph"/>
              <w:widowControl/>
              <w:numPr>
                <w:ilvl w:val="0"/>
                <w:numId w:val="1"/>
              </w:numPr>
              <w:spacing w:line="276" w:lineRule="auto"/>
              <w:ind w:leftChars="0" w:left="720"/>
              <w:contextualSpacing/>
              <w:rPr>
                <w:rFonts w:ascii="Times New Roman" w:hAnsi="Times New Roman" w:cs="Times New Roman"/>
                <w:i/>
                <w:color w:val="000000" w:themeColor="text1"/>
                <w:szCs w:val="24"/>
              </w:rPr>
            </w:pPr>
            <w:r w:rsidRPr="00BE6BEA">
              <w:rPr>
                <w:rFonts w:ascii="Times New Roman" w:hAnsi="Times New Roman" w:cs="Times New Roman"/>
                <w:i/>
                <w:color w:val="000000" w:themeColor="text1"/>
                <w:szCs w:val="24"/>
              </w:rPr>
              <w:t>When temperature is increased to T &gt; T</w:t>
            </w:r>
            <w:r w:rsidRPr="00BE6BEA">
              <w:rPr>
                <w:rFonts w:ascii="Times New Roman" w:hAnsi="Times New Roman" w:cs="Times New Roman"/>
                <w:i/>
                <w:color w:val="000000" w:themeColor="text1"/>
                <w:szCs w:val="24"/>
                <w:vertAlign w:val="subscript"/>
              </w:rPr>
              <w:t xml:space="preserve">g </w:t>
            </w:r>
            <w:r w:rsidRPr="00BE6BEA">
              <w:rPr>
                <w:rFonts w:ascii="Times New Roman" w:hAnsi="Times New Roman" w:cs="Times New Roman"/>
                <w:i/>
                <w:color w:val="000000" w:themeColor="text1"/>
                <w:szCs w:val="24"/>
              </w:rPr>
              <w:t>again, the pre-programmed or permanent shape is recovered.</w:t>
            </w:r>
          </w:p>
        </w:tc>
      </w:tr>
    </w:tbl>
    <w:p w14:paraId="75AB80E6" w14:textId="77777777" w:rsidR="00855199" w:rsidRPr="00E64F56" w:rsidRDefault="00855199" w:rsidP="00E64F56">
      <w:pPr>
        <w:keepNext/>
        <w:jc w:val="center"/>
        <w:rPr>
          <w:rFonts w:ascii="Times New Roman" w:hAnsi="Times New Roman" w:cs="Times New Roman"/>
        </w:rPr>
      </w:pPr>
      <w:r w:rsidRPr="00E64F56">
        <w:rPr>
          <w:rFonts w:ascii="Times New Roman" w:hAnsi="Times New Roman" w:cs="Times New Roman"/>
          <w:noProof/>
          <w:lang w:val="en-CA"/>
        </w:rPr>
        <w:lastRenderedPageBreak/>
        <w:drawing>
          <wp:inline distT="0" distB="0" distL="0" distR="0" wp14:anchorId="7FD7777F" wp14:editId="081038C7">
            <wp:extent cx="3719195" cy="1835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9195" cy="1835150"/>
                    </a:xfrm>
                    <a:prstGeom prst="rect">
                      <a:avLst/>
                    </a:prstGeom>
                    <a:noFill/>
                  </pic:spPr>
                </pic:pic>
              </a:graphicData>
            </a:graphic>
          </wp:inline>
        </w:drawing>
      </w:r>
    </w:p>
    <w:p w14:paraId="4F7CFF53" w14:textId="1ACB5594" w:rsidR="00855199" w:rsidRPr="00E64F56" w:rsidRDefault="00855199" w:rsidP="00E64F56">
      <w:pPr>
        <w:jc w:val="center"/>
        <w:rPr>
          <w:rFonts w:ascii="Times New Roman" w:hAnsi="Times New Roman" w:cs="Times New Roman"/>
          <w:i/>
        </w:rPr>
      </w:pPr>
      <w:bookmarkStart w:id="1" w:name="_Ref489449165"/>
      <w:r w:rsidRPr="00E64F56">
        <w:rPr>
          <w:rFonts w:ascii="Times New Roman" w:hAnsi="Times New Roman" w:cs="Times New Roman"/>
          <w:b/>
          <w:i/>
        </w:rPr>
        <w:t>Figure S</w:t>
      </w:r>
      <w:r w:rsidR="00E64F56" w:rsidRPr="00E64F56">
        <w:rPr>
          <w:rFonts w:ascii="Times New Roman" w:hAnsi="Times New Roman" w:cs="Times New Roman"/>
          <w:b/>
          <w:i/>
        </w:rPr>
        <w:fldChar w:fldCharType="begin"/>
      </w:r>
      <w:r w:rsidR="00E64F56" w:rsidRPr="00E64F56">
        <w:rPr>
          <w:rFonts w:ascii="Times New Roman" w:hAnsi="Times New Roman" w:cs="Times New Roman"/>
          <w:b/>
          <w:i/>
        </w:rPr>
        <w:instrText xml:space="preserve"> SEQ Figure \* ARABIC </w:instrText>
      </w:r>
      <w:r w:rsidR="00E64F56" w:rsidRPr="00E64F56">
        <w:rPr>
          <w:rFonts w:ascii="Times New Roman" w:hAnsi="Times New Roman" w:cs="Times New Roman"/>
          <w:b/>
          <w:i/>
        </w:rPr>
        <w:fldChar w:fldCharType="separate"/>
      </w:r>
      <w:r w:rsidR="00DF4DC2">
        <w:rPr>
          <w:rFonts w:ascii="Times New Roman" w:hAnsi="Times New Roman" w:cs="Times New Roman"/>
          <w:b/>
          <w:i/>
          <w:noProof/>
        </w:rPr>
        <w:t>1</w:t>
      </w:r>
      <w:r w:rsidR="00E64F56" w:rsidRPr="00E64F56">
        <w:rPr>
          <w:rFonts w:ascii="Times New Roman" w:hAnsi="Times New Roman" w:cs="Times New Roman"/>
          <w:b/>
          <w:i/>
        </w:rPr>
        <w:fldChar w:fldCharType="end"/>
      </w:r>
      <w:bookmarkEnd w:id="1"/>
      <w:r w:rsidRPr="00E64F56">
        <w:rPr>
          <w:rFonts w:ascii="Times New Roman" w:hAnsi="Times New Roman" w:cs="Times New Roman"/>
          <w:i/>
        </w:rPr>
        <w:t xml:space="preserve"> – (a)SWCNT film fabricated from solvent evaporation, and (b) flexing of SWCNT film</w:t>
      </w:r>
    </w:p>
    <w:p w14:paraId="095BF217" w14:textId="77777777" w:rsidR="00855199" w:rsidRDefault="00855199" w:rsidP="00855199">
      <w:pPr>
        <w:rPr>
          <w:rFonts w:ascii="Times New Roman" w:hAnsi="Times New Roman" w:cs="Times New Roman"/>
        </w:rPr>
      </w:pPr>
    </w:p>
    <w:p w14:paraId="27631527" w14:textId="77777777" w:rsidR="00E64F56" w:rsidRPr="00E64F56" w:rsidRDefault="00E64F56" w:rsidP="00855199">
      <w:pPr>
        <w:rPr>
          <w:rFonts w:ascii="Times New Roman" w:hAnsi="Times New Roman" w:cs="Times New Roman"/>
        </w:rPr>
      </w:pPr>
    </w:p>
    <w:p w14:paraId="1F2F46DF" w14:textId="77777777" w:rsidR="004D1EC3" w:rsidRPr="00E64F56" w:rsidRDefault="004D1EC3" w:rsidP="00E64F56">
      <w:pPr>
        <w:keepNext/>
        <w:jc w:val="center"/>
        <w:rPr>
          <w:rFonts w:ascii="Times New Roman" w:hAnsi="Times New Roman" w:cs="Times New Roman"/>
        </w:rPr>
      </w:pPr>
      <w:r w:rsidRPr="00E64F56">
        <w:rPr>
          <w:rFonts w:ascii="Times New Roman" w:hAnsi="Times New Roman" w:cs="Times New Roman"/>
          <w:noProof/>
        </w:rPr>
        <w:drawing>
          <wp:inline distT="0" distB="0" distL="0" distR="0" wp14:anchorId="715EE4A9" wp14:editId="60771457">
            <wp:extent cx="4397577" cy="299204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03013" cy="2995748"/>
                    </a:xfrm>
                    <a:prstGeom prst="rect">
                      <a:avLst/>
                    </a:prstGeom>
                  </pic:spPr>
                </pic:pic>
              </a:graphicData>
            </a:graphic>
          </wp:inline>
        </w:drawing>
      </w:r>
    </w:p>
    <w:p w14:paraId="73BE9A59" w14:textId="5C06FC81" w:rsidR="004D1EC3" w:rsidRPr="00E64F56" w:rsidRDefault="004D1EC3" w:rsidP="00E64F56">
      <w:pPr>
        <w:jc w:val="center"/>
        <w:rPr>
          <w:rFonts w:ascii="Times New Roman" w:hAnsi="Times New Roman" w:cs="Times New Roman"/>
        </w:rPr>
      </w:pPr>
      <w:r w:rsidRPr="00E64F56">
        <w:rPr>
          <w:rFonts w:ascii="Times New Roman" w:hAnsi="Times New Roman" w:cs="Times New Roman"/>
          <w:b/>
        </w:rPr>
        <w:t>Figure S</w:t>
      </w:r>
      <w:r w:rsidR="00E64F56" w:rsidRPr="00E64F56">
        <w:rPr>
          <w:rFonts w:ascii="Times New Roman" w:hAnsi="Times New Roman" w:cs="Times New Roman"/>
          <w:b/>
        </w:rPr>
        <w:fldChar w:fldCharType="begin"/>
      </w:r>
      <w:r w:rsidR="00E64F56" w:rsidRPr="00E64F56">
        <w:rPr>
          <w:rFonts w:ascii="Times New Roman" w:hAnsi="Times New Roman" w:cs="Times New Roman"/>
          <w:b/>
        </w:rPr>
        <w:instrText xml:space="preserve"> SEQ Figure \* ARABIC </w:instrText>
      </w:r>
      <w:r w:rsidR="00E64F56" w:rsidRPr="00E64F56">
        <w:rPr>
          <w:rFonts w:ascii="Times New Roman" w:hAnsi="Times New Roman" w:cs="Times New Roman"/>
          <w:b/>
        </w:rPr>
        <w:fldChar w:fldCharType="separate"/>
      </w:r>
      <w:r w:rsidR="00DF4DC2">
        <w:rPr>
          <w:rFonts w:ascii="Times New Roman" w:hAnsi="Times New Roman" w:cs="Times New Roman"/>
          <w:b/>
          <w:noProof/>
        </w:rPr>
        <w:t>2</w:t>
      </w:r>
      <w:r w:rsidR="00E64F56" w:rsidRPr="00E64F56">
        <w:rPr>
          <w:rFonts w:ascii="Times New Roman" w:hAnsi="Times New Roman" w:cs="Times New Roman"/>
          <w:b/>
          <w:noProof/>
        </w:rPr>
        <w:fldChar w:fldCharType="end"/>
      </w:r>
      <w:r w:rsidRPr="00E64F56">
        <w:rPr>
          <w:rFonts w:ascii="Times New Roman" w:hAnsi="Times New Roman" w:cs="Times New Roman"/>
        </w:rPr>
        <w:t xml:space="preserve"> - Dimension of U-shape actuator</w:t>
      </w:r>
    </w:p>
    <w:p w14:paraId="72343127" w14:textId="77777777" w:rsidR="004D1EC3" w:rsidRPr="00E64F56" w:rsidRDefault="004D1EC3" w:rsidP="004D1EC3">
      <w:pPr>
        <w:pStyle w:val="Caption"/>
        <w:rPr>
          <w:rFonts w:ascii="Times New Roman" w:hAnsi="Times New Roman" w:cs="Times New Roman"/>
        </w:rPr>
      </w:pPr>
    </w:p>
    <w:p w14:paraId="5168B356" w14:textId="15B21329" w:rsidR="00037D8C" w:rsidRDefault="000E1924" w:rsidP="00037D8C">
      <w:pPr>
        <w:keepNext/>
        <w:jc w:val="center"/>
      </w:pPr>
      <w:r w:rsidRPr="0040472B">
        <w:rPr>
          <w:noProof/>
        </w:rPr>
        <w:drawing>
          <wp:inline distT="0" distB="0" distL="0" distR="0" wp14:anchorId="6B95C058" wp14:editId="6B00CF80">
            <wp:extent cx="4818349" cy="13372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35071" cy="1341885"/>
                    </a:xfrm>
                    <a:prstGeom prst="rect">
                      <a:avLst/>
                    </a:prstGeom>
                  </pic:spPr>
                </pic:pic>
              </a:graphicData>
            </a:graphic>
          </wp:inline>
        </w:drawing>
      </w:r>
    </w:p>
    <w:p w14:paraId="574EA9DD" w14:textId="3A748544" w:rsidR="00105251" w:rsidRDefault="00037D8C" w:rsidP="00037D8C">
      <w:pPr>
        <w:jc w:val="center"/>
        <w:rPr>
          <w:rFonts w:ascii="Times New Roman" w:hAnsi="Times New Roman" w:cs="Times New Roman"/>
          <w:b/>
        </w:rPr>
      </w:pPr>
      <w:r w:rsidRPr="00037D8C">
        <w:rPr>
          <w:rFonts w:ascii="Times New Roman" w:hAnsi="Times New Roman" w:cs="Times New Roman"/>
          <w:b/>
        </w:rPr>
        <w:t xml:space="preserve">Figure </w:t>
      </w:r>
      <w:r>
        <w:rPr>
          <w:rFonts w:ascii="Times New Roman" w:hAnsi="Times New Roman" w:cs="Times New Roman"/>
          <w:b/>
        </w:rPr>
        <w:t>S</w:t>
      </w:r>
      <w:r w:rsidRPr="00037D8C">
        <w:rPr>
          <w:rFonts w:ascii="Times New Roman" w:hAnsi="Times New Roman" w:cs="Times New Roman"/>
          <w:b/>
        </w:rPr>
        <w:fldChar w:fldCharType="begin"/>
      </w:r>
      <w:r w:rsidRPr="00037D8C">
        <w:rPr>
          <w:rFonts w:ascii="Times New Roman" w:hAnsi="Times New Roman" w:cs="Times New Roman"/>
          <w:b/>
        </w:rPr>
        <w:instrText xml:space="preserve"> SEQ Figure \* ARABIC </w:instrText>
      </w:r>
      <w:r w:rsidRPr="00037D8C">
        <w:rPr>
          <w:rFonts w:ascii="Times New Roman" w:hAnsi="Times New Roman" w:cs="Times New Roman"/>
          <w:b/>
        </w:rPr>
        <w:fldChar w:fldCharType="separate"/>
      </w:r>
      <w:r w:rsidR="00DF4DC2">
        <w:rPr>
          <w:rFonts w:ascii="Times New Roman" w:hAnsi="Times New Roman" w:cs="Times New Roman"/>
          <w:b/>
          <w:noProof/>
        </w:rPr>
        <w:t>3</w:t>
      </w:r>
      <w:r w:rsidRPr="00037D8C">
        <w:rPr>
          <w:rFonts w:ascii="Times New Roman" w:hAnsi="Times New Roman" w:cs="Times New Roman"/>
          <w:b/>
        </w:rPr>
        <w:fldChar w:fldCharType="end"/>
      </w:r>
      <w:r>
        <w:rPr>
          <w:rFonts w:ascii="Times New Roman" w:hAnsi="Times New Roman" w:cs="Times New Roman"/>
          <w:b/>
        </w:rPr>
        <w:t xml:space="preserve"> – </w:t>
      </w:r>
      <w:r w:rsidRPr="00037D8C">
        <w:rPr>
          <w:rFonts w:ascii="Times New Roman" w:hAnsi="Times New Roman" w:cs="Times New Roman"/>
        </w:rPr>
        <w:t>CAD model of</w:t>
      </w:r>
      <w:r>
        <w:rPr>
          <w:rFonts w:ascii="Times New Roman" w:hAnsi="Times New Roman" w:cs="Times New Roman"/>
        </w:rPr>
        <w:t xml:space="preserve"> ETA crawling soft robot</w:t>
      </w:r>
      <w:r>
        <w:rPr>
          <w:rFonts w:ascii="Times New Roman" w:hAnsi="Times New Roman" w:cs="Times New Roman"/>
          <w:b/>
        </w:rPr>
        <w:t xml:space="preserve">  </w:t>
      </w:r>
    </w:p>
    <w:p w14:paraId="5129E87F" w14:textId="77777777" w:rsidR="00B43CB3" w:rsidRDefault="00B43CB3" w:rsidP="004A0FE7">
      <w:pPr>
        <w:rPr>
          <w:rFonts w:asciiTheme="majorBidi" w:hAnsiTheme="majorBidi" w:cstheme="majorBidi"/>
          <w:color w:val="000000" w:themeColor="text1"/>
          <w:szCs w:val="24"/>
        </w:rPr>
      </w:pPr>
      <w:bookmarkStart w:id="2" w:name="_Hlk2255058"/>
    </w:p>
    <w:p w14:paraId="7C6C2837" w14:textId="036C395C" w:rsidR="00B43CB3" w:rsidRPr="00B43CB3" w:rsidRDefault="00B43CB3" w:rsidP="00B43CB3">
      <w:pPr>
        <w:jc w:val="both"/>
        <w:rPr>
          <w:rFonts w:ascii="Times New Roman" w:hAnsi="Times New Roman" w:cs="Times New Roman"/>
          <w:b/>
          <w:color w:val="000000" w:themeColor="text1"/>
          <w:szCs w:val="24"/>
        </w:rPr>
      </w:pPr>
      <w:r w:rsidRPr="00B43CB3">
        <w:rPr>
          <w:rFonts w:ascii="Times New Roman" w:hAnsi="Times New Roman" w:cs="Times New Roman"/>
          <w:b/>
          <w:color w:val="000000" w:themeColor="text1"/>
          <w:szCs w:val="24"/>
        </w:rPr>
        <w:lastRenderedPageBreak/>
        <w:t xml:space="preserve">PDMS </w:t>
      </w:r>
      <w:r w:rsidR="004A0FE7">
        <w:rPr>
          <w:rFonts w:ascii="Times New Roman" w:hAnsi="Times New Roman" w:cs="Times New Roman"/>
          <w:b/>
          <w:color w:val="000000" w:themeColor="text1"/>
          <w:szCs w:val="24"/>
        </w:rPr>
        <w:t xml:space="preserve">NMR </w:t>
      </w:r>
      <w:r w:rsidRPr="00B43CB3">
        <w:rPr>
          <w:rFonts w:ascii="Times New Roman" w:hAnsi="Times New Roman" w:cs="Times New Roman"/>
          <w:b/>
          <w:color w:val="000000" w:themeColor="text1"/>
          <w:szCs w:val="24"/>
        </w:rPr>
        <w:t xml:space="preserve">characterization </w:t>
      </w:r>
    </w:p>
    <w:p w14:paraId="3A601F3E" w14:textId="0F3EA462" w:rsidR="00B43CB3" w:rsidRPr="00B43CB3" w:rsidRDefault="00B43CB3" w:rsidP="00B43CB3">
      <w:pPr>
        <w:jc w:val="both"/>
        <w:rPr>
          <w:rFonts w:ascii="Times New Roman" w:hAnsi="Times New Roman" w:cs="Times New Roman"/>
          <w:color w:val="000000" w:themeColor="text1"/>
          <w:szCs w:val="24"/>
        </w:rPr>
      </w:pPr>
      <w:r w:rsidRPr="00B43CB3">
        <w:rPr>
          <w:rFonts w:ascii="Times New Roman" w:hAnsi="Times New Roman" w:cs="Times New Roman"/>
          <w:color w:val="000000" w:themeColor="text1"/>
          <w:szCs w:val="24"/>
        </w:rPr>
        <w:t>To further investigate into whether the post crosslinking is contributed to shape programming effect, NMR experiment was conducted. PDMS was first cured in an 80</w:t>
      </w:r>
      <w:r w:rsidRPr="00B43CB3">
        <w:rPr>
          <w:rFonts w:ascii="Times New Roman" w:hAnsi="Times New Roman" w:cs="Times New Roman"/>
          <w:color w:val="000000" w:themeColor="text1"/>
          <w:szCs w:val="24"/>
          <w:vertAlign w:val="superscript"/>
        </w:rPr>
        <w:t>o</w:t>
      </w:r>
      <w:r w:rsidRPr="00B43CB3">
        <w:rPr>
          <w:rFonts w:ascii="Times New Roman" w:hAnsi="Times New Roman" w:cs="Times New Roman"/>
          <w:color w:val="000000" w:themeColor="text1"/>
          <w:szCs w:val="24"/>
        </w:rPr>
        <w:t xml:space="preserve">C oven for 2 hours, </w:t>
      </w:r>
      <w:proofErr w:type="gramStart"/>
      <w:r w:rsidRPr="00B43CB3">
        <w:rPr>
          <w:rFonts w:ascii="Times New Roman" w:hAnsi="Times New Roman" w:cs="Times New Roman"/>
          <w:color w:val="000000" w:themeColor="text1"/>
          <w:szCs w:val="24"/>
        </w:rPr>
        <w:t>similar to</w:t>
      </w:r>
      <w:proofErr w:type="gramEnd"/>
      <w:r w:rsidRPr="00B43CB3">
        <w:rPr>
          <w:rFonts w:ascii="Times New Roman" w:hAnsi="Times New Roman" w:cs="Times New Roman"/>
          <w:color w:val="000000" w:themeColor="text1"/>
          <w:szCs w:val="24"/>
        </w:rPr>
        <w:t xml:space="preserve"> the ETA fabrication methods. Once cured, the PDMS film was placed in a sealed acetone bath for over 48 hours to dissolve any possible uncured PDMS resin. To confirm the presence of PDMS, the solution was later transferred to a glass container where acetone was evaporated and replaced with CDCl</w:t>
      </w:r>
      <w:r w:rsidRPr="004A0FE7">
        <w:rPr>
          <w:rFonts w:ascii="Times New Roman" w:hAnsi="Times New Roman" w:cs="Times New Roman"/>
          <w:color w:val="000000" w:themeColor="text1"/>
          <w:szCs w:val="24"/>
          <w:vertAlign w:val="subscript"/>
        </w:rPr>
        <w:t>3</w:t>
      </w:r>
      <w:r w:rsidRPr="00B43CB3">
        <w:rPr>
          <w:rFonts w:ascii="Times New Roman" w:hAnsi="Times New Roman" w:cs="Times New Roman"/>
          <w:color w:val="000000" w:themeColor="text1"/>
          <w:szCs w:val="24"/>
        </w:rPr>
        <w:t xml:space="preserve"> for NMR. As shown in the figure below, the peak near 4 and 5 ppm can be characterized as the presence of PMDS residue within the acetone solution</w:t>
      </w:r>
      <w:r w:rsidR="00DF4DC2">
        <w:rPr>
          <w:rFonts w:ascii="Times New Roman" w:hAnsi="Times New Roman" w:cs="Times New Roman"/>
          <w:color w:val="000000" w:themeColor="text1"/>
          <w:szCs w:val="24"/>
        </w:rPr>
        <w:t xml:space="preserve"> [1]</w:t>
      </w:r>
      <w:r w:rsidRPr="00B43CB3">
        <w:rPr>
          <w:rFonts w:ascii="Times New Roman" w:hAnsi="Times New Roman" w:cs="Times New Roman"/>
          <w:color w:val="000000" w:themeColor="text1"/>
          <w:szCs w:val="24"/>
        </w:rPr>
        <w:t>. To determine any possible post curing, the same experiment was conducted. Two PDMS/acetone solutions were prepared: Sample A was cured in 80</w:t>
      </w:r>
      <w:r w:rsidRPr="00B43CB3">
        <w:rPr>
          <w:rFonts w:ascii="Times New Roman" w:hAnsi="Times New Roman" w:cs="Times New Roman"/>
          <w:color w:val="000000" w:themeColor="text1"/>
          <w:szCs w:val="24"/>
          <w:vertAlign w:val="superscript"/>
        </w:rPr>
        <w:t>o</w:t>
      </w:r>
      <w:r w:rsidRPr="00B43CB3">
        <w:rPr>
          <w:rFonts w:ascii="Times New Roman" w:hAnsi="Times New Roman" w:cs="Times New Roman"/>
          <w:color w:val="000000" w:themeColor="text1"/>
          <w:szCs w:val="24"/>
        </w:rPr>
        <w:t>C oven for 2 hours while Sample B was cured in 80</w:t>
      </w:r>
      <w:r w:rsidRPr="00B43CB3">
        <w:rPr>
          <w:rFonts w:ascii="Times New Roman" w:hAnsi="Times New Roman" w:cs="Times New Roman"/>
          <w:color w:val="000000" w:themeColor="text1"/>
          <w:szCs w:val="24"/>
          <w:vertAlign w:val="superscript"/>
        </w:rPr>
        <w:t>o</w:t>
      </w:r>
      <w:r w:rsidRPr="00B43CB3">
        <w:rPr>
          <w:rFonts w:ascii="Times New Roman" w:hAnsi="Times New Roman" w:cs="Times New Roman"/>
          <w:color w:val="000000" w:themeColor="text1"/>
          <w:szCs w:val="24"/>
        </w:rPr>
        <w:t xml:space="preserve">C for 4 hours. After soaking in equal amounts of acetone for over 24 hours. 1g of each solution was transferred to clean glass jars for weighing. The weight of the jars </w:t>
      </w:r>
      <w:r w:rsidR="004A0FE7">
        <w:rPr>
          <w:rFonts w:ascii="Times New Roman" w:hAnsi="Times New Roman" w:cs="Times New Roman"/>
          <w:color w:val="000000" w:themeColor="text1"/>
          <w:szCs w:val="24"/>
        </w:rPr>
        <w:t>was</w:t>
      </w:r>
      <w:r w:rsidRPr="00B43CB3">
        <w:rPr>
          <w:rFonts w:ascii="Times New Roman" w:hAnsi="Times New Roman" w:cs="Times New Roman"/>
          <w:color w:val="000000" w:themeColor="text1"/>
          <w:szCs w:val="24"/>
        </w:rPr>
        <w:t xml:space="preserve"> first recorded as reference. The final weight of the material can be characterized as the PDMS residue after the acetone fully evaporates, if the post curing assumption is correct. The final weight of Sample A and Sample B should be significantly different, as Sample B is expected to have less uncured residue. Test results shows that Sample A has 8.5 mg of PDMS while Sample B has around 7.8 mg of residue. It is possible that some post curing did occur over prolonged heating but did not contribute significantly to the shape programming ability.</w:t>
      </w:r>
      <w:bookmarkEnd w:id="2"/>
      <w:r w:rsidRPr="00B43CB3">
        <w:rPr>
          <w:rFonts w:ascii="Times New Roman" w:hAnsi="Times New Roman" w:cs="Times New Roman"/>
          <w:color w:val="000000" w:themeColor="text1"/>
          <w:szCs w:val="24"/>
        </w:rPr>
        <w:t xml:space="preserve"> </w:t>
      </w:r>
    </w:p>
    <w:p w14:paraId="4C740BF7" w14:textId="77777777" w:rsidR="00DF4DC2" w:rsidRDefault="00B43CB3" w:rsidP="00DF4DC2">
      <w:pPr>
        <w:keepNext/>
        <w:jc w:val="center"/>
      </w:pPr>
      <w:r w:rsidRPr="00B43CB3">
        <w:rPr>
          <w:rFonts w:ascii="Times New Roman" w:hAnsi="Times New Roman" w:cs="Times New Roman"/>
          <w:noProof/>
          <w:color w:val="000000" w:themeColor="text1"/>
          <w:szCs w:val="24"/>
        </w:rPr>
        <w:drawing>
          <wp:inline distT="0" distB="0" distL="0" distR="0" wp14:anchorId="4E8F0613" wp14:editId="5FE8F39F">
            <wp:extent cx="2997462" cy="2374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629" t="10817" r="12195" b="8277"/>
                    <a:stretch/>
                  </pic:blipFill>
                  <pic:spPr bwMode="auto">
                    <a:xfrm>
                      <a:off x="0" y="0"/>
                      <a:ext cx="3000181" cy="2377054"/>
                    </a:xfrm>
                    <a:prstGeom prst="rect">
                      <a:avLst/>
                    </a:prstGeom>
                    <a:noFill/>
                    <a:ln>
                      <a:noFill/>
                    </a:ln>
                    <a:extLst>
                      <a:ext uri="{53640926-AAD7-44D8-BBD7-CCE9431645EC}">
                        <a14:shadowObscured xmlns:a14="http://schemas.microsoft.com/office/drawing/2010/main"/>
                      </a:ext>
                    </a:extLst>
                  </pic:spPr>
                </pic:pic>
              </a:graphicData>
            </a:graphic>
          </wp:inline>
        </w:drawing>
      </w:r>
    </w:p>
    <w:p w14:paraId="19EEA69F" w14:textId="1B86841A" w:rsidR="00B43CB3" w:rsidRPr="00DF4DC2" w:rsidRDefault="00DF4DC2" w:rsidP="00DF4DC2">
      <w:pPr>
        <w:pStyle w:val="Caption"/>
        <w:jc w:val="center"/>
        <w:rPr>
          <w:rFonts w:ascii="Times New Roman" w:hAnsi="Times New Roman" w:cs="Times New Roman"/>
          <w:b/>
          <w:sz w:val="24"/>
          <w:szCs w:val="24"/>
        </w:rPr>
      </w:pPr>
      <w:r w:rsidRPr="00DF4DC2">
        <w:rPr>
          <w:rFonts w:ascii="Times New Roman" w:hAnsi="Times New Roman" w:cs="Times New Roman"/>
          <w:b/>
          <w:sz w:val="24"/>
          <w:szCs w:val="24"/>
        </w:rPr>
        <w:t>Figure S</w:t>
      </w:r>
      <w:r w:rsidRPr="00DF4DC2">
        <w:rPr>
          <w:rFonts w:ascii="Times New Roman" w:hAnsi="Times New Roman" w:cs="Times New Roman"/>
          <w:b/>
          <w:sz w:val="24"/>
          <w:szCs w:val="24"/>
        </w:rPr>
        <w:fldChar w:fldCharType="begin"/>
      </w:r>
      <w:r w:rsidRPr="00DF4DC2">
        <w:rPr>
          <w:rFonts w:ascii="Times New Roman" w:hAnsi="Times New Roman" w:cs="Times New Roman"/>
          <w:b/>
          <w:sz w:val="24"/>
          <w:szCs w:val="24"/>
        </w:rPr>
        <w:instrText xml:space="preserve"> SEQ Figure \* ARABIC </w:instrText>
      </w:r>
      <w:r w:rsidRPr="00DF4DC2">
        <w:rPr>
          <w:rFonts w:ascii="Times New Roman" w:hAnsi="Times New Roman" w:cs="Times New Roman"/>
          <w:b/>
          <w:sz w:val="24"/>
          <w:szCs w:val="24"/>
        </w:rPr>
        <w:fldChar w:fldCharType="separate"/>
      </w:r>
      <w:r w:rsidRPr="00DF4DC2">
        <w:rPr>
          <w:rFonts w:ascii="Times New Roman" w:hAnsi="Times New Roman" w:cs="Times New Roman"/>
          <w:b/>
          <w:noProof/>
          <w:sz w:val="24"/>
          <w:szCs w:val="24"/>
        </w:rPr>
        <w:t>4</w:t>
      </w:r>
      <w:r w:rsidRPr="00DF4DC2">
        <w:rPr>
          <w:rFonts w:ascii="Times New Roman" w:hAnsi="Times New Roman" w:cs="Times New Roman"/>
          <w:b/>
          <w:sz w:val="24"/>
          <w:szCs w:val="24"/>
        </w:rPr>
        <w:fldChar w:fldCharType="end"/>
      </w:r>
      <w:r w:rsidRPr="00DF4DC2">
        <w:rPr>
          <w:rFonts w:ascii="Times New Roman" w:hAnsi="Times New Roman" w:cs="Times New Roman"/>
          <w:sz w:val="24"/>
          <w:szCs w:val="24"/>
        </w:rPr>
        <w:t xml:space="preserve"> - NMR spectrum of PDMS</w:t>
      </w:r>
    </w:p>
    <w:p w14:paraId="1E36530A" w14:textId="40F97C36" w:rsidR="00B43CB3" w:rsidRDefault="00B43CB3" w:rsidP="00B43CB3">
      <w:pPr>
        <w:jc w:val="center"/>
        <w:rPr>
          <w:rFonts w:ascii="Times New Roman" w:hAnsi="Times New Roman" w:cs="Times New Roman"/>
          <w:b/>
        </w:rPr>
      </w:pPr>
    </w:p>
    <w:p w14:paraId="3E1F089F" w14:textId="3C95E30B" w:rsidR="00B43CB3" w:rsidRPr="00B43CB3" w:rsidRDefault="00DF4DC2" w:rsidP="00B43CB3">
      <w:pPr>
        <w:jc w:val="both"/>
        <w:rPr>
          <w:rFonts w:ascii="Times New Roman" w:hAnsi="Times New Roman" w:cs="Times New Roman"/>
        </w:rPr>
      </w:pPr>
      <w:r>
        <w:rPr>
          <w:rFonts w:ascii="Times New Roman" w:hAnsi="Times New Roman" w:cs="Times New Roman"/>
        </w:rPr>
        <w:t xml:space="preserve">[1] </w:t>
      </w:r>
      <w:r w:rsidR="00B43CB3" w:rsidRPr="00B43CB3">
        <w:rPr>
          <w:rFonts w:ascii="Times New Roman" w:hAnsi="Times New Roman" w:cs="Times New Roman"/>
        </w:rPr>
        <w:t xml:space="preserve">Ramli, M.R., Othman, M.B.H., Arifin, A. and Ahmad, Z., 2011. Cross-link network of polydimethylsiloxane via addition and condensation (RTV) mechanisms. Part I: Synthesis and thermal properties. </w:t>
      </w:r>
      <w:r w:rsidR="00B43CB3" w:rsidRPr="00DF4DC2">
        <w:rPr>
          <w:rFonts w:ascii="Times New Roman" w:hAnsi="Times New Roman" w:cs="Times New Roman"/>
          <w:i/>
        </w:rPr>
        <w:t>Polymer degradation and stability</w:t>
      </w:r>
      <w:r w:rsidR="00B43CB3" w:rsidRPr="00B43CB3">
        <w:rPr>
          <w:rFonts w:ascii="Times New Roman" w:hAnsi="Times New Roman" w:cs="Times New Roman"/>
        </w:rPr>
        <w:t xml:space="preserve"> </w:t>
      </w:r>
      <w:r w:rsidR="00B43CB3" w:rsidRPr="00DF4DC2">
        <w:rPr>
          <w:rFonts w:ascii="Times New Roman" w:hAnsi="Times New Roman" w:cs="Times New Roman"/>
          <w:b/>
        </w:rPr>
        <w:t>96</w:t>
      </w:r>
      <w:r w:rsidR="00B43CB3" w:rsidRPr="00B43CB3">
        <w:rPr>
          <w:rFonts w:ascii="Times New Roman" w:hAnsi="Times New Roman" w:cs="Times New Roman"/>
        </w:rPr>
        <w:t>, 2064-2070</w:t>
      </w:r>
      <w:r>
        <w:rPr>
          <w:rFonts w:ascii="Times New Roman" w:hAnsi="Times New Roman" w:cs="Times New Roman"/>
        </w:rPr>
        <w:t xml:space="preserve"> (2011)</w:t>
      </w:r>
    </w:p>
    <w:sectPr w:rsidR="00B43CB3" w:rsidRPr="00B43CB3" w:rsidSect="00E64F56">
      <w:pgSz w:w="12240" w:h="15840" w:code="1"/>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1426B1"/>
    <w:multiLevelType w:val="hybridMultilevel"/>
    <w:tmpl w:val="309C1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5b7c58e-0e09-49fe-b14a-b6ac8bd721ea"/>
  </w:docVars>
  <w:rsids>
    <w:rsidRoot w:val="000E4FF2"/>
    <w:rsid w:val="00037D8C"/>
    <w:rsid w:val="000661BB"/>
    <w:rsid w:val="000E1924"/>
    <w:rsid w:val="000E4FF2"/>
    <w:rsid w:val="00105251"/>
    <w:rsid w:val="003B40F0"/>
    <w:rsid w:val="0047558C"/>
    <w:rsid w:val="004A0FE7"/>
    <w:rsid w:val="004D1EC3"/>
    <w:rsid w:val="005F154D"/>
    <w:rsid w:val="00644D00"/>
    <w:rsid w:val="00790B48"/>
    <w:rsid w:val="007D7457"/>
    <w:rsid w:val="00855199"/>
    <w:rsid w:val="008C4EE0"/>
    <w:rsid w:val="00B43CB3"/>
    <w:rsid w:val="00BE6BEA"/>
    <w:rsid w:val="00DF4DC2"/>
    <w:rsid w:val="00E64F56"/>
    <w:rsid w:val="00F376CF"/>
    <w:rsid w:val="00FA2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B0AD8"/>
  <w15:chartTrackingRefBased/>
  <w15:docId w15:val="{CAE0ACD6-26BE-4F92-9ED1-D5620EBE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D1EC3"/>
    <w:rPr>
      <w:sz w:val="20"/>
      <w:szCs w:val="20"/>
    </w:rPr>
  </w:style>
  <w:style w:type="table" w:styleId="TableGrid">
    <w:name w:val="Table Grid"/>
    <w:basedOn w:val="TableNormal"/>
    <w:uiPriority w:val="39"/>
    <w:rsid w:val="00E64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4F56"/>
    <w:pPr>
      <w:ind w:leftChars="200" w:left="480"/>
    </w:pPr>
  </w:style>
  <w:style w:type="character" w:styleId="Hyperlink">
    <w:name w:val="Hyperlink"/>
    <w:basedOn w:val="DefaultParagraphFont"/>
    <w:uiPriority w:val="99"/>
    <w:unhideWhenUsed/>
    <w:rsid w:val="00E64F56"/>
    <w:rPr>
      <w:color w:val="0563C1" w:themeColor="hyperlink"/>
      <w:u w:val="single"/>
    </w:rPr>
  </w:style>
  <w:style w:type="character" w:styleId="UnresolvedMention">
    <w:name w:val="Unresolved Mention"/>
    <w:basedOn w:val="DefaultParagraphFont"/>
    <w:uiPriority w:val="99"/>
    <w:semiHidden/>
    <w:unhideWhenUsed/>
    <w:rsid w:val="00E64F5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42469">
      <w:bodyDiv w:val="1"/>
      <w:marLeft w:val="0"/>
      <w:marRight w:val="0"/>
      <w:marTop w:val="0"/>
      <w:marBottom w:val="0"/>
      <w:divBdr>
        <w:top w:val="none" w:sz="0" w:space="0" w:color="auto"/>
        <w:left w:val="none" w:sz="0" w:space="0" w:color="auto"/>
        <w:bottom w:val="none" w:sz="0" w:space="0" w:color="auto"/>
        <w:right w:val="none" w:sz="0" w:space="0" w:color="auto"/>
      </w:divBdr>
      <w:divsChild>
        <w:div w:id="2960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guib@mie.utoronto.c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456FD-A9D9-44B0-82D7-2D88E1878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dc:creator>
  <cp:keywords/>
  <dc:description/>
  <cp:lastModifiedBy>Gary</cp:lastModifiedBy>
  <cp:revision>14</cp:revision>
  <dcterms:created xsi:type="dcterms:W3CDTF">2017-08-06T18:29:00Z</dcterms:created>
  <dcterms:modified xsi:type="dcterms:W3CDTF">2019-07-11T17:23:00Z</dcterms:modified>
</cp:coreProperties>
</file>