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B478B" w14:textId="74F531D3" w:rsidR="00E25167" w:rsidRPr="00C77BA6" w:rsidRDefault="00E25167" w:rsidP="00E25167">
      <w:pPr>
        <w:spacing w:line="276" w:lineRule="auto"/>
        <w:jc w:val="both"/>
        <w:rPr>
          <w:lang w:val="en-GB"/>
        </w:rPr>
      </w:pPr>
      <w:r w:rsidRPr="00C77BA6">
        <w:rPr>
          <w:b/>
          <w:sz w:val="28"/>
          <w:szCs w:val="28"/>
          <w:lang w:val="en-GB"/>
        </w:rPr>
        <w:t xml:space="preserve">Simultaneous Proton Transfer Reaction-mass </w:t>
      </w:r>
      <w:r w:rsidR="003668D8">
        <w:rPr>
          <w:b/>
          <w:sz w:val="28"/>
          <w:szCs w:val="28"/>
          <w:lang w:val="en-GB"/>
        </w:rPr>
        <w:t>spectrometry</w:t>
      </w:r>
      <w:r w:rsidRPr="00C77BA6">
        <w:rPr>
          <w:b/>
          <w:sz w:val="28"/>
          <w:szCs w:val="28"/>
          <w:lang w:val="en-GB"/>
        </w:rPr>
        <w:t xml:space="preserve"> and electronic nose study of the volatile compounds released by </w:t>
      </w:r>
      <w:r w:rsidRPr="00622F88">
        <w:rPr>
          <w:b/>
          <w:i/>
          <w:sz w:val="28"/>
          <w:szCs w:val="28"/>
          <w:lang w:val="en-GB"/>
        </w:rPr>
        <w:t>Plasmodium falciparum</w:t>
      </w:r>
      <w:r w:rsidRPr="00C77BA6">
        <w:rPr>
          <w:b/>
          <w:sz w:val="28"/>
          <w:szCs w:val="28"/>
          <w:lang w:val="en-GB"/>
        </w:rPr>
        <w:t xml:space="preserve"> infected red blood cells </w:t>
      </w:r>
      <w:r w:rsidRPr="000925B3">
        <w:rPr>
          <w:b/>
          <w:i/>
          <w:sz w:val="28"/>
          <w:szCs w:val="28"/>
          <w:lang w:val="en-GB"/>
        </w:rPr>
        <w:t>in vitro</w:t>
      </w:r>
      <w:r w:rsidRPr="00C77BA6">
        <w:rPr>
          <w:b/>
          <w:sz w:val="28"/>
          <w:szCs w:val="28"/>
          <w:lang w:val="en-GB"/>
        </w:rPr>
        <w:t>.</w:t>
      </w:r>
    </w:p>
    <w:p w14:paraId="00847B5D" w14:textId="77777777" w:rsidR="00E25167" w:rsidRPr="00C77BA6" w:rsidRDefault="00E25167" w:rsidP="00E25167">
      <w:pPr>
        <w:spacing w:line="276" w:lineRule="auto"/>
        <w:jc w:val="both"/>
        <w:rPr>
          <w:lang w:val="en-GB"/>
        </w:rPr>
      </w:pPr>
    </w:p>
    <w:p w14:paraId="44CC4FCC" w14:textId="00C682D0" w:rsidR="003668D8" w:rsidRPr="003668D8" w:rsidRDefault="003668D8" w:rsidP="003668D8">
      <w:pPr>
        <w:rPr>
          <w:i/>
          <w:vertAlign w:val="superscript"/>
        </w:rPr>
      </w:pPr>
      <w:r w:rsidRPr="003668D8">
        <w:rPr>
          <w:i/>
        </w:rPr>
        <w:t>Rosamaria Capuano</w:t>
      </w:r>
      <w:r w:rsidRPr="003668D8">
        <w:rPr>
          <w:i/>
          <w:vertAlign w:val="superscript"/>
        </w:rPr>
        <w:t>1</w:t>
      </w:r>
      <w:r w:rsidRPr="003668D8">
        <w:rPr>
          <w:i/>
        </w:rPr>
        <w:t>, Iuliia Khomenko</w:t>
      </w:r>
      <w:r w:rsidRPr="003668D8">
        <w:rPr>
          <w:i/>
          <w:vertAlign w:val="superscript"/>
        </w:rPr>
        <w:t>2</w:t>
      </w:r>
      <w:r w:rsidRPr="003668D8">
        <w:rPr>
          <w:i/>
        </w:rPr>
        <w:t>, Felicia Grasso</w:t>
      </w:r>
      <w:r w:rsidRPr="003668D8">
        <w:rPr>
          <w:i/>
          <w:vertAlign w:val="superscript"/>
        </w:rPr>
        <w:t>3</w:t>
      </w:r>
      <w:r w:rsidRPr="003668D8">
        <w:rPr>
          <w:i/>
        </w:rPr>
        <w:t>, Valeria Messina</w:t>
      </w:r>
      <w:r w:rsidRPr="003668D8">
        <w:rPr>
          <w:i/>
          <w:vertAlign w:val="superscript"/>
        </w:rPr>
        <w:t>3</w:t>
      </w:r>
      <w:r w:rsidRPr="003668D8">
        <w:rPr>
          <w:i/>
        </w:rPr>
        <w:t>, Anna Olivieri</w:t>
      </w:r>
      <w:r w:rsidRPr="003668D8">
        <w:rPr>
          <w:i/>
          <w:vertAlign w:val="superscript"/>
        </w:rPr>
        <w:t>3</w:t>
      </w:r>
      <w:r w:rsidRPr="003668D8">
        <w:rPr>
          <w:i/>
        </w:rPr>
        <w:t>, Luca Cappellin</w:t>
      </w:r>
      <w:r w:rsidRPr="003668D8">
        <w:rPr>
          <w:i/>
          <w:vertAlign w:val="superscript"/>
        </w:rPr>
        <w:t>4</w:t>
      </w:r>
      <w:r w:rsidRPr="003668D8">
        <w:rPr>
          <w:i/>
        </w:rPr>
        <w:t>, Roberto Paolesse</w:t>
      </w:r>
      <w:r w:rsidRPr="003668D8">
        <w:rPr>
          <w:i/>
          <w:vertAlign w:val="superscript"/>
        </w:rPr>
        <w:t>5</w:t>
      </w:r>
      <w:r w:rsidRPr="003668D8">
        <w:rPr>
          <w:i/>
        </w:rPr>
        <w:t>,</w:t>
      </w:r>
      <w:r>
        <w:rPr>
          <w:i/>
        </w:rPr>
        <w:t xml:space="preserve"> </w:t>
      </w:r>
      <w:r w:rsidRPr="003668D8">
        <w:rPr>
          <w:i/>
        </w:rPr>
        <w:t>Alexandro Catini</w:t>
      </w:r>
      <w:r w:rsidRPr="003668D8">
        <w:rPr>
          <w:i/>
          <w:vertAlign w:val="superscript"/>
        </w:rPr>
        <w:t>1</w:t>
      </w:r>
      <w:r w:rsidRPr="003668D8">
        <w:rPr>
          <w:i/>
        </w:rPr>
        <w:t>, Marta Ponzi</w:t>
      </w:r>
      <w:r w:rsidRPr="003668D8">
        <w:rPr>
          <w:i/>
          <w:vertAlign w:val="superscript"/>
        </w:rPr>
        <w:t>3§</w:t>
      </w:r>
      <w:r w:rsidRPr="003668D8">
        <w:rPr>
          <w:i/>
        </w:rPr>
        <w:t>, Franco Biasioli</w:t>
      </w:r>
      <w:r w:rsidRPr="003668D8">
        <w:rPr>
          <w:i/>
          <w:vertAlign w:val="superscript"/>
        </w:rPr>
        <w:t>2§</w:t>
      </w:r>
      <w:r w:rsidRPr="003668D8">
        <w:rPr>
          <w:i/>
        </w:rPr>
        <w:t>, Corrado Di Natale</w:t>
      </w:r>
      <w:r w:rsidRPr="003668D8">
        <w:rPr>
          <w:i/>
          <w:vertAlign w:val="superscript"/>
        </w:rPr>
        <w:t>1§</w:t>
      </w:r>
    </w:p>
    <w:p w14:paraId="6D1E1043" w14:textId="77777777" w:rsidR="003668D8" w:rsidRPr="003668D8" w:rsidRDefault="003668D8" w:rsidP="003668D8"/>
    <w:p w14:paraId="3562BB4C" w14:textId="77777777" w:rsidR="003668D8" w:rsidRPr="003668D8" w:rsidRDefault="003668D8" w:rsidP="003668D8">
      <w:pPr>
        <w:rPr>
          <w:sz w:val="20"/>
          <w:szCs w:val="20"/>
          <w:lang w:val="en-GB"/>
        </w:rPr>
      </w:pPr>
      <w:r w:rsidRPr="003668D8">
        <w:rPr>
          <w:sz w:val="20"/>
          <w:szCs w:val="20"/>
          <w:lang w:val="en-GB"/>
        </w:rPr>
        <w:t>1 Department of Electronic Engineering, University of Rome Tor Vergata, Via del Politecnico 1, 00133 Roma, Italy</w:t>
      </w:r>
    </w:p>
    <w:p w14:paraId="27B82E40" w14:textId="77777777" w:rsidR="003668D8" w:rsidRPr="003668D8" w:rsidRDefault="003668D8" w:rsidP="003668D8">
      <w:pPr>
        <w:rPr>
          <w:sz w:val="20"/>
          <w:szCs w:val="20"/>
        </w:rPr>
      </w:pPr>
      <w:r w:rsidRPr="003668D8">
        <w:rPr>
          <w:sz w:val="20"/>
          <w:szCs w:val="20"/>
          <w:lang w:val="en-GB"/>
        </w:rPr>
        <w:t xml:space="preserve">2 Dept. Food Quality and Nutrition, Fondazione E. Mach. </w:t>
      </w:r>
      <w:r w:rsidRPr="003668D8">
        <w:rPr>
          <w:sz w:val="20"/>
          <w:szCs w:val="20"/>
        </w:rPr>
        <w:t>Via E. Mach 1, 38010 S. Michele all’Adige (TN), Italy</w:t>
      </w:r>
    </w:p>
    <w:p w14:paraId="5FD30658" w14:textId="77777777" w:rsidR="003668D8" w:rsidRPr="003668D8" w:rsidRDefault="003668D8" w:rsidP="003668D8">
      <w:pPr>
        <w:rPr>
          <w:sz w:val="20"/>
          <w:szCs w:val="20"/>
        </w:rPr>
      </w:pPr>
      <w:r w:rsidRPr="003668D8">
        <w:rPr>
          <w:sz w:val="20"/>
          <w:szCs w:val="20"/>
        </w:rPr>
        <w:t>3 Department of Infectious Diseases, Istituto Superiore di Sanità, Viale Regina Elena 299, 00161 Roma, Italy</w:t>
      </w:r>
    </w:p>
    <w:p w14:paraId="3DA7478B" w14:textId="77777777" w:rsidR="003668D8" w:rsidRPr="003668D8" w:rsidRDefault="003668D8" w:rsidP="003668D8">
      <w:pPr>
        <w:rPr>
          <w:sz w:val="20"/>
          <w:szCs w:val="20"/>
          <w:lang w:val="en-GB"/>
        </w:rPr>
      </w:pPr>
      <w:r w:rsidRPr="003668D8">
        <w:rPr>
          <w:sz w:val="20"/>
          <w:szCs w:val="20"/>
          <w:lang w:val="en-GB"/>
        </w:rPr>
        <w:t>4 Department of Chemical Sciences, University of Padua, Via F. Marzolo 1, 35131 Padova, Italy</w:t>
      </w:r>
    </w:p>
    <w:p w14:paraId="557076B6" w14:textId="77777777" w:rsidR="003668D8" w:rsidRDefault="003668D8" w:rsidP="003668D8">
      <w:pPr>
        <w:rPr>
          <w:sz w:val="20"/>
          <w:szCs w:val="20"/>
          <w:lang w:val="en-US"/>
        </w:rPr>
      </w:pPr>
      <w:r w:rsidRPr="003668D8">
        <w:rPr>
          <w:sz w:val="20"/>
          <w:szCs w:val="20"/>
          <w:lang w:val="en-GB"/>
        </w:rPr>
        <w:t xml:space="preserve">5 </w:t>
      </w:r>
      <w:r w:rsidRPr="003668D8">
        <w:rPr>
          <w:sz w:val="20"/>
          <w:szCs w:val="20"/>
          <w:lang w:val="en-US"/>
        </w:rPr>
        <w:t>Department of Chemical Science and Technology, University of Rome Tor Vergata, Via della Ricerca Scientifica, 00133 Rome, Italy</w:t>
      </w:r>
    </w:p>
    <w:p w14:paraId="2786D9D7" w14:textId="77777777" w:rsidR="003668D8" w:rsidRPr="003668D8" w:rsidRDefault="003668D8" w:rsidP="003668D8">
      <w:pPr>
        <w:rPr>
          <w:sz w:val="20"/>
          <w:szCs w:val="20"/>
          <w:lang w:val="en-US"/>
        </w:rPr>
      </w:pPr>
    </w:p>
    <w:p w14:paraId="26EB2F6B" w14:textId="77777777" w:rsidR="003668D8" w:rsidRPr="003668D8" w:rsidRDefault="003668D8" w:rsidP="003668D8">
      <w:pPr>
        <w:spacing w:after="160" w:line="276" w:lineRule="auto"/>
        <w:contextualSpacing/>
        <w:jc w:val="both"/>
        <w:rPr>
          <w:sz w:val="20"/>
          <w:szCs w:val="20"/>
          <w:lang w:val="en-US"/>
        </w:rPr>
      </w:pPr>
      <w:r w:rsidRPr="003668D8">
        <w:rPr>
          <w:sz w:val="20"/>
          <w:szCs w:val="20"/>
          <w:lang w:val="en-US"/>
        </w:rPr>
        <w:t>§ correspondence to: dinatale@uniroma2.it, marta.ponzi@iss.it, franco.biasioli@fmach.it</w:t>
      </w:r>
    </w:p>
    <w:p w14:paraId="1CE10326" w14:textId="7F429A66" w:rsidR="00B37CF9" w:rsidRPr="000A54C2" w:rsidRDefault="00B37CF9">
      <w:pPr>
        <w:rPr>
          <w:sz w:val="20"/>
          <w:szCs w:val="20"/>
          <w:lang w:val="en-US"/>
        </w:rPr>
      </w:pPr>
    </w:p>
    <w:p w14:paraId="0F57FA67" w14:textId="77777777" w:rsidR="002F6B1F" w:rsidRPr="000A54C2" w:rsidRDefault="002F6B1F">
      <w:pPr>
        <w:rPr>
          <w:lang w:val="en-US"/>
        </w:rPr>
      </w:pPr>
    </w:p>
    <w:p w14:paraId="3D2E0228" w14:textId="3B411C53" w:rsidR="002F6B1F" w:rsidRPr="002F6B1F" w:rsidRDefault="002F6B1F" w:rsidP="002F6B1F">
      <w:pPr>
        <w:jc w:val="center"/>
        <w:rPr>
          <w:b/>
          <w:sz w:val="28"/>
          <w:szCs w:val="28"/>
        </w:rPr>
      </w:pPr>
      <w:r w:rsidRPr="002F6B1F">
        <w:rPr>
          <w:b/>
          <w:sz w:val="28"/>
          <w:szCs w:val="28"/>
        </w:rPr>
        <w:t>SUPPLEMENTARY INFORMATION</w:t>
      </w:r>
    </w:p>
    <w:p w14:paraId="29158FF9" w14:textId="77777777" w:rsidR="002F6B1F" w:rsidRDefault="002F6B1F"/>
    <w:p w14:paraId="4BE85FF6" w14:textId="091689EB" w:rsidR="002F6B1F" w:rsidRDefault="007F671E">
      <w:r>
        <w:rPr>
          <w:noProof/>
          <w:lang w:val="en-US"/>
        </w:rPr>
        <w:drawing>
          <wp:inline distT="0" distB="0" distL="0" distR="0" wp14:anchorId="40B5A475" wp14:editId="5E894DC5">
            <wp:extent cx="6116320" cy="3458210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 S1new.eps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45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F7AEB" w14:textId="40F16A01" w:rsidR="007F671E" w:rsidRPr="000A54C2" w:rsidRDefault="007F671E">
      <w:pPr>
        <w:rPr>
          <w:lang w:val="en-US"/>
        </w:rPr>
      </w:pPr>
      <w:r w:rsidRPr="000A54C2">
        <w:rPr>
          <w:lang w:val="en-US"/>
        </w:rPr>
        <w:t xml:space="preserve">Figure S1: </w:t>
      </w:r>
      <w:r w:rsidRPr="000A54C2">
        <w:rPr>
          <w:i/>
          <w:lang w:val="en-US"/>
        </w:rPr>
        <w:t>concentration of m=84.0889 in all samples. This mass corresponds to the isotopologue of mass m=83.0856</w:t>
      </w:r>
      <w:r w:rsidR="00E712BF">
        <w:rPr>
          <w:i/>
          <w:lang w:val="en-US"/>
        </w:rPr>
        <w:t xml:space="preserve">. </w:t>
      </w:r>
      <w:r w:rsidRPr="000A54C2">
        <w:rPr>
          <w:i/>
          <w:lang w:val="en-US"/>
        </w:rPr>
        <w:t xml:space="preserve">identified as Hexanal. </w:t>
      </w:r>
      <w:bookmarkStart w:id="0" w:name="_GoBack"/>
      <w:bookmarkEnd w:id="0"/>
    </w:p>
    <w:p w14:paraId="392A33D7" w14:textId="5A61BB53" w:rsidR="00B37CF9" w:rsidRDefault="0065359D">
      <w:r w:rsidRPr="0065359D">
        <w:rPr>
          <w:noProof/>
          <w:lang w:val="en-US"/>
        </w:rPr>
        <w:lastRenderedPageBreak/>
        <w:drawing>
          <wp:inline distT="0" distB="0" distL="0" distR="0" wp14:anchorId="7BA95BB2" wp14:editId="67AC5C67">
            <wp:extent cx="6116320" cy="35293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52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C4C2C" w14:textId="59E318D6" w:rsidR="0065359D" w:rsidRDefault="0065359D"/>
    <w:p w14:paraId="783CB676" w14:textId="654D77A8" w:rsidR="0065359D" w:rsidRDefault="007F671E">
      <w:pPr>
        <w:rPr>
          <w:lang w:val="en-US"/>
        </w:rPr>
      </w:pPr>
      <w:r>
        <w:rPr>
          <w:lang w:val="en-US"/>
        </w:rPr>
        <w:t>Figure S2</w:t>
      </w:r>
      <w:r w:rsidR="0065359D" w:rsidRPr="0065359D">
        <w:rPr>
          <w:lang w:val="en-US"/>
        </w:rPr>
        <w:t xml:space="preserve">: </w:t>
      </w:r>
      <w:r w:rsidR="0065359D">
        <w:rPr>
          <w:lang w:val="en-US"/>
        </w:rPr>
        <w:t>S</w:t>
      </w:r>
      <w:r w:rsidR="0065359D" w:rsidRPr="0065359D">
        <w:rPr>
          <w:lang w:val="en-US"/>
        </w:rPr>
        <w:t>tatistical distribution of eac</w:t>
      </w:r>
      <w:r w:rsidR="0065359D">
        <w:rPr>
          <w:lang w:val="en-US"/>
        </w:rPr>
        <w:t xml:space="preserve">h mass detected by PTR-MS in the </w:t>
      </w:r>
      <w:r w:rsidR="00FF6736">
        <w:rPr>
          <w:lang w:val="en-US"/>
        </w:rPr>
        <w:t xml:space="preserve">first (A) and second (B) </w:t>
      </w:r>
      <w:r w:rsidR="0065359D" w:rsidRPr="00FF6736">
        <w:rPr>
          <w:lang w:val="en-US"/>
        </w:rPr>
        <w:t>parts of the experiment</w:t>
      </w:r>
      <w:r w:rsidR="0065359D">
        <w:rPr>
          <w:lang w:val="en-US"/>
        </w:rPr>
        <w:t>. The discriminant p&lt;0.01 is indicated in each plot.</w:t>
      </w:r>
    </w:p>
    <w:p w14:paraId="426DB4E1" w14:textId="77777777" w:rsidR="002F6B1F" w:rsidRDefault="002F6B1F">
      <w:pPr>
        <w:rPr>
          <w:lang w:val="en-US"/>
        </w:rPr>
      </w:pPr>
    </w:p>
    <w:p w14:paraId="120BC28B" w14:textId="77777777" w:rsidR="002F6B1F" w:rsidRDefault="002F6B1F" w:rsidP="002F6B1F">
      <w:pPr>
        <w:jc w:val="center"/>
        <w:rPr>
          <w:lang w:val="en-US"/>
        </w:rPr>
      </w:pPr>
      <w:r w:rsidRPr="0065359D">
        <w:rPr>
          <w:noProof/>
          <w:lang w:val="en-US"/>
        </w:rPr>
        <w:drawing>
          <wp:inline distT="0" distB="0" distL="0" distR="0" wp14:anchorId="19E669A1" wp14:editId="376F12AA">
            <wp:extent cx="3717420" cy="278960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29810" cy="2798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312E8" w14:textId="47843F13" w:rsidR="002F6B1F" w:rsidRDefault="007F671E" w:rsidP="002F6B1F">
      <w:pPr>
        <w:rPr>
          <w:lang w:val="en-US"/>
        </w:rPr>
      </w:pPr>
      <w:r>
        <w:rPr>
          <w:lang w:val="en-US"/>
        </w:rPr>
        <w:t>Figure S3</w:t>
      </w:r>
      <w:r w:rsidR="002F6B1F">
        <w:rPr>
          <w:lang w:val="en-US"/>
        </w:rPr>
        <w:t xml:space="preserve">: explained variance of the principal components of PTR-MS data related to intact red blood cells and asexuated </w:t>
      </w:r>
      <w:r w:rsidR="002F6B1F">
        <w:rPr>
          <w:i/>
          <w:lang w:val="en-US"/>
        </w:rPr>
        <w:t>Plasmodium</w:t>
      </w:r>
      <w:r w:rsidR="002F6B1F">
        <w:rPr>
          <w:lang w:val="en-US"/>
        </w:rPr>
        <w:t>.</w:t>
      </w:r>
    </w:p>
    <w:p w14:paraId="0A6938E8" w14:textId="77777777" w:rsidR="002F6B1F" w:rsidRDefault="002F6B1F" w:rsidP="002F6B1F">
      <w:pPr>
        <w:rPr>
          <w:lang w:val="en-US"/>
        </w:rPr>
      </w:pPr>
    </w:p>
    <w:p w14:paraId="01B8E1F8" w14:textId="77777777" w:rsidR="002F6B1F" w:rsidRDefault="002F6B1F" w:rsidP="002F6B1F">
      <w:pPr>
        <w:rPr>
          <w:lang w:val="en-US"/>
        </w:rPr>
      </w:pPr>
      <w:r w:rsidRPr="008A4A92">
        <w:rPr>
          <w:noProof/>
          <w:lang w:val="en-US"/>
        </w:rPr>
        <w:lastRenderedPageBreak/>
        <w:drawing>
          <wp:inline distT="0" distB="0" distL="0" distR="0" wp14:anchorId="3B2BE10B" wp14:editId="1D65424F">
            <wp:extent cx="6116320" cy="387223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87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28518" w14:textId="5294BB57" w:rsidR="002F6B1F" w:rsidRDefault="002F6B1F">
      <w:pPr>
        <w:rPr>
          <w:lang w:val="en-US"/>
        </w:rPr>
      </w:pPr>
      <w:r>
        <w:rPr>
          <w:lang w:val="en-US"/>
        </w:rPr>
        <w:t>Figure S</w:t>
      </w:r>
      <w:r w:rsidR="007F671E">
        <w:rPr>
          <w:lang w:val="en-US"/>
        </w:rPr>
        <w:t>4</w:t>
      </w:r>
      <w:r>
        <w:rPr>
          <w:lang w:val="en-US"/>
        </w:rPr>
        <w:t xml:space="preserve">: statistical distribution of the first six principal components of the PTR-MS spectra of intact red blood cells and asexuated </w:t>
      </w:r>
      <w:r>
        <w:rPr>
          <w:i/>
          <w:lang w:val="en-US"/>
        </w:rPr>
        <w:t>Plasmodium</w:t>
      </w:r>
      <w:r>
        <w:rPr>
          <w:lang w:val="en-US"/>
        </w:rPr>
        <w:t>. The header of each plot shows the correspondent p-value related to at least the separation of two groups.</w:t>
      </w:r>
    </w:p>
    <w:p w14:paraId="6B28BE03" w14:textId="77777777" w:rsidR="002F6B1F" w:rsidRDefault="002F6B1F">
      <w:pPr>
        <w:rPr>
          <w:lang w:val="en-US"/>
        </w:rPr>
      </w:pPr>
    </w:p>
    <w:p w14:paraId="392E1AF9" w14:textId="38CDA4EA" w:rsidR="0065359D" w:rsidRDefault="0065359D">
      <w:pPr>
        <w:rPr>
          <w:lang w:val="en-US"/>
        </w:rPr>
      </w:pPr>
    </w:p>
    <w:p w14:paraId="443C7269" w14:textId="3DF30659" w:rsidR="0065359D" w:rsidRDefault="00AA39BA" w:rsidP="002F6B1F">
      <w:pPr>
        <w:jc w:val="center"/>
        <w:rPr>
          <w:lang w:val="en-US"/>
        </w:rPr>
      </w:pPr>
      <w:r w:rsidRPr="00AA39BA">
        <w:rPr>
          <w:noProof/>
          <w:lang w:val="en-US"/>
        </w:rPr>
        <w:drawing>
          <wp:inline distT="0" distB="0" distL="0" distR="0" wp14:anchorId="2F474B84" wp14:editId="77AD1DAA">
            <wp:extent cx="3302000" cy="262699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23427" cy="2644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047A8" w14:textId="7BC99367" w:rsidR="0065359D" w:rsidRDefault="0065359D">
      <w:pPr>
        <w:rPr>
          <w:lang w:val="en-US"/>
        </w:rPr>
      </w:pPr>
      <w:r>
        <w:rPr>
          <w:lang w:val="en-US"/>
        </w:rPr>
        <w:t>Figure S</w:t>
      </w:r>
      <w:r w:rsidR="007F671E">
        <w:rPr>
          <w:lang w:val="en-US"/>
        </w:rPr>
        <w:t>5</w:t>
      </w:r>
      <w:r>
        <w:rPr>
          <w:lang w:val="en-US"/>
        </w:rPr>
        <w:t xml:space="preserve">: explained variance of the principal components of PTR-MS data related to intact red blood cells and </w:t>
      </w:r>
      <w:r>
        <w:rPr>
          <w:i/>
          <w:lang w:val="en-US"/>
        </w:rPr>
        <w:t>Plasmodium</w:t>
      </w:r>
      <w:r>
        <w:rPr>
          <w:lang w:val="en-US"/>
        </w:rPr>
        <w:t xml:space="preserve"> gametocytes.</w:t>
      </w:r>
    </w:p>
    <w:p w14:paraId="3A794C22" w14:textId="4BE86569" w:rsidR="0065359D" w:rsidRDefault="00E44ED2">
      <w:pPr>
        <w:rPr>
          <w:lang w:val="en-US"/>
        </w:rPr>
      </w:pPr>
      <w:r w:rsidRPr="00E44ED2">
        <w:rPr>
          <w:noProof/>
          <w:lang w:val="en-US"/>
        </w:rPr>
        <w:lastRenderedPageBreak/>
        <w:drawing>
          <wp:inline distT="0" distB="0" distL="0" distR="0" wp14:anchorId="2D873C1F" wp14:editId="4AC4A14B">
            <wp:extent cx="5842635" cy="508108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8463" r="7128"/>
                    <a:stretch/>
                  </pic:blipFill>
                  <pic:spPr bwMode="auto">
                    <a:xfrm>
                      <a:off x="0" y="0"/>
                      <a:ext cx="5859770" cy="5095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ECE36F" w14:textId="5EB84CBF" w:rsidR="002739C1" w:rsidRDefault="007F671E">
      <w:pPr>
        <w:rPr>
          <w:lang w:val="en-US"/>
        </w:rPr>
      </w:pPr>
      <w:r>
        <w:rPr>
          <w:lang w:val="en-US"/>
        </w:rPr>
        <w:t>Figure S6</w:t>
      </w:r>
      <w:r w:rsidR="002739C1">
        <w:rPr>
          <w:lang w:val="en-US"/>
        </w:rPr>
        <w:t xml:space="preserve">: statistical distribution of the first six principal components of the PTR-MS spectra of intact red blood cells and </w:t>
      </w:r>
      <w:r w:rsidR="002739C1">
        <w:rPr>
          <w:i/>
          <w:lang w:val="en-US"/>
        </w:rPr>
        <w:t>Plasmodium</w:t>
      </w:r>
      <w:r w:rsidR="002739C1">
        <w:rPr>
          <w:lang w:val="en-US"/>
        </w:rPr>
        <w:t xml:space="preserve"> gametocytes. The header of each plot shows the correspondent p-value related to at least the separation of two groups.</w:t>
      </w:r>
    </w:p>
    <w:p w14:paraId="1F495F14" w14:textId="5CD138E3" w:rsidR="0065359D" w:rsidRDefault="0065359D">
      <w:pPr>
        <w:rPr>
          <w:lang w:val="en-US"/>
        </w:rPr>
      </w:pPr>
    </w:p>
    <w:p w14:paraId="6DE2895A" w14:textId="77777777" w:rsidR="002F6B1F" w:rsidRDefault="002F6B1F">
      <w:pPr>
        <w:rPr>
          <w:lang w:val="en-US"/>
        </w:rPr>
      </w:pPr>
    </w:p>
    <w:p w14:paraId="2B75B533" w14:textId="77777777" w:rsidR="002F6B1F" w:rsidRDefault="002F6B1F" w:rsidP="002F6B1F">
      <w:pPr>
        <w:rPr>
          <w:lang w:val="en-US"/>
        </w:rPr>
      </w:pPr>
      <w:r w:rsidRPr="000315FE">
        <w:rPr>
          <w:noProof/>
          <w:lang w:val="en-US"/>
        </w:rPr>
        <w:lastRenderedPageBreak/>
        <w:drawing>
          <wp:inline distT="0" distB="0" distL="0" distR="0" wp14:anchorId="08A9A03C" wp14:editId="6E74DED5">
            <wp:extent cx="6116320" cy="387731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87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5206B" w14:textId="45731227" w:rsidR="002F6B1F" w:rsidRDefault="007F671E" w:rsidP="002F6B1F">
      <w:pPr>
        <w:rPr>
          <w:lang w:val="en-US"/>
        </w:rPr>
      </w:pPr>
      <w:r>
        <w:rPr>
          <w:lang w:val="en-US"/>
        </w:rPr>
        <w:t>Figure S7</w:t>
      </w:r>
      <w:r w:rsidR="002F6B1F">
        <w:rPr>
          <w:lang w:val="en-US"/>
        </w:rPr>
        <w:t xml:space="preserve">: statistical distribution of the first four principal components of the electronic nose data related to intact red blood cells and asexuated </w:t>
      </w:r>
      <w:r w:rsidR="002F6B1F">
        <w:rPr>
          <w:i/>
          <w:lang w:val="en-US"/>
        </w:rPr>
        <w:t>Plasmodium</w:t>
      </w:r>
      <w:r w:rsidR="002F6B1F">
        <w:rPr>
          <w:lang w:val="en-US"/>
        </w:rPr>
        <w:t>. The header of each plot shows the correspondent p-value related to the separation of at least two groups.</w:t>
      </w:r>
    </w:p>
    <w:p w14:paraId="4E1D2463" w14:textId="2B03F703" w:rsidR="0065359D" w:rsidRDefault="0065359D">
      <w:pPr>
        <w:rPr>
          <w:lang w:val="en-US"/>
        </w:rPr>
      </w:pPr>
    </w:p>
    <w:p w14:paraId="5228012F" w14:textId="1E5DB9CF" w:rsidR="000315FE" w:rsidRDefault="000315FE">
      <w:pPr>
        <w:rPr>
          <w:lang w:val="en-US"/>
        </w:rPr>
      </w:pPr>
      <w:r w:rsidRPr="000315FE">
        <w:rPr>
          <w:noProof/>
          <w:lang w:val="en-US"/>
        </w:rPr>
        <w:drawing>
          <wp:inline distT="0" distB="0" distL="0" distR="0" wp14:anchorId="62FDC74C" wp14:editId="60C4D08E">
            <wp:extent cx="6116320" cy="362775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62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06A95" w14:textId="23149150" w:rsidR="000315FE" w:rsidRDefault="000315FE" w:rsidP="000315FE">
      <w:pPr>
        <w:rPr>
          <w:lang w:val="en-US"/>
        </w:rPr>
      </w:pPr>
      <w:r>
        <w:rPr>
          <w:lang w:val="en-US"/>
        </w:rPr>
        <w:t>Figure</w:t>
      </w:r>
      <w:r w:rsidR="007F671E">
        <w:rPr>
          <w:lang w:val="en-US"/>
        </w:rPr>
        <w:t xml:space="preserve"> S8</w:t>
      </w:r>
      <w:r>
        <w:rPr>
          <w:lang w:val="en-US"/>
        </w:rPr>
        <w:t>: statistical distribution of the first four principal components of the electronic nose data relate intact red blood cells and gametocytes. The header of each plot shows the correspondent p-value related to the separation of at least two groups.</w:t>
      </w:r>
    </w:p>
    <w:p w14:paraId="0CADFD0A" w14:textId="77777777" w:rsidR="000315FE" w:rsidRPr="0065359D" w:rsidRDefault="000315FE">
      <w:pPr>
        <w:rPr>
          <w:lang w:val="en-US"/>
        </w:rPr>
      </w:pPr>
    </w:p>
    <w:sectPr w:rsidR="000315FE" w:rsidRPr="0065359D" w:rsidSect="002625E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7CF9"/>
    <w:rsid w:val="000315FE"/>
    <w:rsid w:val="000925B3"/>
    <w:rsid w:val="000A54C2"/>
    <w:rsid w:val="001066B8"/>
    <w:rsid w:val="002625E5"/>
    <w:rsid w:val="002739C1"/>
    <w:rsid w:val="002F6B1F"/>
    <w:rsid w:val="003668D8"/>
    <w:rsid w:val="00387B34"/>
    <w:rsid w:val="005A3D6E"/>
    <w:rsid w:val="005D5C09"/>
    <w:rsid w:val="00622F88"/>
    <w:rsid w:val="0065359D"/>
    <w:rsid w:val="00677472"/>
    <w:rsid w:val="007C22CB"/>
    <w:rsid w:val="007F671E"/>
    <w:rsid w:val="008355A0"/>
    <w:rsid w:val="008456B7"/>
    <w:rsid w:val="008A4A92"/>
    <w:rsid w:val="008D0A4C"/>
    <w:rsid w:val="00AA39BA"/>
    <w:rsid w:val="00B37CF9"/>
    <w:rsid w:val="00BC789B"/>
    <w:rsid w:val="00C77BA6"/>
    <w:rsid w:val="00E25167"/>
    <w:rsid w:val="00E44ED2"/>
    <w:rsid w:val="00E712BF"/>
    <w:rsid w:val="00F505F4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0E14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2F8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F8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02372-D02D-244D-AD90-1AF9EA29E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402</Words>
  <Characters>2292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Corrado</dc:creator>
  <cp:lastModifiedBy>Corrado</cp:lastModifiedBy>
  <cp:revision>3</cp:revision>
  <dcterms:created xsi:type="dcterms:W3CDTF">2019-06-27T08:20:00Z</dcterms:created>
  <dcterms:modified xsi:type="dcterms:W3CDTF">2019-07-05T20:32:00Z</dcterms:modified>
</cp:coreProperties>
</file>