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AE534" w14:textId="77777777" w:rsidR="004F2365" w:rsidRPr="000B6B1A" w:rsidRDefault="004F2365" w:rsidP="004F2365">
      <w:pPr>
        <w:pStyle w:val="Heading1"/>
        <w:rPr>
          <w:lang w:val="en-US"/>
        </w:rPr>
      </w:pPr>
      <w:r w:rsidRPr="000B6B1A">
        <w:rPr>
          <w:lang w:val="en-US"/>
        </w:rPr>
        <w:t>SUPPLEMENTARY MATERIAL</w:t>
      </w:r>
    </w:p>
    <w:p w14:paraId="4C27C9F7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Style w:val="BookTitle"/>
          <w:rFonts w:ascii="Times New Roman" w:hAnsi="Times New Roman" w:cs="Times New Roman"/>
          <w:lang w:val="en-US"/>
        </w:rPr>
        <w:t xml:space="preserve">Title: Constitutive PGC-1α </w:t>
      </w:r>
      <w:r w:rsidR="00B7034E">
        <w:rPr>
          <w:rStyle w:val="BookTitle"/>
          <w:rFonts w:ascii="Times New Roman" w:hAnsi="Times New Roman" w:cs="Times New Roman"/>
          <w:lang w:val="en-US"/>
        </w:rPr>
        <w:t>overexpression in skeletal muscle does not protect from age-dependent decline in n</w:t>
      </w:r>
      <w:r w:rsidRPr="000B6B1A">
        <w:rPr>
          <w:rStyle w:val="BookTitle"/>
          <w:rFonts w:ascii="Times New Roman" w:hAnsi="Times New Roman" w:cs="Times New Roman"/>
          <w:lang w:val="en-US"/>
        </w:rPr>
        <w:t>eurogenesis</w:t>
      </w:r>
    </w:p>
    <w:p w14:paraId="2D7BECE9" w14:textId="77777777" w:rsidR="004F2365" w:rsidRPr="007A3893" w:rsidRDefault="004F2365" w:rsidP="004F2365">
      <w:pPr>
        <w:rPr>
          <w:rFonts w:ascii="Times New Roman" w:hAnsi="Times New Roman" w:cs="Times New Roman"/>
          <w:lang w:val="sv-SE"/>
        </w:rPr>
      </w:pPr>
      <w:r w:rsidRPr="007A3893">
        <w:rPr>
          <w:rFonts w:ascii="Times New Roman" w:hAnsi="Times New Roman" w:cs="Times New Roman"/>
          <w:lang w:val="sv-SE"/>
        </w:rPr>
        <w:t>Author List:</w:t>
      </w:r>
      <w:r>
        <w:rPr>
          <w:rFonts w:ascii="Times New Roman" w:hAnsi="Times New Roman" w:cs="Times New Roman"/>
          <w:lang w:val="sv-SE"/>
        </w:rPr>
        <w:t xml:space="preserve"> Lars Karlsson*, González-Alvara</w:t>
      </w:r>
      <w:r w:rsidRPr="007A3893">
        <w:rPr>
          <w:rFonts w:ascii="Times New Roman" w:hAnsi="Times New Roman" w:cs="Times New Roman"/>
          <w:lang w:val="sv-SE"/>
        </w:rPr>
        <w:t>do María Nazareth, Reza Motalleb, Klas Blomgren, Mats Börjesson, Hans Georg Kuhn</w:t>
      </w:r>
    </w:p>
    <w:p w14:paraId="063C7ADE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F42E72">
        <w:rPr>
          <w:rFonts w:ascii="Times New Roman" w:hAnsi="Times New Roman" w:cs="Times New Roman"/>
          <w:b/>
          <w:lang w:val="en-US"/>
        </w:rPr>
        <w:t xml:space="preserve">Supplementary Table S1. </w:t>
      </w:r>
      <w:r w:rsidRPr="000B6B1A">
        <w:rPr>
          <w:rFonts w:ascii="Times New Roman" w:hAnsi="Times New Roman" w:cs="Times New Roman"/>
          <w:lang w:val="en-US"/>
        </w:rPr>
        <w:t>List of qPCR primers.</w:t>
      </w:r>
    </w:p>
    <w:tbl>
      <w:tblPr>
        <w:tblStyle w:val="TableGrid"/>
        <w:tblW w:w="10046" w:type="dxa"/>
        <w:tblLook w:val="04A0" w:firstRow="1" w:lastRow="0" w:firstColumn="1" w:lastColumn="0" w:noHBand="0" w:noVBand="1"/>
      </w:tblPr>
      <w:tblGrid>
        <w:gridCol w:w="926"/>
        <w:gridCol w:w="1805"/>
        <w:gridCol w:w="3541"/>
        <w:gridCol w:w="3809"/>
      </w:tblGrid>
      <w:tr w:rsidR="004F2365" w:rsidRPr="000B6B1A" w14:paraId="2C0C5DD2" w14:textId="77777777" w:rsidTr="00A97B49">
        <w:trPr>
          <w:trHeight w:val="462"/>
        </w:trPr>
        <w:tc>
          <w:tcPr>
            <w:tcW w:w="986" w:type="dxa"/>
          </w:tcPr>
          <w:p w14:paraId="5942506B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b/>
                <w:sz w:val="22"/>
                <w:lang w:val="en-US"/>
              </w:rPr>
              <w:t>Symbol</w:t>
            </w:r>
          </w:p>
        </w:tc>
        <w:tc>
          <w:tcPr>
            <w:tcW w:w="2757" w:type="dxa"/>
          </w:tcPr>
          <w:p w14:paraId="6013F46F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b/>
                <w:sz w:val="22"/>
                <w:lang w:val="en-US"/>
              </w:rPr>
              <w:t>Name</w:t>
            </w:r>
          </w:p>
        </w:tc>
        <w:tc>
          <w:tcPr>
            <w:tcW w:w="3046" w:type="dxa"/>
          </w:tcPr>
          <w:p w14:paraId="78951ED0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b/>
                <w:sz w:val="22"/>
                <w:lang w:val="en-US"/>
              </w:rPr>
              <w:t>Forward primer sequence</w:t>
            </w:r>
          </w:p>
        </w:tc>
        <w:tc>
          <w:tcPr>
            <w:tcW w:w="3257" w:type="dxa"/>
          </w:tcPr>
          <w:p w14:paraId="0BCBFF43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b/>
                <w:sz w:val="22"/>
                <w:lang w:val="en-US"/>
              </w:rPr>
              <w:t>Reverse primer sequence</w:t>
            </w:r>
          </w:p>
        </w:tc>
      </w:tr>
      <w:tr w:rsidR="004F2365" w:rsidRPr="000B6B1A" w14:paraId="39450820" w14:textId="77777777" w:rsidTr="00A97B49">
        <w:tc>
          <w:tcPr>
            <w:tcW w:w="986" w:type="dxa"/>
          </w:tcPr>
          <w:p w14:paraId="717808C5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18S</w:t>
            </w:r>
          </w:p>
        </w:tc>
        <w:tc>
          <w:tcPr>
            <w:tcW w:w="2757" w:type="dxa"/>
          </w:tcPr>
          <w:p w14:paraId="24F55259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18S ribosomal RNA</w:t>
            </w:r>
          </w:p>
        </w:tc>
        <w:tc>
          <w:tcPr>
            <w:tcW w:w="3046" w:type="dxa"/>
          </w:tcPr>
          <w:p w14:paraId="7264DFA5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TCAAGAACGAAAGTCGGAGG</w:t>
            </w:r>
          </w:p>
        </w:tc>
        <w:tc>
          <w:tcPr>
            <w:tcW w:w="3257" w:type="dxa"/>
          </w:tcPr>
          <w:p w14:paraId="22E4A971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GGACATCTAAGGGCATCAC</w:t>
            </w:r>
          </w:p>
        </w:tc>
      </w:tr>
      <w:tr w:rsidR="004F2365" w:rsidRPr="000B6B1A" w14:paraId="3BBF283D" w14:textId="77777777" w:rsidTr="00A97B49">
        <w:tc>
          <w:tcPr>
            <w:tcW w:w="986" w:type="dxa"/>
          </w:tcPr>
          <w:p w14:paraId="285596AF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Actb</w:t>
            </w:r>
            <w:proofErr w:type="spellEnd"/>
          </w:p>
        </w:tc>
        <w:tc>
          <w:tcPr>
            <w:tcW w:w="2757" w:type="dxa"/>
          </w:tcPr>
          <w:p w14:paraId="76826FFE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Beta-actin</w:t>
            </w:r>
          </w:p>
        </w:tc>
        <w:tc>
          <w:tcPr>
            <w:tcW w:w="3046" w:type="dxa"/>
          </w:tcPr>
          <w:p w14:paraId="050F5ADD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CACGATGGAGGGGAATACAGC</w:t>
            </w:r>
          </w:p>
        </w:tc>
        <w:tc>
          <w:tcPr>
            <w:tcW w:w="3257" w:type="dxa"/>
          </w:tcPr>
          <w:p w14:paraId="391D7FDE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GCCTTCTTTTGTGTCTTGATAGTTC</w:t>
            </w:r>
          </w:p>
        </w:tc>
      </w:tr>
      <w:tr w:rsidR="004F2365" w:rsidRPr="000B6B1A" w14:paraId="12DB4E43" w14:textId="77777777" w:rsidTr="00A97B49">
        <w:tc>
          <w:tcPr>
            <w:tcW w:w="986" w:type="dxa"/>
          </w:tcPr>
          <w:p w14:paraId="2F7775AB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Bdnf</w:t>
            </w:r>
            <w:proofErr w:type="spellEnd"/>
          </w:p>
        </w:tc>
        <w:tc>
          <w:tcPr>
            <w:tcW w:w="2757" w:type="dxa"/>
          </w:tcPr>
          <w:p w14:paraId="14E9DBDE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Brain-derived neurotrophic factor</w:t>
            </w:r>
          </w:p>
        </w:tc>
        <w:tc>
          <w:tcPr>
            <w:tcW w:w="3046" w:type="dxa"/>
          </w:tcPr>
          <w:p w14:paraId="6AA496B5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GGCTGACACTTTTGAGCACG</w:t>
            </w:r>
          </w:p>
        </w:tc>
        <w:tc>
          <w:tcPr>
            <w:tcW w:w="3257" w:type="dxa"/>
          </w:tcPr>
          <w:p w14:paraId="47368D66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CAAGTCCGCGTCCTTATGGT</w:t>
            </w:r>
          </w:p>
        </w:tc>
      </w:tr>
      <w:tr w:rsidR="004F2365" w:rsidRPr="000B6B1A" w14:paraId="0F511B56" w14:textId="77777777" w:rsidTr="00A97B49">
        <w:tc>
          <w:tcPr>
            <w:tcW w:w="986" w:type="dxa"/>
          </w:tcPr>
          <w:p w14:paraId="02560968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Ctsb</w:t>
            </w:r>
            <w:proofErr w:type="spellEnd"/>
          </w:p>
        </w:tc>
        <w:tc>
          <w:tcPr>
            <w:tcW w:w="2757" w:type="dxa"/>
          </w:tcPr>
          <w:p w14:paraId="39B37C93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Cathepsin B</w:t>
            </w:r>
          </w:p>
        </w:tc>
        <w:tc>
          <w:tcPr>
            <w:tcW w:w="3046" w:type="dxa"/>
          </w:tcPr>
          <w:p w14:paraId="35BEEA2C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AGACCTGCTTACTTGCTGTG</w:t>
            </w:r>
          </w:p>
        </w:tc>
        <w:tc>
          <w:tcPr>
            <w:tcW w:w="3257" w:type="dxa"/>
          </w:tcPr>
          <w:p w14:paraId="782A717F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GGAGGGATGGTGTATGGTAAG</w:t>
            </w:r>
          </w:p>
        </w:tc>
      </w:tr>
      <w:tr w:rsidR="004F2365" w:rsidRPr="000B6B1A" w14:paraId="55D05A6E" w14:textId="77777777" w:rsidTr="00A97B49">
        <w:tc>
          <w:tcPr>
            <w:tcW w:w="986" w:type="dxa"/>
          </w:tcPr>
          <w:p w14:paraId="35927202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Fndc5</w:t>
            </w:r>
          </w:p>
        </w:tc>
        <w:tc>
          <w:tcPr>
            <w:tcW w:w="2757" w:type="dxa"/>
          </w:tcPr>
          <w:p w14:paraId="4E2C804E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Fibronectin type III domain-containing protein 5</w:t>
            </w:r>
          </w:p>
        </w:tc>
        <w:tc>
          <w:tcPr>
            <w:tcW w:w="3046" w:type="dxa"/>
          </w:tcPr>
          <w:p w14:paraId="1C43186A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GGACTCTTGGAAAACACCACTG</w:t>
            </w:r>
          </w:p>
        </w:tc>
        <w:tc>
          <w:tcPr>
            <w:tcW w:w="3257" w:type="dxa"/>
          </w:tcPr>
          <w:p w14:paraId="550C5972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TCCACACAGATGATCTCACCAC</w:t>
            </w:r>
          </w:p>
        </w:tc>
      </w:tr>
      <w:tr w:rsidR="004F2365" w:rsidRPr="000B6B1A" w14:paraId="5CB63D7C" w14:textId="77777777" w:rsidTr="00A97B49">
        <w:tc>
          <w:tcPr>
            <w:tcW w:w="986" w:type="dxa"/>
          </w:tcPr>
          <w:p w14:paraId="352A1D01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Gapdh</w:t>
            </w:r>
            <w:proofErr w:type="spellEnd"/>
          </w:p>
        </w:tc>
        <w:tc>
          <w:tcPr>
            <w:tcW w:w="2757" w:type="dxa"/>
          </w:tcPr>
          <w:p w14:paraId="2BA7908C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Glyceraldehyde 3-phosphate dehydrogenase</w:t>
            </w:r>
          </w:p>
        </w:tc>
        <w:tc>
          <w:tcPr>
            <w:tcW w:w="3046" w:type="dxa"/>
          </w:tcPr>
          <w:p w14:paraId="566114E3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CCTCATGGGTCTGTAGTGAGC</w:t>
            </w:r>
          </w:p>
        </w:tc>
        <w:tc>
          <w:tcPr>
            <w:tcW w:w="3257" w:type="dxa"/>
          </w:tcPr>
          <w:p w14:paraId="656B33FC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TTGTGGTACGTGCATAGCTG</w:t>
            </w:r>
          </w:p>
        </w:tc>
      </w:tr>
      <w:tr w:rsidR="004F2365" w:rsidRPr="000B6B1A" w14:paraId="10D2C630" w14:textId="77777777" w:rsidTr="00A97B49">
        <w:tc>
          <w:tcPr>
            <w:tcW w:w="986" w:type="dxa"/>
          </w:tcPr>
          <w:p w14:paraId="5661B050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Il15</w:t>
            </w:r>
          </w:p>
        </w:tc>
        <w:tc>
          <w:tcPr>
            <w:tcW w:w="2757" w:type="dxa"/>
          </w:tcPr>
          <w:p w14:paraId="7CB5C6F9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Interleukin 15</w:t>
            </w:r>
          </w:p>
        </w:tc>
        <w:tc>
          <w:tcPr>
            <w:tcW w:w="3046" w:type="dxa"/>
          </w:tcPr>
          <w:p w14:paraId="649F3D75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GAGGCCAAGAAGAGTTCTGGA</w:t>
            </w:r>
          </w:p>
        </w:tc>
        <w:tc>
          <w:tcPr>
            <w:tcW w:w="3257" w:type="dxa"/>
          </w:tcPr>
          <w:p w14:paraId="4C05AD36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TGCCCAGGTAAGAGCTTCAA</w:t>
            </w:r>
          </w:p>
        </w:tc>
      </w:tr>
      <w:tr w:rsidR="004F2365" w:rsidRPr="000B6B1A" w14:paraId="70ADF5AE" w14:textId="77777777" w:rsidTr="00A97B49">
        <w:tc>
          <w:tcPr>
            <w:tcW w:w="986" w:type="dxa"/>
          </w:tcPr>
          <w:p w14:paraId="0109E38D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i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Timp4</w:t>
            </w:r>
          </w:p>
        </w:tc>
        <w:tc>
          <w:tcPr>
            <w:tcW w:w="2757" w:type="dxa"/>
          </w:tcPr>
          <w:p w14:paraId="736B4FF7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Metalloproteinase inhibitor 4</w:t>
            </w:r>
          </w:p>
        </w:tc>
        <w:tc>
          <w:tcPr>
            <w:tcW w:w="3046" w:type="dxa"/>
          </w:tcPr>
          <w:p w14:paraId="76E7BC53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GACCCTGCTGACACTCAAAAAC</w:t>
            </w:r>
          </w:p>
        </w:tc>
        <w:tc>
          <w:tcPr>
            <w:tcW w:w="3257" w:type="dxa"/>
          </w:tcPr>
          <w:p w14:paraId="3330C2CD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GGAAGAGTCAAATGGCGTGTAG</w:t>
            </w:r>
          </w:p>
        </w:tc>
      </w:tr>
      <w:tr w:rsidR="004F2365" w:rsidRPr="000B6B1A" w14:paraId="454AED10" w14:textId="77777777" w:rsidTr="00A97B49">
        <w:tc>
          <w:tcPr>
            <w:tcW w:w="986" w:type="dxa"/>
          </w:tcPr>
          <w:p w14:paraId="5CB711CA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Pgc1a</w:t>
            </w:r>
          </w:p>
        </w:tc>
        <w:tc>
          <w:tcPr>
            <w:tcW w:w="2757" w:type="dxa"/>
          </w:tcPr>
          <w:p w14:paraId="76325CB4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Peroxisome proliferator-activated receptor gamma coactivator 1</w:t>
            </w:r>
          </w:p>
        </w:tc>
        <w:tc>
          <w:tcPr>
            <w:tcW w:w="3046" w:type="dxa"/>
          </w:tcPr>
          <w:p w14:paraId="051B5BEE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CCCTGCCATTGTTAAGACC</w:t>
            </w:r>
          </w:p>
        </w:tc>
        <w:tc>
          <w:tcPr>
            <w:tcW w:w="3257" w:type="dxa"/>
          </w:tcPr>
          <w:p w14:paraId="05A27ABA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TGCTGCTGTTCCTGTTTTC</w:t>
            </w:r>
          </w:p>
        </w:tc>
      </w:tr>
      <w:tr w:rsidR="004F2365" w:rsidRPr="000B6B1A" w14:paraId="00CCC842" w14:textId="77777777" w:rsidTr="00A97B49">
        <w:tc>
          <w:tcPr>
            <w:tcW w:w="986" w:type="dxa"/>
          </w:tcPr>
          <w:p w14:paraId="66756131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Tbp</w:t>
            </w:r>
            <w:proofErr w:type="spellEnd"/>
          </w:p>
        </w:tc>
        <w:tc>
          <w:tcPr>
            <w:tcW w:w="2757" w:type="dxa"/>
          </w:tcPr>
          <w:p w14:paraId="401E8199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TATA-binding protein</w:t>
            </w:r>
          </w:p>
        </w:tc>
        <w:tc>
          <w:tcPr>
            <w:tcW w:w="3046" w:type="dxa"/>
          </w:tcPr>
          <w:p w14:paraId="6D5E9A87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GAAGCTGCGGTACAATTCCAG</w:t>
            </w:r>
          </w:p>
        </w:tc>
        <w:tc>
          <w:tcPr>
            <w:tcW w:w="3257" w:type="dxa"/>
          </w:tcPr>
          <w:p w14:paraId="615B25FA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CCCCTTGTACCCTTCACCAAT</w:t>
            </w:r>
          </w:p>
        </w:tc>
      </w:tr>
      <w:tr w:rsidR="004F2365" w:rsidRPr="000B6B1A" w14:paraId="4E3DA380" w14:textId="77777777" w:rsidTr="00A97B49">
        <w:tc>
          <w:tcPr>
            <w:tcW w:w="986" w:type="dxa"/>
          </w:tcPr>
          <w:p w14:paraId="4B2B36AF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i/>
                <w:sz w:val="22"/>
                <w:lang w:val="en-US"/>
              </w:rPr>
              <w:t>Vegfb</w:t>
            </w:r>
            <w:proofErr w:type="spellEnd"/>
          </w:p>
        </w:tc>
        <w:tc>
          <w:tcPr>
            <w:tcW w:w="2757" w:type="dxa"/>
          </w:tcPr>
          <w:p w14:paraId="53DDC5F2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Vascular endothelial growth factor B</w:t>
            </w:r>
          </w:p>
        </w:tc>
        <w:tc>
          <w:tcPr>
            <w:tcW w:w="3046" w:type="dxa"/>
          </w:tcPr>
          <w:p w14:paraId="7DFFA934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TATCTCCCAGAGCTGCCATCTA</w:t>
            </w:r>
          </w:p>
        </w:tc>
        <w:tc>
          <w:tcPr>
            <w:tcW w:w="3257" w:type="dxa"/>
          </w:tcPr>
          <w:p w14:paraId="540B3D5B" w14:textId="77777777" w:rsidR="004F2365" w:rsidRPr="000B6B1A" w:rsidRDefault="004F2365" w:rsidP="00A97B49">
            <w:pPr>
              <w:spacing w:after="0" w:line="240" w:lineRule="auto"/>
              <w:rPr>
                <w:rFonts w:ascii="Times New Roman" w:hAnsi="Times New Roman" w:cs="Times New Roman"/>
                <w:sz w:val="22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lang w:val="en-US"/>
              </w:rPr>
              <w:t>AGCCAGAAGATGCTCACTTGAC</w:t>
            </w:r>
          </w:p>
        </w:tc>
      </w:tr>
    </w:tbl>
    <w:p w14:paraId="2DB63E5E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</w:p>
    <w:p w14:paraId="43835FF5" w14:textId="77777777" w:rsidR="004F2365" w:rsidRDefault="004F2365" w:rsidP="004F2365">
      <w:pPr>
        <w:spacing w:after="16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205229B" w14:textId="1A8E27BC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F42E72">
        <w:rPr>
          <w:rFonts w:ascii="Times New Roman" w:hAnsi="Times New Roman" w:cs="Times New Roman"/>
          <w:b/>
          <w:lang w:val="en-US"/>
        </w:rPr>
        <w:lastRenderedPageBreak/>
        <w:t xml:space="preserve">Supplementary Table S2. </w:t>
      </w:r>
      <w:r w:rsidRPr="000B6B1A">
        <w:rPr>
          <w:rFonts w:ascii="Times New Roman" w:hAnsi="Times New Roman" w:cs="Times New Roman"/>
          <w:lang w:val="en-US"/>
        </w:rPr>
        <w:t xml:space="preserve">Main and interaction effects of two-way ANOVA on </w:t>
      </w:r>
      <w:proofErr w:type="spellStart"/>
      <w:r w:rsidRPr="000B6B1A">
        <w:rPr>
          <w:rFonts w:ascii="Times New Roman" w:hAnsi="Times New Roman" w:cs="Times New Roman"/>
          <w:lang w:val="en-US"/>
        </w:rPr>
        <w:t>subregional</w:t>
      </w:r>
      <w:proofErr w:type="spellEnd"/>
      <w:r w:rsidRPr="000B6B1A">
        <w:rPr>
          <w:rFonts w:ascii="Times New Roman" w:hAnsi="Times New Roman" w:cs="Times New Roman"/>
          <w:lang w:val="en-US"/>
        </w:rPr>
        <w:t xml:space="preserve"> volumes of the DG and corresponding number of newborn cells in 11-month-old animals.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2233"/>
        <w:gridCol w:w="2317"/>
      </w:tblGrid>
      <w:tr w:rsidR="004F2365" w:rsidRPr="000B6B1A" w14:paraId="6FD7A06A" w14:textId="77777777" w:rsidTr="00A97B49">
        <w:trPr>
          <w:trHeight w:val="2965"/>
        </w:trPr>
        <w:tc>
          <w:tcPr>
            <w:tcW w:w="2093" w:type="dxa"/>
          </w:tcPr>
          <w:p w14:paraId="3A0D5DAA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Analysis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14:paraId="2DCF15EE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 xml:space="preserve">GCL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volume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  <w:p w14:paraId="7C8916C3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 xml:space="preserve">ML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volume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  <w:p w14:paraId="323B25B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Hilus</w:t>
            </w:r>
            <w:proofErr w:type="spellEnd"/>
            <w:r w:rsidRPr="000B6B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volume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  <w:p w14:paraId="2223708B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 xml:space="preserve">DG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BrdU</w:t>
            </w:r>
            <w:proofErr w:type="spellEnd"/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+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cells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  <w:p w14:paraId="44A156C4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 xml:space="preserve">ML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BrdU</w:t>
            </w:r>
            <w:proofErr w:type="spellEnd"/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0B6B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cells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  <w:p w14:paraId="7C8A87F9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Hilus</w:t>
            </w:r>
            <w:proofErr w:type="spellEnd"/>
            <w:r w:rsidRPr="000B6B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BrdU</w:t>
            </w:r>
            <w:proofErr w:type="spellEnd"/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0B6B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cells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126" w:type="dxa"/>
          </w:tcPr>
          <w:p w14:paraId="698F5570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Genotype effect</w:t>
            </w:r>
          </w:p>
          <w:p w14:paraId="3ACD9ECD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eastAsia="Times New Roman" w:hAnsi="Times New Roman" w:cs="Times New Roman"/>
                <w:lang w:val="en-US" w:eastAsia="sv-SE"/>
              </w:rPr>
              <w:t>1.19 (</w:t>
            </w:r>
            <w:r w:rsidRPr="000B6B1A">
              <w:rPr>
                <w:rFonts w:ascii="Times New Roman" w:hAnsi="Times New Roman" w:cs="Times New Roman"/>
                <w:lang w:val="en-US"/>
              </w:rPr>
              <w:t>p=0.28)</w:t>
            </w:r>
          </w:p>
          <w:p w14:paraId="7D51F4A3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1.33 (p=0.26)</w:t>
            </w:r>
          </w:p>
          <w:p w14:paraId="4C230D12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0.001 (p=0.97)</w:t>
            </w:r>
          </w:p>
          <w:p w14:paraId="77B94F1E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0.045 (p=0.83)</w:t>
            </w:r>
          </w:p>
          <w:p w14:paraId="1B1D1B1A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0.084 (p=0.77)</w:t>
            </w:r>
          </w:p>
          <w:p w14:paraId="46A568D2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5.39 (p=0.026)*</w:t>
            </w:r>
          </w:p>
        </w:tc>
        <w:tc>
          <w:tcPr>
            <w:tcW w:w="2233" w:type="dxa"/>
          </w:tcPr>
          <w:p w14:paraId="52B318DA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Sex effect</w:t>
            </w:r>
          </w:p>
          <w:p w14:paraId="3BCD57D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eastAsia="Times New Roman" w:hAnsi="Times New Roman" w:cs="Times New Roman"/>
                <w:lang w:val="en-US" w:eastAsia="sv-SE"/>
              </w:rPr>
              <w:t>2.49 (</w:t>
            </w:r>
            <w:r w:rsidRPr="000B6B1A">
              <w:rPr>
                <w:rFonts w:ascii="Times New Roman" w:hAnsi="Times New Roman" w:cs="Times New Roman"/>
                <w:lang w:val="en-US"/>
              </w:rPr>
              <w:t>p=0.12)</w:t>
            </w:r>
          </w:p>
          <w:p w14:paraId="4FB065A4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4.58 (p=0.04)*</w:t>
            </w:r>
          </w:p>
          <w:p w14:paraId="3D3832C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2.94 (p=0.096)</w:t>
            </w:r>
          </w:p>
          <w:p w14:paraId="30019D5E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0.11 (p=0.74)</w:t>
            </w:r>
          </w:p>
          <w:p w14:paraId="48FEF025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0.36 (p=0.55)</w:t>
            </w:r>
          </w:p>
          <w:p w14:paraId="774FA2D7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0.77 (p=0.39)</w:t>
            </w:r>
          </w:p>
        </w:tc>
        <w:tc>
          <w:tcPr>
            <w:tcW w:w="2317" w:type="dxa"/>
          </w:tcPr>
          <w:p w14:paraId="4527056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Interaction effect</w:t>
            </w:r>
          </w:p>
          <w:p w14:paraId="0507C8B2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eastAsia="Times New Roman" w:hAnsi="Times New Roman" w:cs="Times New Roman"/>
                <w:lang w:val="en-US" w:eastAsia="sv-SE"/>
              </w:rPr>
              <w:t>2.00</w:t>
            </w:r>
            <w:r w:rsidRPr="000B6B1A">
              <w:rPr>
                <w:rFonts w:ascii="Times New Roman" w:hAnsi="Times New Roman" w:cs="Times New Roman"/>
                <w:lang w:val="en-US"/>
              </w:rPr>
              <w:t xml:space="preserve"> (p=0.17)</w:t>
            </w:r>
          </w:p>
          <w:p w14:paraId="16AAFA95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2.94 (p=0.09)</w:t>
            </w:r>
          </w:p>
          <w:p w14:paraId="385BD629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1.01 (p=0.32)</w:t>
            </w:r>
          </w:p>
          <w:p w14:paraId="3633A6EE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0.078 (p=0.78)</w:t>
            </w:r>
          </w:p>
          <w:p w14:paraId="7697CF99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0.010 (p=0.92)</w:t>
            </w:r>
          </w:p>
          <w:p w14:paraId="39042A4D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3.74 (p=0.06)</w:t>
            </w:r>
          </w:p>
        </w:tc>
      </w:tr>
    </w:tbl>
    <w:p w14:paraId="3E31F78C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>a</w:t>
      </w:r>
      <w:r w:rsidRPr="000B6B1A">
        <w:rPr>
          <w:rFonts w:ascii="Times New Roman" w:hAnsi="Times New Roman" w:cs="Times New Roman"/>
          <w:lang w:val="en-US"/>
        </w:rPr>
        <w:t xml:space="preserve"> See Fig. 2A-F.</w:t>
      </w:r>
    </w:p>
    <w:p w14:paraId="1DF28536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0B6B1A">
        <w:rPr>
          <w:rFonts w:ascii="Times New Roman" w:hAnsi="Times New Roman" w:cs="Times New Roman"/>
          <w:lang w:val="en-US"/>
        </w:rPr>
        <w:t xml:space="preserve">Data presented as test value of </w:t>
      </w:r>
      <w:proofErr w:type="gramStart"/>
      <w:r w:rsidRPr="000B6B1A">
        <w:rPr>
          <w:rFonts w:ascii="Times New Roman" w:hAnsi="Times New Roman" w:cs="Times New Roman"/>
          <w:lang w:val="en-US"/>
        </w:rPr>
        <w:t>F(</w:t>
      </w:r>
      <w:proofErr w:type="gramEnd"/>
      <w:r w:rsidRPr="000B6B1A">
        <w:rPr>
          <w:rFonts w:ascii="Times New Roman" w:hAnsi="Times New Roman" w:cs="Times New Roman"/>
          <w:lang w:val="en-US"/>
        </w:rPr>
        <w:t>1, 30) along with the corresponding p-value in parenthesis.</w:t>
      </w:r>
    </w:p>
    <w:p w14:paraId="7BED29CD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>c</w:t>
      </w:r>
      <w:r w:rsidRPr="000B6B1A">
        <w:rPr>
          <w:rFonts w:ascii="Times New Roman" w:hAnsi="Times New Roman" w:cs="Times New Roman"/>
          <w:lang w:val="en-US"/>
        </w:rPr>
        <w:t xml:space="preserve"> Data presen</w:t>
      </w:r>
      <w:bookmarkStart w:id="0" w:name="_GoBack"/>
      <w:bookmarkEnd w:id="0"/>
      <w:r w:rsidRPr="000B6B1A">
        <w:rPr>
          <w:rFonts w:ascii="Times New Roman" w:hAnsi="Times New Roman" w:cs="Times New Roman"/>
          <w:lang w:val="en-US"/>
        </w:rPr>
        <w:t xml:space="preserve">ted as test value of </w:t>
      </w:r>
      <w:proofErr w:type="gramStart"/>
      <w:r w:rsidRPr="000B6B1A">
        <w:rPr>
          <w:rFonts w:ascii="Times New Roman" w:hAnsi="Times New Roman" w:cs="Times New Roman"/>
          <w:lang w:val="en-US"/>
        </w:rPr>
        <w:t>F(</w:t>
      </w:r>
      <w:proofErr w:type="gramEnd"/>
      <w:r w:rsidRPr="000B6B1A">
        <w:rPr>
          <w:rFonts w:ascii="Times New Roman" w:hAnsi="Times New Roman" w:cs="Times New Roman"/>
          <w:lang w:val="en-US"/>
        </w:rPr>
        <w:t>1, 39) along with the corresponding p-value in parenthesis.</w:t>
      </w:r>
    </w:p>
    <w:p w14:paraId="54699EB9" w14:textId="77777777" w:rsidR="004F2365" w:rsidRDefault="004F2365" w:rsidP="004F2365">
      <w:pPr>
        <w:spacing w:after="160" w:line="259" w:lineRule="auto"/>
        <w:rPr>
          <w:rFonts w:ascii="Times New Roman" w:hAnsi="Times New Roman" w:cs="Times New Roman"/>
          <w:b/>
          <w:lang w:val="en-US"/>
        </w:rPr>
      </w:pPr>
      <w:bookmarkStart w:id="1" w:name="OLE_LINK11"/>
      <w:bookmarkStart w:id="2" w:name="OLE_LINK12"/>
      <w:r>
        <w:rPr>
          <w:rFonts w:ascii="Times New Roman" w:hAnsi="Times New Roman" w:cs="Times New Roman"/>
          <w:b/>
          <w:lang w:val="en-US"/>
        </w:rPr>
        <w:br w:type="page"/>
      </w:r>
    </w:p>
    <w:p w14:paraId="72FB05C8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F42E72">
        <w:rPr>
          <w:rFonts w:ascii="Times New Roman" w:hAnsi="Times New Roman" w:cs="Times New Roman"/>
          <w:b/>
          <w:lang w:val="en-US"/>
        </w:rPr>
        <w:lastRenderedPageBreak/>
        <w:t xml:space="preserve">Supplementary Table S3. </w:t>
      </w:r>
      <w:r w:rsidRPr="000B6B1A">
        <w:rPr>
          <w:rFonts w:ascii="Times New Roman" w:hAnsi="Times New Roman" w:cs="Times New Roman"/>
          <w:lang w:val="en-US"/>
        </w:rPr>
        <w:t xml:space="preserve">Main and interaction effects of two-way ANOVA </w:t>
      </w:r>
      <w:bookmarkStart w:id="3" w:name="OLE_LINK89"/>
      <w:bookmarkStart w:id="4" w:name="OLE_LINK90"/>
      <w:r w:rsidRPr="000B6B1A">
        <w:rPr>
          <w:rFonts w:ascii="Times New Roman" w:hAnsi="Times New Roman" w:cs="Times New Roman"/>
          <w:lang w:val="en-US"/>
        </w:rPr>
        <w:t>on number of immature (parallel) and mature (perpendicular) DCX</w:t>
      </w:r>
      <w:r w:rsidRPr="000B6B1A">
        <w:rPr>
          <w:rFonts w:ascii="Times New Roman" w:hAnsi="Times New Roman" w:cs="Times New Roman"/>
          <w:vertAlign w:val="superscript"/>
          <w:lang w:val="en-US"/>
        </w:rPr>
        <w:t>+</w:t>
      </w:r>
      <w:r w:rsidRPr="000B6B1A">
        <w:rPr>
          <w:rFonts w:ascii="Times New Roman" w:hAnsi="Times New Roman" w:cs="Times New Roman"/>
          <w:lang w:val="en-US"/>
        </w:rPr>
        <w:t xml:space="preserve"> cells in the DG</w:t>
      </w:r>
      <w:bookmarkEnd w:id="3"/>
      <w:bookmarkEnd w:id="4"/>
      <w:r w:rsidRPr="000B6B1A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2253"/>
      </w:tblGrid>
      <w:tr w:rsidR="004F2365" w:rsidRPr="000B6B1A" w14:paraId="1F98EC1F" w14:textId="77777777" w:rsidTr="00A97B49">
        <w:trPr>
          <w:trHeight w:val="1626"/>
        </w:trPr>
        <w:tc>
          <w:tcPr>
            <w:tcW w:w="2830" w:type="dxa"/>
          </w:tcPr>
          <w:bookmarkEnd w:id="1"/>
          <w:bookmarkEnd w:id="2"/>
          <w:p w14:paraId="2319BD0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Analysis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proofErr w:type="spellEnd"/>
          </w:p>
          <w:p w14:paraId="2D7644B6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DCX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0B6B1A">
              <w:rPr>
                <w:rFonts w:ascii="Times New Roman" w:hAnsi="Times New Roman" w:cs="Times New Roman"/>
                <w:lang w:val="en-US"/>
              </w:rPr>
              <w:t xml:space="preserve"> cells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parallel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  <w:p w14:paraId="2D36BB4E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DCX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+</w:t>
            </w:r>
            <w:r w:rsidRPr="000B6B1A">
              <w:rPr>
                <w:rFonts w:ascii="Times New Roman" w:hAnsi="Times New Roman" w:cs="Times New Roman"/>
                <w:lang w:val="en-US"/>
              </w:rPr>
              <w:t xml:space="preserve"> cells </w:t>
            </w:r>
            <w:proofErr w:type="spellStart"/>
            <w:r w:rsidRPr="000B6B1A">
              <w:rPr>
                <w:rFonts w:ascii="Times New Roman" w:hAnsi="Times New Roman" w:cs="Times New Roman"/>
                <w:lang w:val="en-US"/>
              </w:rPr>
              <w:t>perpendicular</w:t>
            </w:r>
            <w:r w:rsidRPr="000B6B1A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843" w:type="dxa"/>
          </w:tcPr>
          <w:p w14:paraId="27BC7A3A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Genotype effect</w:t>
            </w:r>
          </w:p>
          <w:p w14:paraId="04A9C336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0.016 (p=0.90)</w:t>
            </w:r>
          </w:p>
          <w:p w14:paraId="7FB2B4AC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0.013 (p=0.91)</w:t>
            </w:r>
          </w:p>
        </w:tc>
        <w:tc>
          <w:tcPr>
            <w:tcW w:w="1843" w:type="dxa"/>
          </w:tcPr>
          <w:p w14:paraId="05CA2452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Sex effect</w:t>
            </w:r>
          </w:p>
          <w:p w14:paraId="36E01EC1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1.38 (p=0.25)</w:t>
            </w:r>
          </w:p>
          <w:p w14:paraId="4F089819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0.62 (p=0.44)</w:t>
            </w:r>
          </w:p>
        </w:tc>
        <w:tc>
          <w:tcPr>
            <w:tcW w:w="2253" w:type="dxa"/>
          </w:tcPr>
          <w:p w14:paraId="17BFC396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Interaction effect</w:t>
            </w:r>
          </w:p>
          <w:p w14:paraId="32BF166D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0.15 (p=0.71)</w:t>
            </w:r>
          </w:p>
          <w:p w14:paraId="67CC31A1" w14:textId="77777777" w:rsidR="004F2365" w:rsidRPr="000B6B1A" w:rsidRDefault="004F2365" w:rsidP="00A97B49">
            <w:pPr>
              <w:rPr>
                <w:rFonts w:ascii="Times New Roman" w:hAnsi="Times New Roman" w:cs="Times New Roman"/>
                <w:lang w:val="en-US"/>
              </w:rPr>
            </w:pPr>
            <w:r w:rsidRPr="000B6B1A">
              <w:rPr>
                <w:rFonts w:ascii="Times New Roman" w:hAnsi="Times New Roman" w:cs="Times New Roman"/>
                <w:lang w:val="en-US"/>
              </w:rPr>
              <w:t>1.60 (p=0.22)</w:t>
            </w:r>
          </w:p>
        </w:tc>
      </w:tr>
    </w:tbl>
    <w:p w14:paraId="48A713B0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>a</w:t>
      </w:r>
      <w:r w:rsidRPr="000B6B1A">
        <w:rPr>
          <w:rFonts w:ascii="Times New Roman" w:hAnsi="Times New Roman" w:cs="Times New Roman"/>
          <w:lang w:val="en-US"/>
        </w:rPr>
        <w:t xml:space="preserve"> See Fig. 4.</w:t>
      </w:r>
    </w:p>
    <w:p w14:paraId="4CAB2A24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0B6B1A">
        <w:rPr>
          <w:rFonts w:ascii="Times New Roman" w:hAnsi="Times New Roman" w:cs="Times New Roman"/>
          <w:lang w:val="en-US"/>
        </w:rPr>
        <w:t xml:space="preserve">Data presented as test value of </w:t>
      </w:r>
      <w:proofErr w:type="gramStart"/>
      <w:r w:rsidRPr="000B6B1A">
        <w:rPr>
          <w:rFonts w:ascii="Times New Roman" w:hAnsi="Times New Roman" w:cs="Times New Roman"/>
          <w:lang w:val="en-US"/>
        </w:rPr>
        <w:t>F(</w:t>
      </w:r>
      <w:proofErr w:type="gramEnd"/>
      <w:r w:rsidRPr="000B6B1A">
        <w:rPr>
          <w:rFonts w:ascii="Times New Roman" w:hAnsi="Times New Roman" w:cs="Times New Roman"/>
          <w:lang w:val="en-US"/>
        </w:rPr>
        <w:t>1, 30) along with the corresponding p-value in parenthesis.</w:t>
      </w:r>
    </w:p>
    <w:p w14:paraId="5D7C93CC" w14:textId="77777777" w:rsidR="004F2365" w:rsidRDefault="004F2365" w:rsidP="004F2365">
      <w:pPr>
        <w:spacing w:after="160" w:line="259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0F3EE875" w14:textId="77777777" w:rsidR="004F2365" w:rsidRPr="000B6B1A" w:rsidRDefault="004F2365" w:rsidP="004F2365">
      <w:pPr>
        <w:rPr>
          <w:rFonts w:ascii="Times New Roman" w:hAnsi="Times New Roman" w:cs="Times New Roman"/>
          <w:lang w:val="en-US"/>
        </w:rPr>
      </w:pPr>
      <w:r w:rsidRPr="00F42E72">
        <w:rPr>
          <w:rFonts w:ascii="Times New Roman" w:hAnsi="Times New Roman" w:cs="Times New Roman"/>
          <w:b/>
          <w:lang w:val="en-US"/>
        </w:rPr>
        <w:lastRenderedPageBreak/>
        <w:t xml:space="preserve">Supplementary Table S4. </w:t>
      </w:r>
      <w:r w:rsidRPr="000B6B1A">
        <w:rPr>
          <w:rFonts w:ascii="Times New Roman" w:hAnsi="Times New Roman" w:cs="Times New Roman"/>
          <w:lang w:val="en-US"/>
        </w:rPr>
        <w:t>Parametric and non-parametric statistics on serum concentrations of cytokines, chemokines, and myokines.</w:t>
      </w:r>
    </w:p>
    <w:tbl>
      <w:tblPr>
        <w:tblStyle w:val="TableGrid"/>
        <w:tblW w:w="5665" w:type="dxa"/>
        <w:tblLook w:val="04A0" w:firstRow="1" w:lastRow="0" w:firstColumn="1" w:lastColumn="0" w:noHBand="0" w:noVBand="1"/>
      </w:tblPr>
      <w:tblGrid>
        <w:gridCol w:w="2119"/>
        <w:gridCol w:w="1176"/>
        <w:gridCol w:w="2370"/>
      </w:tblGrid>
      <w:tr w:rsidR="004F2365" w:rsidRPr="000B6B1A" w14:paraId="69F3F5DB" w14:textId="77777777" w:rsidTr="00A97B49">
        <w:trPr>
          <w:trHeight w:val="1626"/>
        </w:trPr>
        <w:tc>
          <w:tcPr>
            <w:tcW w:w="2119" w:type="dxa"/>
          </w:tcPr>
          <w:p w14:paraId="7B6880D4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proofErr w:type="spellStart"/>
            <w:r w:rsidRPr="000B6B1A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Analysis</w:t>
            </w:r>
            <w:r w:rsidRPr="000B6B1A">
              <w:rPr>
                <w:rFonts w:ascii="Times New Roman" w:hAnsi="Times New Roman" w:cs="Times New Roman"/>
                <w:sz w:val="22"/>
                <w:szCs w:val="24"/>
                <w:vertAlign w:val="superscript"/>
                <w:lang w:val="en-US"/>
              </w:rPr>
              <w:t>a</w:t>
            </w:r>
            <w:proofErr w:type="spellEnd"/>
          </w:p>
          <w:tbl>
            <w:tblPr>
              <w:tblW w:w="1733" w:type="dxa"/>
              <w:tblLook w:val="04A0" w:firstRow="1" w:lastRow="0" w:firstColumn="1" w:lastColumn="0" w:noHBand="0" w:noVBand="1"/>
            </w:tblPr>
            <w:tblGrid>
              <w:gridCol w:w="1733"/>
            </w:tblGrid>
            <w:tr w:rsidR="004F2365" w:rsidRPr="000B6B1A" w14:paraId="2C0C1C8B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34B49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BDNF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5C4195FD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FBF0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FGF21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0B8FA57A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3E83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Myostatin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4A8D1CAD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BEE99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Osteocrin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5673C073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2026C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Osteonectin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  <w:proofErr w:type="spellEnd"/>
                </w:p>
              </w:tc>
            </w:tr>
            <w:tr w:rsidR="004F2365" w:rsidRPr="000B6B1A" w14:paraId="044A439F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AE61A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ENA-78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b,c</w:t>
                  </w:r>
                </w:p>
              </w:tc>
            </w:tr>
            <w:tr w:rsidR="004F2365" w:rsidRPr="000B6B1A" w14:paraId="1435C44C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10EBE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Eotaxin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b,c</w:t>
                  </w:r>
                  <w:proofErr w:type="spellEnd"/>
                </w:p>
              </w:tc>
            </w:tr>
            <w:tr w:rsidR="004F2365" w:rsidRPr="000B6B1A" w14:paraId="54A93FB2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B85BD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G-</w:t>
                  </w: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CSF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435DD031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D66C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GRO-</w:t>
                  </w: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alpha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  <w:proofErr w:type="spellEnd"/>
                </w:p>
              </w:tc>
            </w:tr>
            <w:tr w:rsidR="004F2365" w:rsidRPr="000B6B1A" w14:paraId="472A8B90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8BC4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IFN-</w:t>
                  </w: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gamma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0F56A0AC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38E28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IL-1alpha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0D7621D8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5E9B3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IL-1beta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1321C0DB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D152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IL-10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6CFF9727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047C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IL-18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2D40346E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6B3E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IL-22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06F0F9A9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82A71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IL-23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b,c</w:t>
                  </w:r>
                </w:p>
              </w:tc>
            </w:tr>
            <w:tr w:rsidR="004F2365" w:rsidRPr="000B6B1A" w14:paraId="3EF94B0A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67C3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IL-27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007E6FF9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0836A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IL-28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760894DB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9A5DA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IL-4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33A614C7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3873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IL-5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66272FCE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7F60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IL-6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2DB23C49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61DEE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IL-9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3268E217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F7E9C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IP-10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</w:p>
              </w:tc>
            </w:tr>
            <w:tr w:rsidR="004F2365" w:rsidRPr="000B6B1A" w14:paraId="7CB7BB1E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667C4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LIF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d</w:t>
                  </w:r>
                  <w:proofErr w:type="spellEnd"/>
                </w:p>
              </w:tc>
            </w:tr>
            <w:tr w:rsidR="004F2365" w:rsidRPr="000B6B1A" w14:paraId="1E0FBEC8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9263E9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MCP-1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4F37806C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6D007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MCP-3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70C0472A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468DF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MIP-1beta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42AE1E4D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716B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MIP-2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</w:p>
              </w:tc>
            </w:tr>
            <w:tr w:rsidR="004F2365" w:rsidRPr="000B6B1A" w14:paraId="5AC0A04B" w14:textId="77777777" w:rsidTr="00A97B49">
              <w:trPr>
                <w:trHeight w:val="300"/>
              </w:trPr>
              <w:tc>
                <w:tcPr>
                  <w:tcW w:w="1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CD4AF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proofErr w:type="spellStart"/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RANTES</w:t>
                  </w: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vertAlign w:val="superscript"/>
                      <w:lang w:val="en-US"/>
                    </w:rPr>
                    <w:t>c</w:t>
                  </w:r>
                  <w:proofErr w:type="spellEnd"/>
                </w:p>
              </w:tc>
            </w:tr>
          </w:tbl>
          <w:p w14:paraId="2AD2458C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</w:p>
        </w:tc>
        <w:tc>
          <w:tcPr>
            <w:tcW w:w="1176" w:type="dxa"/>
          </w:tcPr>
          <w:p w14:paraId="5FC2DFB4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P-value</w:t>
            </w: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F2365" w:rsidRPr="000B6B1A" w14:paraId="52FBF62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CE00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0.34</w:t>
                  </w:r>
                </w:p>
              </w:tc>
            </w:tr>
            <w:tr w:rsidR="004F2365" w:rsidRPr="000B6B1A" w14:paraId="7E798D50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F7FE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0.30</w:t>
                  </w:r>
                </w:p>
              </w:tc>
            </w:tr>
            <w:tr w:rsidR="004F2365" w:rsidRPr="000B6B1A" w14:paraId="63FFDA8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F273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0.18</w:t>
                  </w:r>
                </w:p>
              </w:tc>
            </w:tr>
            <w:tr w:rsidR="004F2365" w:rsidRPr="000B6B1A" w14:paraId="612C45F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EF7F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0.0029</w:t>
                  </w:r>
                </w:p>
              </w:tc>
            </w:tr>
            <w:tr w:rsidR="004F2365" w:rsidRPr="000B6B1A" w14:paraId="481A4880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47F7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0.53</w:t>
                  </w:r>
                </w:p>
              </w:tc>
            </w:tr>
            <w:tr w:rsidR="004F2365" w:rsidRPr="000B6B1A" w14:paraId="746C379E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C3BB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0.39</w:t>
                  </w:r>
                </w:p>
              </w:tc>
            </w:tr>
            <w:tr w:rsidR="004F2365" w:rsidRPr="000B6B1A" w14:paraId="3DC2C432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E9B8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0.18</w:t>
                  </w:r>
                </w:p>
              </w:tc>
            </w:tr>
            <w:tr w:rsidR="004F2365" w:rsidRPr="000B6B1A" w14:paraId="7A579D16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D86C1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0.67</w:t>
                  </w:r>
                </w:p>
              </w:tc>
            </w:tr>
            <w:tr w:rsidR="004F2365" w:rsidRPr="000B6B1A" w14:paraId="3926D180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324251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0.20</w:t>
                  </w:r>
                </w:p>
              </w:tc>
            </w:tr>
            <w:tr w:rsidR="004F2365" w:rsidRPr="000B6B1A" w14:paraId="2F156C5F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FFE8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0.38</w:t>
                  </w:r>
                </w:p>
              </w:tc>
            </w:tr>
            <w:tr w:rsidR="004F2365" w:rsidRPr="000B6B1A" w14:paraId="5478873D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EB49B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0.33</w:t>
                  </w:r>
                </w:p>
              </w:tc>
            </w:tr>
            <w:tr w:rsidR="004F2365" w:rsidRPr="000B6B1A" w14:paraId="3F02200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9161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0.35</w:t>
                  </w:r>
                </w:p>
              </w:tc>
            </w:tr>
            <w:tr w:rsidR="004F2365" w:rsidRPr="000B6B1A" w14:paraId="7BED3C15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9400B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0.16</w:t>
                  </w:r>
                </w:p>
              </w:tc>
            </w:tr>
            <w:tr w:rsidR="004F2365" w:rsidRPr="000B6B1A" w14:paraId="099D06C9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6E14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0.40</w:t>
                  </w:r>
                </w:p>
              </w:tc>
            </w:tr>
            <w:tr w:rsidR="004F2365" w:rsidRPr="000B6B1A" w14:paraId="4918F3BB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A0404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0.24</w:t>
                  </w:r>
                </w:p>
              </w:tc>
            </w:tr>
            <w:tr w:rsidR="004F2365" w:rsidRPr="000B6B1A" w14:paraId="26C22F9D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B247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0.98</w:t>
                  </w:r>
                </w:p>
              </w:tc>
            </w:tr>
            <w:tr w:rsidR="004F2365" w:rsidRPr="000B6B1A" w14:paraId="35E3F72F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959BA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0.36</w:t>
                  </w:r>
                </w:p>
              </w:tc>
            </w:tr>
            <w:tr w:rsidR="004F2365" w:rsidRPr="000B6B1A" w14:paraId="489A3F36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E8BEA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0.69</w:t>
                  </w:r>
                </w:p>
              </w:tc>
            </w:tr>
            <w:tr w:rsidR="004F2365" w:rsidRPr="000B6B1A" w14:paraId="729C8176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7E517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0.10</w:t>
                  </w:r>
                </w:p>
              </w:tc>
            </w:tr>
            <w:tr w:rsidR="004F2365" w:rsidRPr="000B6B1A" w14:paraId="4B1C56F9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F917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0.16</w:t>
                  </w:r>
                </w:p>
              </w:tc>
            </w:tr>
            <w:tr w:rsidR="004F2365" w:rsidRPr="000B6B1A" w14:paraId="7FCEE04F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1791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0.22</w:t>
                  </w:r>
                </w:p>
              </w:tc>
            </w:tr>
            <w:tr w:rsidR="004F2365" w:rsidRPr="000B6B1A" w14:paraId="5759D29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80340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0.74</w:t>
                  </w:r>
                </w:p>
              </w:tc>
            </w:tr>
            <w:tr w:rsidR="004F2365" w:rsidRPr="000B6B1A" w14:paraId="3EEA484C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05B4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0.32</w:t>
                  </w:r>
                </w:p>
              </w:tc>
            </w:tr>
            <w:tr w:rsidR="004F2365" w:rsidRPr="000B6B1A" w14:paraId="21D555C9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46A78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0.11</w:t>
                  </w:r>
                </w:p>
              </w:tc>
            </w:tr>
            <w:tr w:rsidR="004F2365" w:rsidRPr="000B6B1A" w14:paraId="54A70C6E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8D1D8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0.04</w:t>
                  </w:r>
                </w:p>
              </w:tc>
            </w:tr>
            <w:tr w:rsidR="004F2365" w:rsidRPr="000B6B1A" w14:paraId="113BD73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4C44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0.01</w:t>
                  </w:r>
                </w:p>
              </w:tc>
            </w:tr>
            <w:tr w:rsidR="004F2365" w:rsidRPr="000B6B1A" w14:paraId="1D953EB1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BAAD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0.08</w:t>
                  </w:r>
                </w:p>
              </w:tc>
            </w:tr>
            <w:tr w:rsidR="004F2365" w:rsidRPr="000B6B1A" w14:paraId="7597A9AD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92BE3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0.90</w:t>
                  </w:r>
                </w:p>
              </w:tc>
            </w:tr>
            <w:tr w:rsidR="004F2365" w:rsidRPr="000B6B1A" w14:paraId="23A0E9C5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55B6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0.32</w:t>
                  </w:r>
                </w:p>
              </w:tc>
            </w:tr>
          </w:tbl>
          <w:p w14:paraId="6F34F27F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</w:p>
        </w:tc>
        <w:tc>
          <w:tcPr>
            <w:tcW w:w="2370" w:type="dxa"/>
          </w:tcPr>
          <w:p w14:paraId="5D47DA5C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  <w:r w:rsidRPr="000B6B1A">
              <w:rPr>
                <w:rFonts w:ascii="Times New Roman" w:hAnsi="Times New Roman" w:cs="Times New Roman"/>
                <w:sz w:val="22"/>
                <w:szCs w:val="24"/>
                <w:lang w:val="en-US"/>
              </w:rPr>
              <w:t>FDR-adjusted p-value</w:t>
            </w:r>
          </w:p>
          <w:tbl>
            <w:tblPr>
              <w:tblW w:w="960" w:type="dxa"/>
              <w:tblLook w:val="04A0" w:firstRow="1" w:lastRow="0" w:firstColumn="1" w:lastColumn="0" w:noHBand="0" w:noVBand="1"/>
            </w:tblPr>
            <w:tblGrid>
              <w:gridCol w:w="960"/>
            </w:tblGrid>
            <w:tr w:rsidR="004F2365" w:rsidRPr="000B6B1A" w14:paraId="5B23910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90EEB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0.55</w:t>
                  </w:r>
                </w:p>
              </w:tc>
            </w:tr>
            <w:tr w:rsidR="004F2365" w:rsidRPr="000B6B1A" w14:paraId="133142D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80184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0.62</w:t>
                  </w:r>
                </w:p>
              </w:tc>
            </w:tr>
            <w:tr w:rsidR="004F2365" w:rsidRPr="000B6B1A" w14:paraId="66697438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E68D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0.58</w:t>
                  </w:r>
                </w:p>
              </w:tc>
            </w:tr>
            <w:tr w:rsidR="004F2365" w:rsidRPr="000B6B1A" w14:paraId="6CF302C1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C804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0.084</w:t>
                  </w:r>
                </w:p>
              </w:tc>
            </w:tr>
            <w:tr w:rsidR="004F2365" w:rsidRPr="000B6B1A" w14:paraId="2282D01B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D9ED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0.64</w:t>
                  </w:r>
                </w:p>
              </w:tc>
            </w:tr>
            <w:tr w:rsidR="004F2365" w:rsidRPr="000B6B1A" w14:paraId="4E0AD8CC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767247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0.51</w:t>
                  </w:r>
                </w:p>
              </w:tc>
            </w:tr>
            <w:tr w:rsidR="004F2365" w:rsidRPr="000B6B1A" w14:paraId="5ACF1EB7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BDD2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0.52</w:t>
                  </w:r>
                </w:p>
              </w:tc>
            </w:tr>
            <w:tr w:rsidR="004F2365" w:rsidRPr="000B6B1A" w14:paraId="0F4704E6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A499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0.78</w:t>
                  </w:r>
                </w:p>
              </w:tc>
            </w:tr>
            <w:tr w:rsidR="004F2365" w:rsidRPr="000B6B1A" w14:paraId="6434A87B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939E8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0.53</w:t>
                  </w:r>
                </w:p>
              </w:tc>
            </w:tr>
            <w:tr w:rsidR="004F2365" w:rsidRPr="000B6B1A" w14:paraId="03CF6557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06CEB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0.52</w:t>
                  </w:r>
                </w:p>
              </w:tc>
            </w:tr>
            <w:tr w:rsidR="004F2365" w:rsidRPr="000B6B1A" w14:paraId="3D743B11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F78A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0.56</w:t>
                  </w:r>
                </w:p>
              </w:tc>
            </w:tr>
            <w:tr w:rsidR="004F2365" w:rsidRPr="000B6B1A" w14:paraId="4CB1F69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ACEF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0.53</w:t>
                  </w:r>
                </w:p>
              </w:tc>
            </w:tr>
            <w:tr w:rsidR="004F2365" w:rsidRPr="000B6B1A" w14:paraId="6EF52440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E3FDE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0.66</w:t>
                  </w:r>
                </w:p>
              </w:tc>
            </w:tr>
            <w:tr w:rsidR="004F2365" w:rsidRPr="000B6B1A" w14:paraId="432EEE70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7CAE1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0.50</w:t>
                  </w:r>
                </w:p>
              </w:tc>
            </w:tr>
            <w:tr w:rsidR="004F2365" w:rsidRPr="000B6B1A" w14:paraId="5026FFBE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E08D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0.54</w:t>
                  </w:r>
                </w:p>
              </w:tc>
            </w:tr>
            <w:tr w:rsidR="004F2365" w:rsidRPr="000B6B1A" w14:paraId="17C793BB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E06CD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0.98</w:t>
                  </w:r>
                </w:p>
              </w:tc>
            </w:tr>
            <w:tr w:rsidR="004F2365" w:rsidRPr="000B6B1A" w14:paraId="38AD95BF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B3BA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0.52</w:t>
                  </w:r>
                </w:p>
              </w:tc>
            </w:tr>
            <w:tr w:rsidR="004F2365" w:rsidRPr="000B6B1A" w14:paraId="7164EBE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68CD0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0.77</w:t>
                  </w:r>
                </w:p>
              </w:tc>
            </w:tr>
            <w:tr w:rsidR="004F2365" w:rsidRPr="000B6B1A" w14:paraId="55D05A62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A6C0F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0.58</w:t>
                  </w:r>
                </w:p>
              </w:tc>
            </w:tr>
            <w:tr w:rsidR="004F2365" w:rsidRPr="000B6B1A" w14:paraId="6449468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2840C3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0.58</w:t>
                  </w:r>
                </w:p>
              </w:tc>
            </w:tr>
            <w:tr w:rsidR="004F2365" w:rsidRPr="000B6B1A" w14:paraId="02B3EB35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403D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0.53</w:t>
                  </w:r>
                </w:p>
              </w:tc>
            </w:tr>
            <w:tr w:rsidR="004F2365" w:rsidRPr="000B6B1A" w14:paraId="4B6C86FA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53082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0.79</w:t>
                  </w:r>
                </w:p>
              </w:tc>
            </w:tr>
            <w:tr w:rsidR="004F2365" w:rsidRPr="000B6B1A" w14:paraId="46E05A83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30841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0.62</w:t>
                  </w:r>
                </w:p>
              </w:tc>
            </w:tr>
            <w:tr w:rsidR="004F2365" w:rsidRPr="000B6B1A" w14:paraId="382356DB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D3692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0.53</w:t>
                  </w:r>
                </w:p>
              </w:tc>
            </w:tr>
            <w:tr w:rsidR="004F2365" w:rsidRPr="000B6B1A" w14:paraId="15A5477D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7E4E7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0.39</w:t>
                  </w:r>
                </w:p>
              </w:tc>
            </w:tr>
            <w:tr w:rsidR="004F2365" w:rsidRPr="000B6B1A" w14:paraId="1F9BAE6E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44A8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0.15</w:t>
                  </w:r>
                </w:p>
              </w:tc>
            </w:tr>
            <w:tr w:rsidR="004F2365" w:rsidRPr="000B6B1A" w14:paraId="5D324D8C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F6AD5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0.58</w:t>
                  </w:r>
                </w:p>
              </w:tc>
            </w:tr>
            <w:tr w:rsidR="004F2365" w:rsidRPr="000B6B1A" w14:paraId="41E8C3A4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5E616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0.93</w:t>
                  </w:r>
                </w:p>
              </w:tc>
            </w:tr>
            <w:tr w:rsidR="004F2365" w:rsidRPr="000B6B1A" w14:paraId="1B4806C9" w14:textId="77777777" w:rsidTr="00A97B49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648EA" w14:textId="77777777" w:rsidR="004F2365" w:rsidRPr="000B6B1A" w:rsidRDefault="004F2365" w:rsidP="00A97B49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</w:pPr>
                  <w:r w:rsidRPr="000B6B1A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4"/>
                      <w:lang w:val="en-US"/>
                    </w:rPr>
                    <w:t>0.58</w:t>
                  </w:r>
                </w:p>
              </w:tc>
            </w:tr>
          </w:tbl>
          <w:p w14:paraId="35391554" w14:textId="77777777" w:rsidR="004F2365" w:rsidRPr="000B6B1A" w:rsidRDefault="004F2365" w:rsidP="00A97B49">
            <w:pPr>
              <w:spacing w:after="0"/>
              <w:contextualSpacing/>
              <w:rPr>
                <w:rFonts w:ascii="Times New Roman" w:hAnsi="Times New Roman" w:cs="Times New Roman"/>
                <w:sz w:val="22"/>
                <w:szCs w:val="24"/>
                <w:lang w:val="en-US"/>
              </w:rPr>
            </w:pPr>
          </w:p>
        </w:tc>
      </w:tr>
    </w:tbl>
    <w:p w14:paraId="4F2BB131" w14:textId="77777777" w:rsidR="00FF2F9F" w:rsidRPr="004F2365" w:rsidRDefault="004F2365">
      <w:pPr>
        <w:rPr>
          <w:rFonts w:ascii="Times New Roman" w:hAnsi="Times New Roman" w:cs="Times New Roman"/>
          <w:lang w:val="en-US"/>
        </w:rPr>
      </w:pPr>
      <w:r w:rsidRPr="000B6B1A">
        <w:rPr>
          <w:rFonts w:ascii="Times New Roman" w:hAnsi="Times New Roman" w:cs="Times New Roman"/>
          <w:vertAlign w:val="superscript"/>
          <w:lang w:val="en-US"/>
        </w:rPr>
        <w:t xml:space="preserve">a </w:t>
      </w:r>
      <w:r w:rsidRPr="000B6B1A">
        <w:rPr>
          <w:rFonts w:ascii="Times New Roman" w:hAnsi="Times New Roman" w:cs="Times New Roman"/>
          <w:szCs w:val="24"/>
          <w:lang w:val="en-US"/>
        </w:rPr>
        <w:t>See Fig 5.</w:t>
      </w:r>
      <w:r>
        <w:rPr>
          <w:rFonts w:ascii="Times New Roman" w:hAnsi="Times New Roman" w:cs="Times New Roman"/>
          <w:lang w:val="en-US"/>
        </w:rPr>
        <w:br/>
      </w:r>
      <w:r w:rsidRPr="000B6B1A">
        <w:rPr>
          <w:rFonts w:ascii="Times New Roman" w:hAnsi="Times New Roman" w:cs="Times New Roman"/>
          <w:vertAlign w:val="superscript"/>
          <w:lang w:val="en-US"/>
        </w:rPr>
        <w:t xml:space="preserve">b </w:t>
      </w:r>
      <w:bookmarkStart w:id="5" w:name="OLE_LINK34"/>
      <w:bookmarkStart w:id="6" w:name="OLE_LINK67"/>
      <w:r w:rsidRPr="000B6B1A">
        <w:rPr>
          <w:rFonts w:ascii="Times New Roman" w:hAnsi="Times New Roman" w:cs="Times New Roman"/>
          <w:lang w:val="en-US"/>
        </w:rPr>
        <w:t>Log transformed data.</w:t>
      </w:r>
      <w:r>
        <w:rPr>
          <w:rFonts w:ascii="Times New Roman" w:hAnsi="Times New Roman" w:cs="Times New Roman"/>
          <w:vertAlign w:val="superscript"/>
          <w:lang w:val="en-US"/>
        </w:rPr>
        <w:br/>
      </w:r>
      <w:r w:rsidRPr="000B6B1A">
        <w:rPr>
          <w:rFonts w:ascii="Times New Roman" w:hAnsi="Times New Roman" w:cs="Times New Roman"/>
          <w:vertAlign w:val="superscript"/>
          <w:lang w:val="en-US"/>
        </w:rPr>
        <w:t>c</w:t>
      </w:r>
      <w:r w:rsidRPr="000B6B1A">
        <w:rPr>
          <w:rFonts w:ascii="Times New Roman" w:hAnsi="Times New Roman" w:cs="Times New Roman"/>
          <w:lang w:val="en-US"/>
        </w:rPr>
        <w:t xml:space="preserve"> </w:t>
      </w:r>
      <w:bookmarkEnd w:id="5"/>
      <w:bookmarkEnd w:id="6"/>
      <w:r w:rsidRPr="000B6B1A">
        <w:rPr>
          <w:rFonts w:ascii="Times New Roman" w:hAnsi="Times New Roman" w:cs="Times New Roman"/>
          <w:lang w:val="en-US"/>
        </w:rPr>
        <w:t>t-test, n=7-10.</w:t>
      </w:r>
      <w:r>
        <w:rPr>
          <w:rFonts w:ascii="Times New Roman" w:hAnsi="Times New Roman" w:cs="Times New Roman"/>
          <w:lang w:val="en-US"/>
        </w:rPr>
        <w:br/>
      </w:r>
      <w:r w:rsidRPr="000B6B1A">
        <w:rPr>
          <w:rFonts w:ascii="Times New Roman" w:hAnsi="Times New Roman" w:cs="Times New Roman"/>
          <w:vertAlign w:val="superscript"/>
          <w:lang w:val="en-US"/>
        </w:rPr>
        <w:t>d</w:t>
      </w:r>
      <w:r w:rsidRPr="000B6B1A">
        <w:rPr>
          <w:rFonts w:ascii="Times New Roman" w:hAnsi="Times New Roman" w:cs="Times New Roman"/>
          <w:lang w:val="en-US"/>
        </w:rPr>
        <w:t xml:space="preserve"> Mann-Whitney, n=7-10.</w:t>
      </w:r>
    </w:p>
    <w:sectPr w:rsidR="00FF2F9F" w:rsidRPr="004F2365" w:rsidSect="00B75C03">
      <w:footerReference w:type="default" r:id="rId6"/>
      <w:pgSz w:w="11906" w:h="16838"/>
      <w:pgMar w:top="1417" w:right="1417" w:bottom="1417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258EE" w14:textId="77777777" w:rsidR="003F71D5" w:rsidRDefault="003F71D5">
      <w:pPr>
        <w:spacing w:after="0" w:line="240" w:lineRule="auto"/>
      </w:pPr>
      <w:r>
        <w:separator/>
      </w:r>
    </w:p>
  </w:endnote>
  <w:endnote w:type="continuationSeparator" w:id="0">
    <w:p w14:paraId="55FD448B" w14:textId="77777777" w:rsidR="003F71D5" w:rsidRDefault="003F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0632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A33C69" w14:textId="77777777" w:rsidR="00942C38" w:rsidRDefault="004F23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3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514F40" w14:textId="77777777" w:rsidR="00942C38" w:rsidRDefault="003F7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51643" w14:textId="77777777" w:rsidR="003F71D5" w:rsidRDefault="003F71D5">
      <w:pPr>
        <w:spacing w:after="0" w:line="240" w:lineRule="auto"/>
      </w:pPr>
      <w:r>
        <w:separator/>
      </w:r>
    </w:p>
  </w:footnote>
  <w:footnote w:type="continuationSeparator" w:id="0">
    <w:p w14:paraId="470B4ED5" w14:textId="77777777" w:rsidR="003F71D5" w:rsidRDefault="003F7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5"/>
    <w:rsid w:val="003139E9"/>
    <w:rsid w:val="003F1706"/>
    <w:rsid w:val="003F71D5"/>
    <w:rsid w:val="004250BE"/>
    <w:rsid w:val="004540D2"/>
    <w:rsid w:val="004E213C"/>
    <w:rsid w:val="004F2365"/>
    <w:rsid w:val="007602BB"/>
    <w:rsid w:val="007D28EF"/>
    <w:rsid w:val="00B7034E"/>
    <w:rsid w:val="00B7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49F5F30"/>
  <w15:chartTrackingRefBased/>
  <w15:docId w15:val="{86229482-3034-4C4A-9388-5266725F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65"/>
    <w:pPr>
      <w:spacing w:after="200" w:line="360" w:lineRule="auto"/>
    </w:pPr>
    <w:rPr>
      <w:rFonts w:ascii="Times" w:hAnsi="Times"/>
      <w:sz w:val="24"/>
    </w:rPr>
  </w:style>
  <w:style w:type="paragraph" w:styleId="Heading1">
    <w:name w:val="heading 1"/>
    <w:basedOn w:val="Normal"/>
    <w:link w:val="Heading1Char"/>
    <w:uiPriority w:val="9"/>
    <w:qFormat/>
    <w:rsid w:val="004F23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36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BookTitle">
    <w:name w:val="Book Title"/>
    <w:uiPriority w:val="33"/>
    <w:qFormat/>
    <w:rsid w:val="004F2365"/>
  </w:style>
  <w:style w:type="table" w:styleId="TableGrid">
    <w:name w:val="Table Grid"/>
    <w:basedOn w:val="TableNormal"/>
    <w:uiPriority w:val="39"/>
    <w:rsid w:val="004F2365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F2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65"/>
    <w:rPr>
      <w:rFonts w:ascii="Times" w:hAnsi="Times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3139E9"/>
  </w:style>
  <w:style w:type="paragraph" w:styleId="BalloonText">
    <w:name w:val="Balloon Text"/>
    <w:basedOn w:val="Normal"/>
    <w:link w:val="BalloonTextChar"/>
    <w:uiPriority w:val="99"/>
    <w:semiHidden/>
    <w:unhideWhenUsed/>
    <w:rsid w:val="00B75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C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7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C03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Karlsson</dc:creator>
  <cp:keywords/>
  <dc:description/>
  <cp:lastModifiedBy>Lars Karlsson</cp:lastModifiedBy>
  <cp:revision>2</cp:revision>
  <dcterms:created xsi:type="dcterms:W3CDTF">2019-07-10T19:21:00Z</dcterms:created>
  <dcterms:modified xsi:type="dcterms:W3CDTF">2019-07-10T19:21:00Z</dcterms:modified>
</cp:coreProperties>
</file>