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2E6" w:rsidRPr="009812E6" w:rsidRDefault="009812E6" w:rsidP="00981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2E6">
        <w:rPr>
          <w:rFonts w:ascii="Times New Roman" w:hAnsi="Times New Roman" w:cs="Times New Roman"/>
          <w:b/>
          <w:bCs/>
          <w:sz w:val="24"/>
          <w:szCs w:val="24"/>
        </w:rPr>
        <w:t>Cell-free nuclear, but not mitochondrial, DNA concentrations correlate with the early host inflammatory response after severe trauma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Julie A.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Stortz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>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>; Russell B. Hawkins,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>; David C. Holden, PhD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>; Steven L. Raymond,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Zhongkai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 Wang, MS</w:t>
      </w:r>
      <w:r w:rsidRPr="009812E6">
        <w:rPr>
          <w:rFonts w:ascii="Tahoma" w:eastAsia="Times New Roman" w:hAnsi="Tahoma" w:cs="Tahoma"/>
          <w:sz w:val="24"/>
          <w:szCs w:val="24"/>
          <w:vertAlign w:val="superscript"/>
        </w:rPr>
        <w:t>2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; Scott C.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Brakenridge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>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; Joseph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Cuschieri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>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>; Frederick A. Moore,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>; Ronald V. Maier,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; Lyle L.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Moldawer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>, PhD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9812E6">
        <w:rPr>
          <w:rFonts w:ascii="Times New Roman" w:eastAsia="Times New Roman" w:hAnsi="Times New Roman" w:cs="Times New Roman"/>
          <w:sz w:val="24"/>
          <w:szCs w:val="24"/>
        </w:rPr>
        <w:t xml:space="preserve">; and Philip A. </w:t>
      </w:r>
      <w:proofErr w:type="spellStart"/>
      <w:r w:rsidRPr="009812E6">
        <w:rPr>
          <w:rFonts w:ascii="Times New Roman" w:eastAsia="Times New Roman" w:hAnsi="Times New Roman" w:cs="Times New Roman"/>
          <w:sz w:val="24"/>
          <w:szCs w:val="24"/>
        </w:rPr>
        <w:t>Efron</w:t>
      </w:r>
      <w:proofErr w:type="spellEnd"/>
      <w:r w:rsidRPr="009812E6">
        <w:rPr>
          <w:rFonts w:ascii="Times New Roman" w:eastAsia="Times New Roman" w:hAnsi="Times New Roman" w:cs="Times New Roman"/>
          <w:sz w:val="24"/>
          <w:szCs w:val="24"/>
        </w:rPr>
        <w:t>, MD</w:t>
      </w:r>
      <w:r w:rsidRPr="009812E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12E6">
        <w:rPr>
          <w:rFonts w:ascii="Times New Roman" w:eastAsia="Times New Roman" w:hAnsi="Times New Roman" w:cs="Times New Roman"/>
          <w:b/>
          <w:sz w:val="24"/>
          <w:szCs w:val="24"/>
        </w:rPr>
        <w:t>Author Affiliations: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812E6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1</w:t>
      </w:r>
      <w:r w:rsidRPr="009812E6">
        <w:rPr>
          <w:rFonts w:ascii="Times New Roman" w:eastAsia="Times New Roman" w:hAnsi="Times New Roman" w:cs="Times New Roman"/>
          <w:i/>
          <w:sz w:val="24"/>
          <w:szCs w:val="24"/>
        </w:rPr>
        <w:t>Department of Surgery, U</w:t>
      </w:r>
      <w:bookmarkStart w:id="0" w:name="_GoBack"/>
      <w:bookmarkEnd w:id="0"/>
      <w:r w:rsidRPr="009812E6">
        <w:rPr>
          <w:rFonts w:ascii="Times New Roman" w:eastAsia="Times New Roman" w:hAnsi="Times New Roman" w:cs="Times New Roman"/>
          <w:i/>
          <w:sz w:val="24"/>
          <w:szCs w:val="24"/>
        </w:rPr>
        <w:t>niversity of Florida College of Medicine, Gainesville, FL 32610, USA.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812E6">
        <w:rPr>
          <w:rFonts w:ascii="Tahoma" w:eastAsia="Times New Roman" w:hAnsi="Tahoma" w:cs="Tahoma"/>
          <w:i/>
          <w:sz w:val="24"/>
          <w:szCs w:val="24"/>
          <w:vertAlign w:val="superscript"/>
        </w:rPr>
        <w:t>2</w:t>
      </w:r>
      <w:r w:rsidRPr="009812E6">
        <w:rPr>
          <w:rFonts w:ascii="Times New Roman" w:eastAsia="Times New Roman" w:hAnsi="Times New Roman" w:cs="Times New Roman"/>
          <w:i/>
          <w:sz w:val="24"/>
          <w:szCs w:val="24"/>
        </w:rPr>
        <w:t>Department of Biostatistics, University of Florida College of Medicine, Gainesville, FL 32610, USA.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812E6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3</w:t>
      </w:r>
      <w:r w:rsidRPr="009812E6">
        <w:rPr>
          <w:rFonts w:ascii="Times New Roman" w:eastAsia="Times New Roman" w:hAnsi="Times New Roman" w:cs="Times New Roman"/>
          <w:i/>
          <w:sz w:val="24"/>
          <w:szCs w:val="24"/>
        </w:rPr>
        <w:t xml:space="preserve">Department of Surgery, University of Washington School of Medicine, Seattle, WA 98104, USA. </w:t>
      </w: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12E6" w:rsidRPr="009812E6" w:rsidRDefault="009812E6" w:rsidP="00981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12E6">
        <w:rPr>
          <w:rFonts w:ascii="Times New Roman" w:eastAsia="Times New Roman" w:hAnsi="Times New Roman" w:cs="Times New Roman"/>
          <w:sz w:val="24"/>
          <w:szCs w:val="24"/>
        </w:rPr>
        <w:t>*Authors contributed equally.</w:t>
      </w:r>
    </w:p>
    <w:p w:rsidR="009812E6" w:rsidRDefault="009812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</w:rPr>
        <w:br w:type="page"/>
      </w:r>
    </w:p>
    <w:p w:rsidR="009812E6" w:rsidRDefault="009812E6" w:rsidP="00222C6C">
      <w:pPr>
        <w:pStyle w:val="SOMContent"/>
        <w:spacing w:before="100" w:beforeAutospacing="1" w:after="100" w:afterAutospacing="1"/>
        <w:rPr>
          <w:b/>
        </w:rPr>
        <w:sectPr w:rsidR="009812E6" w:rsidSect="009812E6">
          <w:pgSz w:w="12240" w:h="15840"/>
          <w:pgMar w:top="1440" w:right="1440" w:bottom="1440" w:left="1440" w:header="432" w:footer="720" w:gutter="0"/>
          <w:cols w:space="720"/>
          <w:titlePg/>
          <w:docGrid w:linePitch="360"/>
        </w:sectPr>
      </w:pPr>
    </w:p>
    <w:p w:rsidR="00222C6C" w:rsidRPr="00B26574" w:rsidRDefault="00222C6C" w:rsidP="00222C6C">
      <w:pPr>
        <w:pStyle w:val="SOMContent"/>
        <w:spacing w:before="100" w:beforeAutospacing="1" w:after="100" w:afterAutospacing="1"/>
        <w:rPr>
          <w:b/>
        </w:rPr>
      </w:pPr>
      <w:r>
        <w:rPr>
          <w:b/>
        </w:rPr>
        <w:lastRenderedPageBreak/>
        <w:t>Supplementary Table 1</w:t>
      </w:r>
      <w:r w:rsidRPr="00B26574">
        <w:rPr>
          <w:b/>
        </w:rPr>
        <w:t xml:space="preserve">.  Primers Utilized to Study Circulating </w:t>
      </w:r>
      <w:proofErr w:type="spellStart"/>
      <w:r w:rsidRPr="00B26574">
        <w:rPr>
          <w:b/>
        </w:rPr>
        <w:t>DNA</w:t>
      </w:r>
      <w:r w:rsidRPr="00B26574">
        <w:rPr>
          <w:vertAlign w:val="superscript"/>
        </w:rPr>
        <w:t>a</w:t>
      </w:r>
      <w:proofErr w:type="spellEnd"/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710"/>
        <w:gridCol w:w="1800"/>
        <w:gridCol w:w="900"/>
        <w:gridCol w:w="810"/>
        <w:gridCol w:w="810"/>
        <w:gridCol w:w="810"/>
        <w:gridCol w:w="720"/>
        <w:gridCol w:w="1980"/>
        <w:gridCol w:w="1890"/>
        <w:gridCol w:w="72"/>
      </w:tblGrid>
      <w:tr w:rsidR="00222C6C" w:rsidRPr="00B26574" w:rsidTr="006D5C71">
        <w:trPr>
          <w:trHeight w:val="527"/>
        </w:trPr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Sequence 5’</w:t>
            </w: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Wingdings" w:char="F0E0"/>
            </w: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3’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Template Strand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Length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Start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Stop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GC%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Self Complementarity</w:t>
            </w:r>
            <w:proofErr w:type="spellEnd"/>
          </w:p>
        </w:tc>
        <w:tc>
          <w:tcPr>
            <w:tcW w:w="1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Self 3</w:t>
            </w:r>
            <w:proofErr w:type="spellEnd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’ Complementarity</w:t>
            </w:r>
          </w:p>
        </w:tc>
      </w:tr>
      <w:tr w:rsidR="00222C6C" w:rsidRPr="00B26574" w:rsidTr="006D5C71">
        <w:trPr>
          <w:gridAfter w:val="1"/>
          <w:wAfter w:w="72" w:type="dxa"/>
          <w:trHeight w:val="717"/>
        </w:trPr>
        <w:tc>
          <w:tcPr>
            <w:tcW w:w="18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Human Rhodopsin Forward Primer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CCTTCTCCAATGCGACGGGT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Plus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62.52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222C6C" w:rsidRPr="00B26574" w:rsidTr="006D5C71">
        <w:trPr>
          <w:gridAfter w:val="1"/>
          <w:wAfter w:w="72" w:type="dxa"/>
          <w:trHeight w:val="717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Human Rhodopsin Reverse Primer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GGTGCTGGTGAAGCCACCTAG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Minus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556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62.99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61.90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</w:tr>
      <w:tr w:rsidR="00222C6C" w:rsidRPr="00B26574" w:rsidTr="006D5C71">
        <w:trPr>
          <w:gridAfter w:val="1"/>
          <w:wAfter w:w="72" w:type="dxa"/>
          <w:trHeight w:val="175"/>
        </w:trPr>
        <w:tc>
          <w:tcPr>
            <w:tcW w:w="132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*Rhodopsin product length: 248 base pairs</w:t>
            </w:r>
          </w:p>
        </w:tc>
      </w:tr>
      <w:tr w:rsidR="00222C6C" w:rsidRPr="00B26574" w:rsidTr="006D5C71">
        <w:trPr>
          <w:gridAfter w:val="1"/>
          <w:wAfter w:w="72" w:type="dxa"/>
          <w:trHeight w:val="175"/>
        </w:trPr>
        <w:tc>
          <w:tcPr>
            <w:tcW w:w="132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C6C" w:rsidRPr="00B26574" w:rsidTr="006D5C71">
        <w:trPr>
          <w:gridAfter w:val="1"/>
          <w:wAfter w:w="72" w:type="dxa"/>
          <w:trHeight w:val="1068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Mitochondrial Cytochrome C Subunit III Forward Primer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ATGACCCACCAATCACATGC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Plus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9207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9226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58.52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222C6C" w:rsidRPr="00B26574" w:rsidTr="006D5C71">
        <w:trPr>
          <w:gridAfter w:val="1"/>
          <w:wAfter w:w="72" w:type="dxa"/>
          <w:trHeight w:val="1068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Mitochondrial Cytochrome C Subunit III Reverse Primer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ATCACATGGCTAGGCCGGAG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Minus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9309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9290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61.76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222C6C" w:rsidRPr="00B26574" w:rsidTr="006D5C71">
        <w:trPr>
          <w:gridAfter w:val="1"/>
          <w:wAfter w:w="72" w:type="dxa"/>
          <w:trHeight w:val="175"/>
        </w:trPr>
        <w:tc>
          <w:tcPr>
            <w:tcW w:w="132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*Mitochondrial cytochrome C subunit III product length: 103 base pairs</w:t>
            </w:r>
          </w:p>
        </w:tc>
      </w:tr>
    </w:tbl>
    <w:p w:rsidR="00222C6C" w:rsidRPr="00B26574" w:rsidRDefault="00222C6C" w:rsidP="00222C6C">
      <w:pPr>
        <w:pStyle w:val="SOMContent"/>
        <w:spacing w:before="100" w:beforeAutospacing="1" w:after="100" w:afterAutospacing="1"/>
      </w:pPr>
      <w:proofErr w:type="gramStart"/>
      <w:r w:rsidRPr="00B26574">
        <w:rPr>
          <w:vertAlign w:val="superscript"/>
        </w:rPr>
        <w:t>a</w:t>
      </w:r>
      <w:proofErr w:type="gramEnd"/>
      <w:r w:rsidRPr="00B26574">
        <w:rPr>
          <w:vertAlign w:val="superscript"/>
        </w:rPr>
        <w:t xml:space="preserve"> </w:t>
      </w:r>
      <w:r w:rsidRPr="00B26574">
        <w:t>Primers were designed to measure circulating human rhodopsin (</w:t>
      </w:r>
      <w:proofErr w:type="spellStart"/>
      <w:r w:rsidRPr="00B26574">
        <w:t>ncDNA</w:t>
      </w:r>
      <w:proofErr w:type="spellEnd"/>
      <w:r w:rsidRPr="00B26574">
        <w:t>) and mitochondrial cytochrome C subunit III (</w:t>
      </w:r>
      <w:proofErr w:type="spellStart"/>
      <w:r w:rsidRPr="00B26574">
        <w:t>mtDNA</w:t>
      </w:r>
      <w:proofErr w:type="spellEnd"/>
      <w:r w:rsidRPr="00B26574">
        <w:t xml:space="preserve">). </w:t>
      </w:r>
    </w:p>
    <w:p w:rsidR="00222C6C" w:rsidRPr="00B26574" w:rsidRDefault="00222C6C" w:rsidP="00222C6C">
      <w:pPr>
        <w:pStyle w:val="SOMContent"/>
        <w:spacing w:before="100" w:beforeAutospacing="1" w:after="100" w:afterAutospacing="1"/>
      </w:pPr>
    </w:p>
    <w:p w:rsidR="00222C6C" w:rsidRPr="00FD0096" w:rsidRDefault="00222C6C" w:rsidP="00222C6C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  <w:sectPr w:rsidR="00222C6C" w:rsidRPr="00FD0096" w:rsidSect="009812E6">
          <w:pgSz w:w="15840" w:h="12240" w:orient="landscape"/>
          <w:pgMar w:top="1440" w:right="1440" w:bottom="1440" w:left="1440" w:header="432" w:footer="720" w:gutter="0"/>
          <w:cols w:space="720"/>
          <w:titlePg/>
          <w:docGrid w:linePitch="360"/>
        </w:sectPr>
      </w:pPr>
    </w:p>
    <w:p w:rsidR="00222C6C" w:rsidRPr="00B26574" w:rsidRDefault="00222C6C" w:rsidP="00222C6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Pr="00B26574">
        <w:rPr>
          <w:rFonts w:ascii="Times New Roman" w:hAnsi="Times New Roman" w:cs="Times New Roman"/>
          <w:b/>
          <w:sz w:val="24"/>
          <w:szCs w:val="24"/>
        </w:rPr>
        <w:t xml:space="preserve">.  Genes Selected in S63 </w:t>
      </w:r>
      <w:proofErr w:type="spellStart"/>
      <w:r w:rsidRPr="00B26574">
        <w:rPr>
          <w:rFonts w:ascii="Times New Roman" w:hAnsi="Times New Roman" w:cs="Times New Roman"/>
          <w:b/>
          <w:sz w:val="24"/>
          <w:szCs w:val="24"/>
        </w:rPr>
        <w:t>Metric</w:t>
      </w:r>
      <w:r w:rsidRPr="00B26574">
        <w:rPr>
          <w:rFonts w:ascii="Times New Roman" w:hAnsi="Times New Roman" w:cs="Times New Roman"/>
          <w:b/>
          <w:sz w:val="24"/>
          <w:szCs w:val="24"/>
          <w:vertAlign w:val="superscript"/>
        </w:rPr>
        <w:t>a</w:t>
      </w:r>
      <w:proofErr w:type="spellEnd"/>
      <w:r w:rsidRPr="00B26574">
        <w:rPr>
          <w:rFonts w:ascii="Times New Roman" w:hAnsi="Times New Roman" w:cs="Times New Roman"/>
          <w:b/>
          <w:sz w:val="24"/>
          <w:szCs w:val="24"/>
        </w:rPr>
        <w:t xml:space="preserve"> and Subgroup Classification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2250"/>
        <w:gridCol w:w="4500"/>
      </w:tblGrid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Subgroup Classification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HUGO Gene Name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Abbreviated Function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CD74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MHCII cofactor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GNLY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cytotoxic granules of T cells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HLADMA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alpha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HLADMB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beta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HLADPA1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alpha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HLADPB1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beta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HLADQA1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alpha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HLADQB1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beta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HLADRA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alpha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HLADRB1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class II beta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IFI44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antiviral 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IFI44L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antiviral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IFI6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regulation of immune cell apoptosis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IFIT1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inhibits viral replication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IFIT2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inhibits viral replication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IFIT3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inhibits viral replication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IFIT5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myeloid cell differentiation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LCN2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NGAL, inhibits bacterial activity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MX1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antiviral protein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NAIP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inhibitor of apoptosis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OAS1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inhibitor of viral replication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OAS2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inhibitor of viral replication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OAS3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viral infection inhibition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PMAIP1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regulation of lymphocyte apoptosis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RSAD2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interferon signaling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VNN1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 cell migration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Adaptive Immunity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XAF1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inhibitor of IAP (inhibitor of apoptosis protein)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CEACAM6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cell adhesion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HERC5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endothelial cell </w:t>
            </w:r>
            <w:proofErr w:type="spellStart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ubiquination</w:t>
            </w:r>
            <w:proofErr w:type="spellEnd"/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HGF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cell growth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LRG1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cell adhesion, PMN maturation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PDGFC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angiogenic</w:t>
            </w:r>
            <w:proofErr w:type="spellEnd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proliferative responses 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TGFBI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inhibits cell adhesion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Biology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THBS1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endothelial protein binding fibrinogen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ANKRD55</w:t>
            </w:r>
          </w:p>
        </w:tc>
        <w:tc>
          <w:tcPr>
            <w:tcW w:w="450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CD4 and CD14 nuclear protein, inflammation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Inflammatory Response</w:t>
            </w:r>
          </w:p>
        </w:tc>
        <w:tc>
          <w:tcPr>
            <w:tcW w:w="225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CD24</w:t>
            </w:r>
          </w:p>
        </w:tc>
        <w:tc>
          <w:tcPr>
            <w:tcW w:w="450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PMN and B cell growth factor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CEACAM8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CD66b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EPSTI1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NF-kB activation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IL1R1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gene receptor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IL1R2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gene receptor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ISG15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chemotactic to PMNs, and antiviral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LTF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PMN granular protein, antibacterial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MMP8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PMN collagenase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OLFM4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anti-apoptotic, cell adhesion,</w:t>
            </w:r>
          </w:p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PTGS2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prostaglandin biosynthesis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Inflammatory Response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TCN1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neutrophil granules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AGFG1</w:t>
            </w:r>
          </w:p>
        </w:tc>
        <w:tc>
          <w:tcPr>
            <w:tcW w:w="4500" w:type="dxa"/>
            <w:shd w:val="clear" w:color="auto" w:fill="auto"/>
            <w:noWrap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nuclear transport protein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ATP6V1C1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vacuolar ATPase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CDK5RAP2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cyclin dependent kinase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CMPK2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nucleotide synthesis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DACH1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DNA transcription factor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FLJ39051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unknown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FOLR3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folate receptor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GALNT14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Golgi complex transporter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GRB10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kinase accessory proteins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LOC100127983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uncharacterized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MIAT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nuclear matrix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NSUN7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sperm motility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OLAH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fatty acid biosynthesis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PCOLCE2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apolipoprotein catalyst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SIPA1L2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cell regulation</w:t>
            </w:r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SLC26A8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ion transport in </w:t>
            </w:r>
            <w:proofErr w:type="spellStart"/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spermocytes</w:t>
            </w:r>
            <w:proofErr w:type="spellEnd"/>
          </w:p>
        </w:tc>
      </w:tr>
      <w:tr w:rsidR="00222C6C" w:rsidRPr="00B26574" w:rsidTr="006D5C71">
        <w:trPr>
          <w:trHeight w:val="315"/>
        </w:trPr>
        <w:tc>
          <w:tcPr>
            <w:tcW w:w="2898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225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TDRD9</w:t>
            </w:r>
          </w:p>
        </w:tc>
        <w:tc>
          <w:tcPr>
            <w:tcW w:w="4500" w:type="dxa"/>
            <w:shd w:val="clear" w:color="auto" w:fill="auto"/>
            <w:noWrap/>
            <w:hideMark/>
          </w:tcPr>
          <w:p w:rsidR="00222C6C" w:rsidRPr="00B26574" w:rsidRDefault="00222C6C" w:rsidP="006D5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574">
              <w:rPr>
                <w:rFonts w:ascii="Times New Roman" w:eastAsia="Times New Roman" w:hAnsi="Times New Roman" w:cs="Times New Roman"/>
                <w:sz w:val="24"/>
                <w:szCs w:val="24"/>
              </w:rPr>
              <w:t>DNA methylation in gametes</w:t>
            </w:r>
          </w:p>
        </w:tc>
      </w:tr>
    </w:tbl>
    <w:p w:rsidR="004F0D7E" w:rsidRDefault="00222C6C" w:rsidP="00222C6C">
      <w:pPr>
        <w:pStyle w:val="NormalWeb"/>
      </w:pPr>
      <w:r w:rsidRPr="00B26574">
        <w:rPr>
          <w:vertAlign w:val="superscript"/>
        </w:rPr>
        <w:t>a</w:t>
      </w:r>
      <w:r w:rsidRPr="00B26574">
        <w:t xml:space="preserve"> Derivation of Genomic Metric:  A single metric was derived from the difference in expression values for 63 genes (difference from reference; DFR) involved in inflammation, activation of endothelium, and the adaptive immune response from age, race/ethnicity, and gender matched healthy subjects using the equation: S63 = ∑</w:t>
      </w:r>
      <w:r w:rsidRPr="00B26574">
        <w:rPr>
          <w:i/>
          <w:iCs/>
          <w:vertAlign w:val="subscript"/>
        </w:rPr>
        <w:t>probe</w:t>
      </w:r>
      <w:r w:rsidRPr="00B26574">
        <w:rPr>
          <w:vertAlign w:val="subscript"/>
        </w:rPr>
        <w:t> </w:t>
      </w:r>
      <w:r w:rsidRPr="00B26574">
        <w:rPr>
          <w:i/>
          <w:iCs/>
          <w:vertAlign w:val="subscript"/>
        </w:rPr>
        <w:t>sets</w:t>
      </w:r>
      <w:r w:rsidRPr="00B26574">
        <w:t xml:space="preserve"> (</w:t>
      </w:r>
      <w:proofErr w:type="spellStart"/>
      <w:r w:rsidRPr="00B26574">
        <w:rPr>
          <w:i/>
          <w:iCs/>
        </w:rPr>
        <w:t>e</w:t>
      </w:r>
      <w:r w:rsidRPr="00B26574">
        <w:rPr>
          <w:i/>
          <w:iCs/>
          <w:vertAlign w:val="subscript"/>
        </w:rPr>
        <w:t>i</w:t>
      </w:r>
      <w:r w:rsidRPr="00B26574">
        <w:t>−</w:t>
      </w:r>
      <w:r w:rsidRPr="00B26574">
        <w:rPr>
          <w:i/>
          <w:iCs/>
        </w:rPr>
        <w:t>M</w:t>
      </w:r>
      <w:r w:rsidRPr="00B26574">
        <w:rPr>
          <w:i/>
          <w:iCs/>
          <w:vertAlign w:val="subscript"/>
        </w:rPr>
        <w:t>i</w:t>
      </w:r>
      <w:proofErr w:type="spellEnd"/>
      <w:proofErr w:type="gramStart"/>
      <w:r w:rsidRPr="00B26574">
        <w:t>)</w:t>
      </w:r>
      <w:r w:rsidRPr="00B26574">
        <w:rPr>
          <w:vertAlign w:val="superscript"/>
        </w:rPr>
        <w:t>2</w:t>
      </w:r>
      <w:proofErr w:type="gramEnd"/>
      <w:r w:rsidRPr="00B26574">
        <w:rPr>
          <w:i/>
          <w:iCs/>
        </w:rPr>
        <w:t>/V</w:t>
      </w:r>
      <w:r w:rsidRPr="00B26574">
        <w:rPr>
          <w:i/>
          <w:iCs/>
          <w:vertAlign w:val="subscript"/>
        </w:rPr>
        <w:t>i</w:t>
      </w:r>
      <w:r w:rsidRPr="00B26574">
        <w:rPr>
          <w:i/>
          <w:iCs/>
        </w:rPr>
        <w:t xml:space="preserve"> </w:t>
      </w:r>
      <w:r w:rsidRPr="00B26574">
        <w:t xml:space="preserve">where </w:t>
      </w:r>
      <w:proofErr w:type="spellStart"/>
      <w:r w:rsidRPr="00B26574">
        <w:t>e</w:t>
      </w:r>
      <w:r w:rsidRPr="00B26574">
        <w:rPr>
          <w:vertAlign w:val="subscript"/>
        </w:rPr>
        <w:t>i</w:t>
      </w:r>
      <w:proofErr w:type="spellEnd"/>
      <w:r w:rsidRPr="00B26574">
        <w:t xml:space="preserve"> is the patient’s expression level for probe set </w:t>
      </w:r>
      <w:proofErr w:type="spellStart"/>
      <w:r w:rsidRPr="00B26574">
        <w:rPr>
          <w:i/>
        </w:rPr>
        <w:t>i</w:t>
      </w:r>
      <w:proofErr w:type="spellEnd"/>
      <w:r w:rsidRPr="00B26574">
        <w:t xml:space="preserve">, and </w:t>
      </w:r>
      <w:proofErr w:type="spellStart"/>
      <w:r w:rsidRPr="00B26574">
        <w:t>M</w:t>
      </w:r>
      <w:r w:rsidRPr="00B26574">
        <w:rPr>
          <w:vertAlign w:val="subscript"/>
        </w:rPr>
        <w:t>i</w:t>
      </w:r>
      <w:proofErr w:type="spellEnd"/>
      <w:r w:rsidRPr="00B26574">
        <w:t xml:space="preserve"> and V</w:t>
      </w:r>
      <w:r w:rsidRPr="00B26574">
        <w:rPr>
          <w:vertAlign w:val="subscript"/>
        </w:rPr>
        <w:t>i</w:t>
      </w:r>
      <w:r w:rsidRPr="00B26574">
        <w:t xml:space="preserve"> are the appropriate sepsis group mean and variance for the </w:t>
      </w:r>
      <w:proofErr w:type="spellStart"/>
      <w:r w:rsidRPr="00B26574">
        <w:rPr>
          <w:i/>
        </w:rPr>
        <w:t>i</w:t>
      </w:r>
      <w:r w:rsidRPr="00B26574">
        <w:rPr>
          <w:vertAlign w:val="superscript"/>
        </w:rPr>
        <w:t>th</w:t>
      </w:r>
      <w:proofErr w:type="spellEnd"/>
      <w:r>
        <w:t xml:space="preserve"> probe set.</w:t>
      </w:r>
    </w:p>
    <w:sectPr w:rsidR="004F0D7E" w:rsidSect="00981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C6C"/>
    <w:rsid w:val="00222C6C"/>
    <w:rsid w:val="006C2DC4"/>
    <w:rsid w:val="009812E6"/>
    <w:rsid w:val="00C01C39"/>
    <w:rsid w:val="00C4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17B21-7965-4797-AFEC-C13B53C5F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C6C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MContent">
    <w:name w:val="SOMContent"/>
    <w:basedOn w:val="Normal"/>
    <w:rsid w:val="00222C6C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222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Hawkins,Russell</dc:creator>
  <cp:keywords/>
  <dc:description/>
  <cp:lastModifiedBy>Russell Hawkins</cp:lastModifiedBy>
  <cp:revision>2</cp:revision>
  <dcterms:created xsi:type="dcterms:W3CDTF">2019-08-01T11:27:00Z</dcterms:created>
  <dcterms:modified xsi:type="dcterms:W3CDTF">2019-08-01T11:27:00Z</dcterms:modified>
</cp:coreProperties>
</file>