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1D08F" w14:textId="35494046" w:rsidR="00A934A9" w:rsidRPr="00A934A9" w:rsidRDefault="00133371" w:rsidP="00A934A9">
      <w:pPr>
        <w:keepNext/>
        <w:spacing w:line="480" w:lineRule="auto"/>
        <w:jc w:val="center"/>
        <w:rPr>
          <w:rFonts w:ascii="Arial" w:hAnsi="Arial"/>
          <w:b/>
        </w:rPr>
      </w:pPr>
      <w:r>
        <w:rPr>
          <w:rFonts w:ascii="Arial" w:hAnsi="Arial"/>
          <w:b/>
        </w:rPr>
        <w:t xml:space="preserve">Supplemental Material </w:t>
      </w:r>
    </w:p>
    <w:p w14:paraId="0390AE01" w14:textId="7D57C948" w:rsidR="00133371" w:rsidRPr="00133371" w:rsidRDefault="00133371" w:rsidP="00133371">
      <w:pPr>
        <w:jc w:val="center"/>
        <w:rPr>
          <w:rFonts w:ascii="Arial" w:eastAsia="Times New Roman" w:hAnsi="Arial" w:cs="Arial"/>
          <w:i/>
          <w:iCs/>
          <w:szCs w:val="20"/>
        </w:rPr>
      </w:pPr>
      <w:r w:rsidRPr="00133371">
        <w:rPr>
          <w:rFonts w:ascii="Arial" w:eastAsia="Times New Roman" w:hAnsi="Arial" w:cs="Arial"/>
          <w:i/>
          <w:iCs/>
          <w:szCs w:val="20"/>
        </w:rPr>
        <w:t xml:space="preserve">Sensory sensitivity as a link between concussive traumatic brain injury and PTSD </w:t>
      </w:r>
    </w:p>
    <w:p w14:paraId="09B4C63C" w14:textId="77777777" w:rsidR="00A934A9" w:rsidRDefault="00A934A9" w:rsidP="00133371">
      <w:pPr>
        <w:jc w:val="center"/>
        <w:rPr>
          <w:rFonts w:ascii="Arial" w:hAnsi="Arial" w:cs="Arial"/>
        </w:rPr>
      </w:pPr>
    </w:p>
    <w:p w14:paraId="04A206C2" w14:textId="2B3ACC1A" w:rsidR="00133371" w:rsidRDefault="00133371" w:rsidP="00133371">
      <w:pPr>
        <w:jc w:val="center"/>
        <w:rPr>
          <w:rFonts w:ascii="Arial" w:hAnsi="Arial" w:cs="Arial"/>
        </w:rPr>
      </w:pPr>
      <w:r>
        <w:rPr>
          <w:rFonts w:ascii="Arial" w:hAnsi="Arial" w:cs="Arial"/>
        </w:rPr>
        <w:t>Ann N. Hoffman, Jamie Lam, David A. Hovda, Christopher C. Giza, &amp;</w:t>
      </w:r>
    </w:p>
    <w:p w14:paraId="56E9F107" w14:textId="4C2A50C5" w:rsidR="00133371" w:rsidRDefault="00133371" w:rsidP="00133371">
      <w:pPr>
        <w:jc w:val="center"/>
        <w:rPr>
          <w:rFonts w:ascii="Arial" w:hAnsi="Arial" w:cs="Arial"/>
        </w:rPr>
      </w:pPr>
      <w:r>
        <w:rPr>
          <w:rFonts w:ascii="Arial" w:hAnsi="Arial" w:cs="Arial"/>
        </w:rPr>
        <w:t xml:space="preserve"> Michael S. </w:t>
      </w:r>
      <w:proofErr w:type="spellStart"/>
      <w:r>
        <w:rPr>
          <w:rFonts w:ascii="Arial" w:hAnsi="Arial" w:cs="Arial"/>
        </w:rPr>
        <w:t>Fanselow</w:t>
      </w:r>
      <w:proofErr w:type="spellEnd"/>
    </w:p>
    <w:p w14:paraId="36F51A8C" w14:textId="0966402B" w:rsidR="00A934A9" w:rsidRDefault="00A934A9" w:rsidP="00133371">
      <w:pPr>
        <w:jc w:val="center"/>
        <w:rPr>
          <w:rFonts w:ascii="Arial" w:hAnsi="Arial" w:cs="Arial"/>
        </w:rPr>
      </w:pPr>
    </w:p>
    <w:p w14:paraId="1A1E33F5" w14:textId="39126067" w:rsidR="00A934A9" w:rsidRDefault="00A934A9" w:rsidP="00133371">
      <w:pPr>
        <w:jc w:val="center"/>
        <w:rPr>
          <w:rFonts w:ascii="Arial" w:hAnsi="Arial" w:cs="Arial"/>
        </w:rPr>
      </w:pPr>
    </w:p>
    <w:p w14:paraId="61909AD4" w14:textId="79ADB651" w:rsidR="00133371" w:rsidRDefault="00A934A9" w:rsidP="00133371">
      <w:pPr>
        <w:keepNext/>
        <w:spacing w:line="480" w:lineRule="auto"/>
        <w:jc w:val="center"/>
        <w:rPr>
          <w:rFonts w:ascii="Arial" w:hAnsi="Arial"/>
          <w:b/>
        </w:rPr>
      </w:pPr>
      <w:r w:rsidRPr="005542B8">
        <w:rPr>
          <w:rFonts w:ascii="Arial" w:hAnsi="Arial"/>
          <w:b/>
          <w:noProof/>
        </w:rPr>
        <w:drawing>
          <wp:anchor distT="0" distB="0" distL="114300" distR="114300" simplePos="0" relativeHeight="251660288" behindDoc="0" locked="0" layoutInCell="1" allowOverlap="1" wp14:anchorId="62364D85" wp14:editId="013807BF">
            <wp:simplePos x="0" y="0"/>
            <wp:positionH relativeFrom="margin">
              <wp:posOffset>1503680</wp:posOffset>
            </wp:positionH>
            <wp:positionV relativeFrom="margin">
              <wp:posOffset>1977663</wp:posOffset>
            </wp:positionV>
            <wp:extent cx="2968625" cy="3651250"/>
            <wp:effectExtent l="0" t="0" r="3175" b="6350"/>
            <wp:wrapTopAndBottom/>
            <wp:docPr id="3" name="Picture 2">
              <a:extLst xmlns:a="http://schemas.openxmlformats.org/drawingml/2006/main">
                <a:ext uri="{FF2B5EF4-FFF2-40B4-BE49-F238E27FC236}">
                  <a16:creationId xmlns:a16="http://schemas.microsoft.com/office/drawing/2014/main" id="{E2837214-36A5-CE4B-8D82-043A64FFDE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2837214-36A5-CE4B-8D82-043A64FFDE6B}"/>
                        </a:ext>
                      </a:extLst>
                    </pic:cNvPr>
                    <pic:cNvPicPr>
                      <a:picLocks noChangeAspect="1"/>
                    </pic:cNvPicPr>
                  </pic:nvPicPr>
                  <pic:blipFill>
                    <a:blip r:embed="rId5"/>
                    <a:stretch>
                      <a:fillRect/>
                    </a:stretch>
                  </pic:blipFill>
                  <pic:spPr>
                    <a:xfrm>
                      <a:off x="0" y="0"/>
                      <a:ext cx="2968625" cy="3651250"/>
                    </a:xfrm>
                    <a:prstGeom prst="rect">
                      <a:avLst/>
                    </a:prstGeom>
                  </pic:spPr>
                </pic:pic>
              </a:graphicData>
            </a:graphic>
          </wp:anchor>
        </w:drawing>
      </w:r>
    </w:p>
    <w:p w14:paraId="49AFC0B5" w14:textId="523C985B" w:rsidR="00A934A9" w:rsidRDefault="00A934A9" w:rsidP="00133371">
      <w:pPr>
        <w:keepNext/>
        <w:spacing w:line="480" w:lineRule="auto"/>
        <w:jc w:val="center"/>
        <w:rPr>
          <w:rFonts w:ascii="Arial" w:hAnsi="Arial"/>
          <w:b/>
        </w:rPr>
      </w:pPr>
    </w:p>
    <w:p w14:paraId="416E6423" w14:textId="5DED89E0" w:rsidR="00A934A9" w:rsidRDefault="00A934A9" w:rsidP="00133371">
      <w:pPr>
        <w:keepNext/>
        <w:spacing w:line="480" w:lineRule="auto"/>
        <w:jc w:val="center"/>
        <w:rPr>
          <w:rFonts w:ascii="Arial" w:hAnsi="Arial"/>
          <w:b/>
        </w:rPr>
      </w:pPr>
    </w:p>
    <w:p w14:paraId="030C2D4B" w14:textId="6C91D36B" w:rsidR="00A934A9" w:rsidRDefault="00A934A9" w:rsidP="00A934A9">
      <w:pPr>
        <w:rPr>
          <w:rFonts w:ascii="Arial" w:hAnsi="Arial"/>
        </w:rPr>
      </w:pPr>
      <w:r>
        <w:rPr>
          <w:rFonts w:ascii="Arial" w:hAnsi="Arial"/>
          <w:b/>
        </w:rPr>
        <w:t xml:space="preserve">Figure S1. Similar injury severities across experiments. </w:t>
      </w:r>
      <w:r>
        <w:rPr>
          <w:rFonts w:ascii="Arial" w:hAnsi="Arial"/>
        </w:rPr>
        <w:t xml:space="preserve">Toe pinch withdrawal latency as a measure of loss of consciousness (LOC) after FPI (fluid percussion injury) impact was similar within injury groups across experiments. Mean (269.2s) and median (261.5) LOC for FPI are within the range of mild-moderate level of injury (standard deviation, 142.33). Data are represented as mean ± SEM. </w:t>
      </w:r>
    </w:p>
    <w:p w14:paraId="730FA93A" w14:textId="77777777" w:rsidR="00A934A9" w:rsidRDefault="00A934A9" w:rsidP="00642DC6">
      <w:pPr>
        <w:keepNext/>
        <w:spacing w:line="360" w:lineRule="auto"/>
        <w:rPr>
          <w:rFonts w:ascii="Arial" w:hAnsi="Arial"/>
          <w:b/>
        </w:rPr>
      </w:pPr>
    </w:p>
    <w:p w14:paraId="2A17F3BE" w14:textId="77777777" w:rsidR="00A934A9" w:rsidRDefault="00A934A9" w:rsidP="00A934A9">
      <w:pPr>
        <w:rPr>
          <w:rFonts w:ascii="Arial" w:hAnsi="Arial"/>
          <w:b/>
        </w:rPr>
      </w:pPr>
    </w:p>
    <w:p w14:paraId="20304BE3" w14:textId="77777777" w:rsidR="00A934A9" w:rsidRDefault="00A934A9" w:rsidP="00A934A9">
      <w:pPr>
        <w:rPr>
          <w:rFonts w:ascii="Arial" w:hAnsi="Arial"/>
          <w:b/>
        </w:rPr>
      </w:pPr>
    </w:p>
    <w:p w14:paraId="4E7A77C1" w14:textId="77777777" w:rsidR="00A934A9" w:rsidRDefault="00A934A9" w:rsidP="00A934A9">
      <w:pPr>
        <w:rPr>
          <w:rFonts w:ascii="Arial" w:hAnsi="Arial"/>
          <w:b/>
        </w:rPr>
      </w:pPr>
    </w:p>
    <w:p w14:paraId="7E8457F7" w14:textId="28BEA58D" w:rsidR="00A934A9" w:rsidRDefault="00A934A9" w:rsidP="00A934A9">
      <w:pPr>
        <w:rPr>
          <w:rFonts w:ascii="Arial" w:hAnsi="Arial"/>
          <w:b/>
        </w:rPr>
      </w:pPr>
      <w:r w:rsidRPr="00C75294">
        <w:rPr>
          <w:rFonts w:ascii="Arial" w:hAnsi="Arial"/>
          <w:noProof/>
        </w:rPr>
        <w:lastRenderedPageBreak/>
        <w:drawing>
          <wp:anchor distT="0" distB="0" distL="114300" distR="114300" simplePos="0" relativeHeight="251662336" behindDoc="0" locked="0" layoutInCell="1" allowOverlap="1" wp14:anchorId="475CEA06" wp14:editId="0F958F74">
            <wp:simplePos x="0" y="0"/>
            <wp:positionH relativeFrom="margin">
              <wp:posOffset>-347241</wp:posOffset>
            </wp:positionH>
            <wp:positionV relativeFrom="margin">
              <wp:posOffset>346975</wp:posOffset>
            </wp:positionV>
            <wp:extent cx="6432550" cy="2628900"/>
            <wp:effectExtent l="0" t="0" r="0" b="127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S2 tone noise interaction.tiff"/>
                    <pic:cNvPicPr/>
                  </pic:nvPicPr>
                  <pic:blipFill>
                    <a:blip r:embed="rId6">
                      <a:extLst>
                        <a:ext uri="{28A0092B-C50C-407E-A947-70E740481C1C}">
                          <a14:useLocalDpi xmlns:a14="http://schemas.microsoft.com/office/drawing/2010/main" val="0"/>
                        </a:ext>
                      </a:extLst>
                    </a:blip>
                    <a:stretch>
                      <a:fillRect/>
                    </a:stretch>
                  </pic:blipFill>
                  <pic:spPr>
                    <a:xfrm>
                      <a:off x="0" y="0"/>
                      <a:ext cx="6432550" cy="2628900"/>
                    </a:xfrm>
                    <a:prstGeom prst="rect">
                      <a:avLst/>
                    </a:prstGeom>
                  </pic:spPr>
                </pic:pic>
              </a:graphicData>
            </a:graphic>
          </wp:anchor>
        </w:drawing>
      </w:r>
    </w:p>
    <w:p w14:paraId="5875F0A9" w14:textId="77777777" w:rsidR="00A934A9" w:rsidRDefault="00A934A9" w:rsidP="00A934A9">
      <w:pPr>
        <w:rPr>
          <w:rFonts w:ascii="Arial" w:hAnsi="Arial"/>
          <w:b/>
        </w:rPr>
      </w:pPr>
    </w:p>
    <w:p w14:paraId="3C20594D" w14:textId="77777777" w:rsidR="00A934A9" w:rsidRDefault="00A934A9" w:rsidP="00A934A9">
      <w:pPr>
        <w:rPr>
          <w:rFonts w:ascii="Arial" w:hAnsi="Arial"/>
          <w:b/>
        </w:rPr>
      </w:pPr>
    </w:p>
    <w:p w14:paraId="29D8DDD6" w14:textId="1E1BBA16" w:rsidR="00A934A9" w:rsidRPr="00AF4D56" w:rsidRDefault="00A934A9" w:rsidP="00A934A9">
      <w:pPr>
        <w:rPr>
          <w:rFonts w:ascii="Arial" w:hAnsi="Arial"/>
        </w:rPr>
      </w:pPr>
      <w:r>
        <w:rPr>
          <w:rFonts w:ascii="Arial" w:hAnsi="Arial"/>
          <w:b/>
        </w:rPr>
        <w:t xml:space="preserve">Figure S2. Stimulus-specific evoked defensive behavior with white noise following FPI. </w:t>
      </w:r>
      <w:r>
        <w:rPr>
          <w:rFonts w:ascii="Arial" w:hAnsi="Arial"/>
        </w:rPr>
        <w:t xml:space="preserve">Comparison of context freezing between auditory stimuli trials by tone vs. white noise exposure following FPI (fluid percussion injury) or sham surgery (session average, left; across trials, right). Although FPI groups displayed statistically elevated levels of freezing between pure tone trials (75dB/2800Hz) relative to respective shams (p&lt;0.05), white noise evoked robust freezing after FPI (p&lt;0.001 vs sham). When analyzed together, a significant injury x stimulus interaction (p&lt;0.05) revealed stimulus specific effects of auditory sensitivity as measured by defensive posturing after FPI. </w:t>
      </w:r>
    </w:p>
    <w:p w14:paraId="17A330D4" w14:textId="77777777" w:rsidR="00A934A9" w:rsidRDefault="00A934A9" w:rsidP="00642DC6">
      <w:pPr>
        <w:keepNext/>
        <w:spacing w:line="360" w:lineRule="auto"/>
        <w:rPr>
          <w:rFonts w:ascii="Arial" w:hAnsi="Arial"/>
          <w:b/>
        </w:rPr>
      </w:pPr>
    </w:p>
    <w:p w14:paraId="6F4BA890" w14:textId="77777777" w:rsidR="00A934A9" w:rsidRDefault="00A934A9" w:rsidP="00642DC6">
      <w:pPr>
        <w:keepNext/>
        <w:spacing w:line="360" w:lineRule="auto"/>
        <w:rPr>
          <w:rFonts w:ascii="Arial" w:hAnsi="Arial"/>
          <w:b/>
        </w:rPr>
      </w:pPr>
    </w:p>
    <w:p w14:paraId="571936CA" w14:textId="77777777" w:rsidR="00A934A9" w:rsidRDefault="00A934A9">
      <w:pPr>
        <w:rPr>
          <w:rFonts w:ascii="Arial" w:hAnsi="Arial"/>
          <w:b/>
        </w:rPr>
      </w:pPr>
      <w:r>
        <w:rPr>
          <w:rFonts w:ascii="Arial" w:hAnsi="Arial"/>
          <w:b/>
        </w:rPr>
        <w:br w:type="page"/>
      </w:r>
    </w:p>
    <w:p w14:paraId="5A1A0790" w14:textId="34E1D79B" w:rsidR="00437809" w:rsidRDefault="00437809" w:rsidP="00642DC6">
      <w:pPr>
        <w:keepNext/>
        <w:spacing w:line="360" w:lineRule="auto"/>
        <w:rPr>
          <w:rFonts w:ascii="Arial" w:hAnsi="Arial"/>
          <w:b/>
        </w:rPr>
      </w:pPr>
      <w:r>
        <w:rPr>
          <w:rFonts w:ascii="Arial" w:hAnsi="Arial"/>
          <w:b/>
        </w:rPr>
        <w:lastRenderedPageBreak/>
        <w:t>FPI increased reactive astrocytes in brain regions associated with contextual and auditory fear</w:t>
      </w:r>
    </w:p>
    <w:p w14:paraId="44D9A8C3" w14:textId="73CA1411" w:rsidR="00324301" w:rsidRDefault="007C4B0B" w:rsidP="00642DC6">
      <w:pPr>
        <w:spacing w:line="360" w:lineRule="auto"/>
        <w:ind w:firstLine="720"/>
        <w:rPr>
          <w:rFonts w:ascii="Arial" w:hAnsi="Arial"/>
        </w:rPr>
      </w:pPr>
      <w:r>
        <w:rPr>
          <w:rFonts w:ascii="Arial" w:hAnsi="Arial"/>
        </w:rPr>
        <w:t xml:space="preserve">Astrocytes are the most abundant cell type in the brain and important for functional regulation of neurons and synaptic plasticity </w:t>
      </w:r>
      <w:r>
        <w:rPr>
          <w:rFonts w:ascii="Arial" w:hAnsi="Arial"/>
        </w:rPr>
        <w:fldChar w:fldCharType="begin"/>
      </w:r>
      <w:r>
        <w:rPr>
          <w:rFonts w:ascii="Arial" w:hAnsi="Arial"/>
        </w:rPr>
        <w:instrText xml:space="preserve"> ADDIN EN.CITE &lt;EndNote&gt;&lt;Cite&gt;&lt;Author&gt;Pekny&lt;/Author&gt;&lt;Year&gt;2014&lt;/Year&gt;&lt;RecNum&gt;1092&lt;/RecNum&gt;&lt;DisplayText&gt;&lt;style face="superscript"&gt;1&lt;/style&gt;&lt;/DisplayText&gt;&lt;record&gt;&lt;rec-number&gt;1092&lt;/rec-number&gt;&lt;foreign-keys&gt;&lt;key app="EN" db-id="wttddzwwaewxvledze6vvrwitzefszwxa0pv" timestamp="0"&gt;1092&lt;/key&gt;&lt;/foreign-keys&gt;&lt;ref-type name="Journal Article"&gt;17&lt;/ref-type&gt;&lt;contributors&gt;&lt;authors&gt;&lt;author&gt;Pekny, M.&lt;/author&gt;&lt;author&gt;Pekna, M.&lt;/author&gt;&lt;/authors&gt;&lt;/contributors&gt;&lt;auth-address&gt;Center for Brain Repair and Rehabilitation, Department of Clinical Neuroscience and Rehabilitation, Institute of Neuroscience and Physiology, Sahlgrenska Academy at the University of Gothenburg, Gothenburg, Sweden; and Florey Institute of Neuroscience and Mental Health, Parkville, Victoria, Australia.&lt;/auth-address&gt;&lt;titles&gt;&lt;title&gt;Astrocyte reactivity and reactive astrogliosis: costs and benefits&lt;/title&gt;&lt;secondary-title&gt;Physiological Reviews&lt;/secondary-title&gt;&lt;alt-title&gt;Physiol. Rev.&lt;/alt-title&gt;&lt;/titles&gt;&lt;pages&gt;1077-1098&lt;/pages&gt;&lt;volume&gt;94&lt;/volume&gt;&lt;number&gt;4&lt;/number&gt;&lt;keywords&gt;&lt;keyword&gt;Animals&lt;/keyword&gt;&lt;keyword&gt;Astrocytes/*cytology/*physiology&lt;/keyword&gt;&lt;keyword&gt;Brain/cytology/pathology/physiology&lt;/keyword&gt;&lt;keyword&gt;Humans&lt;/keyword&gt;&lt;keyword&gt;Neurodegenerative Diseases/pathology&lt;/keyword&gt;&lt;keyword&gt;Regeneration&lt;/keyword&gt;&lt;/keywords&gt;&lt;dates&gt;&lt;year&gt;2014&lt;/year&gt;&lt;pub-dates&gt;&lt;date&gt;Oct&lt;/date&gt;&lt;/pub-dates&gt;&lt;/dates&gt;&lt;isbn&gt;1522-1210 (Electronic)&amp;#xD;0031-9333 (Linking)&lt;/isbn&gt;&lt;accession-num&gt;25287860&lt;/accession-num&gt;&lt;urls&gt;&lt;related-urls&gt;&lt;url&gt;http://www.ncbi.nlm.nih.gov/pubmed/25287860&lt;/url&gt;&lt;/related-urls&gt;&lt;/urls&gt;&lt;electronic-resource-num&gt;10.1152/physrev.00041.2013&lt;/electronic-resource-num&gt;&lt;/record&gt;&lt;/Cite&gt;&lt;/EndNote&gt;</w:instrText>
      </w:r>
      <w:r>
        <w:rPr>
          <w:rFonts w:ascii="Arial" w:hAnsi="Arial"/>
        </w:rPr>
        <w:fldChar w:fldCharType="separate"/>
      </w:r>
      <w:r w:rsidRPr="00A2284C">
        <w:rPr>
          <w:rFonts w:ascii="Arial" w:hAnsi="Arial"/>
          <w:noProof/>
          <w:vertAlign w:val="superscript"/>
        </w:rPr>
        <w:t>1</w:t>
      </w:r>
      <w:r>
        <w:rPr>
          <w:rFonts w:ascii="Arial" w:hAnsi="Arial"/>
        </w:rPr>
        <w:fldChar w:fldCharType="end"/>
      </w:r>
      <w:r>
        <w:rPr>
          <w:rFonts w:ascii="Arial" w:hAnsi="Arial"/>
        </w:rPr>
        <w:t xml:space="preserve">. Increased reactivity within glia including astrocytes is often observed after TBI in both rodent and human brain tissue </w:t>
      </w:r>
      <w:r>
        <w:rPr>
          <w:rFonts w:ascii="Arial" w:hAnsi="Arial"/>
        </w:rPr>
        <w:fldChar w:fldCharType="begin">
          <w:fldData xml:space="preserve">PEVuZE5vdGU+PENpdGU+PEF1dGhvcj5CdXJkYTwvQXV0aG9yPjxZZWFyPjIwMTY8L1llYXI+PFJl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</w:fldData>
        </w:fldChar>
      </w:r>
      <w:r>
        <w:rPr>
          <w:rFonts w:ascii="Arial" w:hAnsi="Arial"/>
        </w:rPr>
        <w:instrText xml:space="preserve"> ADDIN EN.CITE </w:instrText>
      </w:r>
      <w:r>
        <w:rPr>
          <w:rFonts w:ascii="Arial" w:hAnsi="Arial"/>
        </w:rPr>
        <w:fldChar w:fldCharType="begin">
          <w:fldData xml:space="preserve">PEVuZE5vdGU+PENpdGU+PEF1dGhvcj5CdXJkYTwvQXV0aG9yPjxZZWFyPjIwMTY8L1llYXI+PFJl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</w:fldData>
        </w:fldChar>
      </w:r>
      <w:r>
        <w:rPr>
          <w:rFonts w:ascii="Arial" w:hAnsi="Arial"/>
        </w:rPr>
        <w:instrText xml:space="preserve"> ADDIN EN.CITE.DATA </w:instrText>
      </w:r>
      <w:r>
        <w:rPr>
          <w:rFonts w:ascii="Arial" w:hAnsi="Arial"/>
        </w:rPr>
      </w:r>
      <w:r>
        <w:rPr>
          <w:rFonts w:ascii="Arial" w:hAnsi="Arial"/>
        </w:rPr>
        <w:fldChar w:fldCharType="end"/>
      </w:r>
      <w:r>
        <w:rPr>
          <w:rFonts w:ascii="Arial" w:hAnsi="Arial"/>
        </w:rPr>
      </w:r>
      <w:r>
        <w:rPr>
          <w:rFonts w:ascii="Arial" w:hAnsi="Arial"/>
        </w:rPr>
        <w:fldChar w:fldCharType="separate"/>
      </w:r>
      <w:r w:rsidRPr="00A2284C">
        <w:rPr>
          <w:rFonts w:ascii="Arial" w:hAnsi="Arial"/>
          <w:noProof/>
          <w:vertAlign w:val="superscript"/>
        </w:rPr>
        <w:t>2,3</w:t>
      </w:r>
      <w:r>
        <w:rPr>
          <w:rFonts w:ascii="Arial" w:hAnsi="Arial"/>
        </w:rPr>
        <w:fldChar w:fldCharType="end"/>
      </w:r>
      <w:r>
        <w:rPr>
          <w:rFonts w:ascii="Arial" w:hAnsi="Arial"/>
        </w:rPr>
        <w:t xml:space="preserve">. We have recently shown increased amygdala GFAP staining at least one week following FPI </w:t>
      </w:r>
      <w:r>
        <w:rPr>
          <w:rFonts w:ascii="Arial" w:hAnsi="Arial"/>
        </w:rPr>
        <w:fldChar w:fldCharType="begin"/>
      </w:r>
      <w:r>
        <w:rPr>
          <w:rFonts w:ascii="Arial" w:hAnsi="Arial"/>
        </w:rPr>
        <w:instrText xml:space="preserve"> ADDIN EN.CITE &lt;EndNote&gt;&lt;Cite&gt;&lt;Author&gt;Hoffman&lt;/Author&gt;&lt;Year&gt;2016&lt;/Year&gt;&lt;RecNum&gt;1078&lt;/RecNum&gt;&lt;DisplayText&gt;&lt;style face="superscript"&gt;4&lt;/style&gt;&lt;/DisplayText&gt;&lt;record&gt;&lt;rec-number&gt;1078&lt;/rec-number&gt;&lt;foreign-keys&gt;&lt;key app="EN" db-id="wttddzwwaewxvledze6vvrwitzefszwxa0pv" timestamp="0"&gt;1078&lt;/key&gt;&lt;/foreign-keys&gt;&lt;ref-type name="Journal Article"&gt;17&lt;/ref-type&gt;&lt;contributors&gt;&lt;authors&gt;&lt;author&gt;Hoffman, A. N.&lt;/author&gt;&lt;author&gt;Paode, P. R.&lt;/author&gt;&lt;author&gt;May, H. G.&lt;/author&gt;&lt;author&gt;Ortiz, J. B.&lt;/author&gt;&lt;author&gt;Kemmou, S.&lt;/author&gt;&lt;author&gt;Lifshitz, J.&lt;/author&gt;&lt;author&gt;Conrad, C. D.&lt;/author&gt;&lt;author&gt;Thomas, T. C.&lt;/author&gt;&lt;/authors&gt;&lt;/contributors&gt;&lt;auth-address&gt;1 Department of Psychology, Arizona State University , Tempe, Arizona.&amp;#xD;5 Department of Psychology, UCLA , Los Angeles, California.&amp;#xD;6 Brain Injury Research Center, Department of Neurosurgery, David Geffen School of Medicine at UCLA , Los Angeles, California.&amp;#xD;2 Department of Child Health, University of Arizona College of Medicine-Phoenix , Phoenix, Arizona.&amp;#xD;3 Barrow Neurological Institute at Phoenix Children&amp;apos;s Hospital , Phoenix, Arizona.&amp;#xD;7 Department of Biology and Biochemistry, University of Bath , Bath, United Kingdom .&amp;#xD;4 Phoenix VA Healthcare System , Phoenix, Arizona.&lt;/auth-address&gt;&lt;titles&gt;&lt;title&gt;Early and Persistent Dendritic Hypertrophy in the Basolateral Amygdala following Experimental Diffuse Traumatic Brain Injury&lt;/title&gt;&lt;secondary-title&gt;Journal of Neurotrauma&lt;/secondary-title&gt;&lt;alt-title&gt;J. Neurotrauma&lt;/alt-title&gt;&lt;/titles&gt;&lt;periodical&gt;&lt;full-title&gt;J Neurotrauma&lt;/full-title&gt;&lt;abbr-1&gt;Journal of neurotrauma&lt;/abbr-1&gt;&lt;/periodical&gt;&lt;dates&gt;&lt;year&gt;2016&lt;/year&gt;&lt;pub-dates&gt;&lt;date&gt;Jul 27&lt;/date&gt;&lt;/pub-dates&gt;&lt;/dates&gt;&lt;isbn&gt;1557-9042 (Electronic)&amp;#xD;0897-7151 (Linking)&lt;/isbn&gt;&lt;accession-num&gt;27306143&lt;/accession-num&gt;&lt;urls&gt;&lt;related-urls&gt;&lt;url&gt;http://www.ncbi.nlm.nih.gov/pubmed/27306143&lt;/url&gt;&lt;/related-urls&gt;&lt;/urls&gt;&lt;electronic-resource-num&gt;10.1089/neu.2015.4339&lt;/electronic-resource-num&gt;&lt;/record&gt;&lt;/Cite&gt;&lt;/EndNote&gt;</w:instrText>
      </w:r>
      <w:r>
        <w:rPr>
          <w:rFonts w:ascii="Arial" w:hAnsi="Arial"/>
        </w:rPr>
        <w:fldChar w:fldCharType="separate"/>
      </w:r>
      <w:r w:rsidRPr="00A2284C">
        <w:rPr>
          <w:rFonts w:ascii="Arial" w:hAnsi="Arial"/>
          <w:noProof/>
          <w:vertAlign w:val="superscript"/>
        </w:rPr>
        <w:t>4</w:t>
      </w:r>
      <w:r>
        <w:rPr>
          <w:rFonts w:ascii="Arial" w:hAnsi="Arial"/>
        </w:rPr>
        <w:fldChar w:fldCharType="end"/>
      </w:r>
      <w:r>
        <w:rPr>
          <w:rFonts w:ascii="Arial" w:hAnsi="Arial"/>
        </w:rPr>
        <w:t xml:space="preserve">, which has been observed up to 51 days after blast-induced TBI </w:t>
      </w:r>
      <w:r>
        <w:rPr>
          <w:rFonts w:ascii="Arial" w:hAnsi="Arial"/>
        </w:rPr>
        <w:fldChar w:fldCharType="begin"/>
      </w:r>
      <w:r>
        <w:rPr>
          <w:rFonts w:ascii="Arial" w:hAnsi="Arial"/>
        </w:rPr>
        <w:instrText xml:space="preserve"> ADDIN EN.CITE &lt;EndNote&gt;&lt;Cite&gt;&lt;Author&gt;Kovesdi&lt;/Author&gt;&lt;Year&gt;2012&lt;/Year&gt;&lt;RecNum&gt;909&lt;/RecNum&gt;&lt;DisplayText&gt;&lt;style face="superscript"&gt;5&lt;/style&gt;&lt;/DisplayText&gt;&lt;record&gt;&lt;rec-number&gt;909&lt;/rec-number&gt;&lt;foreign-keys&gt;&lt;key app="EN" db-id="wttddzwwaewxvledze6vvrwitzefszwxa0pv" timestamp="0"&gt;909&lt;/key&gt;&lt;/foreign-keys&gt;&lt;ref-type name="Journal Article"&gt;17&lt;/ref-type&gt;&lt;contributors&gt;&lt;authors&gt;&lt;author&gt;Kovesdi, E.&lt;/author&gt;&lt;author&gt;Kamnaksh, A.&lt;/author&gt;&lt;author&gt;Wingo, D.&lt;/author&gt;&lt;author&gt;Ahmed, F.&lt;/author&gt;&lt;author&gt;Grunberg, N. E.&lt;/author&gt;&lt;author&gt;Long, J. B.&lt;/author&gt;&lt;author&gt;Kasper, C. E.&lt;/author&gt;&lt;author&gt;Agoston, D. V.&lt;/author&gt;&lt;/authors&gt;&lt;/contributors&gt;&lt;auth-address&gt;U.S. Department of Veterans Affairs, Veterans Affairs Central Office Washington, DC, USA.&lt;/auth-address&gt;&lt;titles&gt;&lt;title&gt;Acute minocycline treatment mitigates the symptoms of mild blast-induced traumatic brain injury&lt;/title&gt;&lt;secondary-title&gt;Frontiers in Neurology&lt;/secondary-title&gt;&lt;alt-title&gt;Front. Neurol.&lt;/alt-title&gt;&lt;/titles&gt;&lt;periodical&gt;&lt;full-title&gt;Front Neurol&lt;/full-title&gt;&lt;abbr-1&gt;Frontiers in neurology&lt;/abbr-1&gt;&lt;/periodical&gt;&lt;pages&gt;111&lt;/pages&gt;&lt;volume&gt;3&lt;/volume&gt;&lt;dates&gt;&lt;year&gt;2012&lt;/year&gt;&lt;/dates&gt;&lt;isbn&gt;1664-2295 (Electronic)&amp;#xD;1664-2295 (Linking)&lt;/isbn&gt;&lt;accession-num&gt;22811676&lt;/accession-num&gt;&lt;urls&gt;&lt;related-urls&gt;&lt;url&gt;http://www.ncbi.nlm.nih.gov/pubmed/22811676&lt;/url&gt;&lt;/related-urls&gt;&lt;/urls&gt;&lt;custom2&gt;3397312&lt;/custom2&gt;&lt;electronic-resource-num&gt;10.3389/fneur.2012.00111&lt;/electronic-resource-num&gt;&lt;/record&gt;&lt;/Cite&gt;&lt;/EndNote&gt;</w:instrText>
      </w:r>
      <w:r>
        <w:rPr>
          <w:rFonts w:ascii="Arial" w:hAnsi="Arial"/>
        </w:rPr>
        <w:fldChar w:fldCharType="separate"/>
      </w:r>
      <w:r w:rsidRPr="00A2284C">
        <w:rPr>
          <w:rFonts w:ascii="Arial" w:hAnsi="Arial"/>
          <w:noProof/>
          <w:vertAlign w:val="superscript"/>
        </w:rPr>
        <w:t>5</w:t>
      </w:r>
      <w:r>
        <w:rPr>
          <w:rFonts w:ascii="Arial" w:hAnsi="Arial"/>
        </w:rPr>
        <w:fldChar w:fldCharType="end"/>
      </w:r>
      <w:r>
        <w:rPr>
          <w:rFonts w:ascii="Arial" w:hAnsi="Arial"/>
        </w:rPr>
        <w:t xml:space="preserve">. Astrocyte reactivity after CNS injury plays a role in neuroinflammation </w:t>
      </w:r>
      <w:r>
        <w:rPr>
          <w:rFonts w:ascii="Arial" w:hAnsi="Arial"/>
        </w:rPr>
        <w:fldChar w:fldCharType="begin"/>
      </w:r>
      <w:r>
        <w:rPr>
          <w:rFonts w:ascii="Arial" w:hAnsi="Arial"/>
        </w:rPr>
        <w:instrText xml:space="preserve"> ADDIN EN.CITE &lt;EndNote&gt;&lt;Cite&gt;&lt;Author&gt;Laird&lt;/Author&gt;&lt;Year&gt;2008&lt;/Year&gt;&lt;RecNum&gt;1094&lt;/RecNum&gt;&lt;DisplayText&gt;&lt;style face="superscript"&gt;6&lt;/style&gt;&lt;/DisplayText&gt;&lt;record&gt;&lt;rec-number&gt;1094&lt;/rec-number&gt;&lt;foreign-keys&gt;&lt;key app="EN" db-id="wttddzwwaewxvledze6vvrwitzefszwxa0pv" timestamp="0"&gt;1094&lt;/key&gt;&lt;/foreign-keys&gt;&lt;ref-type name="Journal Article"&gt;17&lt;/ref-type&gt;&lt;contributors&gt;&lt;authors&gt;&lt;author&gt;Laird, M. D.&lt;/author&gt;&lt;author&gt;Vender, J. R.&lt;/author&gt;&lt;author&gt;Dhandapani, K. M.&lt;/author&gt;&lt;/authors&gt;&lt;/contributors&gt;&lt;auth-address&gt;Department of Neurosurgery, Medical College of Georgia, Augusta, GA 30912, USA.&lt;/auth-address&gt;&lt;titles&gt;&lt;title&gt;Opposing roles for reactive astrocytes following traumatic brain injury&lt;/title&gt;&lt;secondary-title&gt;Neurosignals&lt;/secondary-title&gt;&lt;alt-title&gt;NeuroSignals&lt;/alt-title&gt;&lt;/titles&gt;&lt;pages&gt;154-164&lt;/pages&gt;&lt;volume&gt;16&lt;/volume&gt;&lt;number&gt;2-3&lt;/number&gt;&lt;keywords&gt;&lt;keyword&gt;Animals&lt;/keyword&gt;&lt;keyword&gt;Astrocytes/*metabolism/*pathology&lt;/keyword&gt;&lt;keyword&gt;Brain/metabolism/pathology&lt;/keyword&gt;&lt;keyword&gt;Brain Edema/metabolism/pathology/therapy&lt;/keyword&gt;&lt;keyword&gt;Brain Injuries/*metabolism/*pathology/therapy&lt;/keyword&gt;&lt;keyword&gt;Humans&lt;/keyword&gt;&lt;keyword&gt;Neurons/metabolism/pathology&lt;/keyword&gt;&lt;/keywords&gt;&lt;dates&gt;&lt;year&gt;2008&lt;/year&gt;&lt;/dates&gt;&lt;isbn&gt;1424-8638 (Electronic)&amp;#xD;1424-862X (Linking)&lt;/isbn&gt;&lt;accession-num&gt;18253055&lt;/accession-num&gt;&lt;urls&gt;&lt;related-urls&gt;&lt;url&gt;http://www.ncbi.nlm.nih.gov/pubmed/18253055&lt;/url&gt;&lt;/related-urls&gt;&lt;/urls&gt;&lt;electronic-resource-num&gt;10.1159/000111560&lt;/electronic-resource-num&gt;&lt;/record&gt;&lt;/Cite&gt;&lt;/EndNote&gt;</w:instrText>
      </w:r>
      <w:r>
        <w:rPr>
          <w:rFonts w:ascii="Arial" w:hAnsi="Arial"/>
        </w:rPr>
        <w:fldChar w:fldCharType="separate"/>
      </w:r>
      <w:r w:rsidRPr="00A2284C">
        <w:rPr>
          <w:rFonts w:ascii="Arial" w:hAnsi="Arial"/>
          <w:noProof/>
          <w:vertAlign w:val="superscript"/>
        </w:rPr>
        <w:t>6</w:t>
      </w:r>
      <w:r>
        <w:rPr>
          <w:rFonts w:ascii="Arial" w:hAnsi="Arial"/>
        </w:rPr>
        <w:fldChar w:fldCharType="end"/>
      </w:r>
      <w:r>
        <w:rPr>
          <w:rFonts w:ascii="Arial" w:hAnsi="Arial"/>
        </w:rPr>
        <w:t xml:space="preserve">, and there is evidence that neuroinflammation affects behaviorally relevant Arc induction in the hippocampus </w:t>
      </w:r>
      <w:r>
        <w:rPr>
          <w:rFonts w:ascii="Arial" w:hAnsi="Arial"/>
        </w:rPr>
        <w:fldChar w:fldCharType="begin"/>
      </w:r>
      <w:r>
        <w:rPr>
          <w:rFonts w:ascii="Arial" w:hAnsi="Arial"/>
        </w:rPr>
        <w:instrText xml:space="preserve"> ADDIN EN.CITE &lt;EndNote&gt;&lt;Cite&gt;&lt;Author&gt;Rosi&lt;/Author&gt;&lt;Year&gt;2011&lt;/Year&gt;&lt;RecNum&gt;1093&lt;/RecNum&gt;&lt;DisplayText&gt;&lt;style face="superscript"&gt;7&lt;/style&gt;&lt;/DisplayText&gt;&lt;record&gt;&lt;rec-number&gt;1093&lt;/rec-number&gt;&lt;foreign-keys&gt;&lt;key app="EN" db-id="wttddzwwaewxvledze6vvrwitzefszwxa0pv" timestamp="0"&gt;1093&lt;/key&gt;&lt;/foreign-keys&gt;&lt;ref-type name="Journal Article"&gt;17&lt;/ref-type&gt;&lt;contributors&gt;&lt;authors&gt;&lt;author&gt;Rosi, S.&lt;/author&gt;&lt;/authors&gt;&lt;/contributors&gt;&lt;auth-address&gt;Brain and Spinal Injury Center, University of California San Francisco, San Francisco, CA 94110, USA. rosis@ptrehab.ucsf.edu&lt;/auth-address&gt;&lt;titles&gt;&lt;title&gt;Neuroinflammation and the plasticity-related immediate-early gene Arc&lt;/title&gt;&lt;secondary-title&gt;Brain, Behavior, and Immunity&lt;/secondary-title&gt;&lt;alt-title&gt;Brain Behav. Immun.&lt;/alt-title&gt;&lt;/titles&gt;&lt;pages&gt;S39-49&lt;/pages&gt;&lt;volume&gt;25 Suppl 1&lt;/volume&gt;&lt;keywords&gt;&lt;keyword&gt;Animals&lt;/keyword&gt;&lt;keyword&gt;Brain/*metabolism&lt;/keyword&gt;&lt;keyword&gt;Cytoskeletal Proteins/*metabolism&lt;/keyword&gt;&lt;keyword&gt;Encephalitis/*metabolism&lt;/keyword&gt;&lt;keyword&gt;Microglia/metabolism&lt;/keyword&gt;&lt;keyword&gt;Nerve Tissue Proteins/*metabolism&lt;/keyword&gt;&lt;keyword&gt;Neuronal Plasticity/*physiology&lt;/keyword&gt;&lt;keyword&gt;Neurons/metabolism&lt;/keyword&gt;&lt;/keywords&gt;&lt;dates&gt;&lt;year&gt;2011&lt;/year&gt;&lt;pub-dates&gt;&lt;date&gt;Jun&lt;/date&gt;&lt;/pub-dates&gt;&lt;/dates&gt;&lt;isbn&gt;1090-2139 (Electronic)&amp;#xD;0889-1591 (Linking)&lt;/isbn&gt;&lt;accession-num&gt;21320587&lt;/accession-num&gt;&lt;urls&gt;&lt;related-urls&gt;&lt;url&gt;http://www.ncbi.nlm.nih.gov/pubmed/21320587&lt;/url&gt;&lt;/related-urls&gt;&lt;/urls&gt;&lt;custom2&gt;3098296&lt;/custom2&gt;&lt;electronic-resource-num&gt;10.1016/j.bbi.2011.02.003&lt;/electronic-resource-num&gt;&lt;/record&gt;&lt;/Cite&gt;&lt;/EndNote&gt;</w:instrText>
      </w:r>
      <w:r>
        <w:rPr>
          <w:rFonts w:ascii="Arial" w:hAnsi="Arial"/>
        </w:rPr>
        <w:fldChar w:fldCharType="separate"/>
      </w:r>
      <w:r w:rsidRPr="00A2284C">
        <w:rPr>
          <w:rFonts w:ascii="Arial" w:hAnsi="Arial"/>
          <w:noProof/>
          <w:vertAlign w:val="superscript"/>
        </w:rPr>
        <w:t>7</w:t>
      </w:r>
      <w:r>
        <w:rPr>
          <w:rFonts w:ascii="Arial" w:hAnsi="Arial"/>
        </w:rPr>
        <w:fldChar w:fldCharType="end"/>
      </w:r>
      <w:r>
        <w:rPr>
          <w:rFonts w:ascii="Arial" w:hAnsi="Arial"/>
        </w:rPr>
        <w:t xml:space="preserve">. </w:t>
      </w:r>
      <w:r w:rsidR="00437809">
        <w:rPr>
          <w:rFonts w:ascii="Arial" w:hAnsi="Arial"/>
        </w:rPr>
        <w:t xml:space="preserve">In the same animals as the Arc experiment, we also looked at </w:t>
      </w:r>
      <w:proofErr w:type="spellStart"/>
      <w:r w:rsidR="00437809">
        <w:rPr>
          <w:rFonts w:ascii="Arial" w:hAnsi="Arial"/>
        </w:rPr>
        <w:t>glilal</w:t>
      </w:r>
      <w:proofErr w:type="spellEnd"/>
      <w:r w:rsidR="00437809">
        <w:rPr>
          <w:rFonts w:ascii="Arial" w:hAnsi="Arial"/>
        </w:rPr>
        <w:t xml:space="preserve"> fibrillary acidic protein (GFAP) expression to determine the level of reactive astrocytes in regions of interest that process auditory and contextual fear in response to white noise after FPI. </w:t>
      </w:r>
      <w:r w:rsidR="00324301">
        <w:rPr>
          <w:rFonts w:ascii="Arial" w:hAnsi="Arial"/>
        </w:rPr>
        <w:t xml:space="preserve">Immunohistochemistry (IHC) methods were similar to Arc IHC for where frozen sections (40μm) containing the amygdala, dorsal hippocampus, and auditory cortex were stored in antifreeze (30% glycerol/30% ethylene glycol) at -20C until they were processed GFAP IHC. Sections were washed in 0.1M PBS and incubated in quenching solution (30% H202), washed and incubated in blocking solution for 1h at room temperature (5% normal goat serum, 0.4% Triton X-100, and 1% bovine serum albumin). Sections were then incubated overnight at 4ºC in primary antibody (anti-GFAP, 1:10,000, </w:t>
      </w:r>
      <w:proofErr w:type="spellStart"/>
      <w:r w:rsidR="00324301">
        <w:rPr>
          <w:rFonts w:ascii="Arial" w:hAnsi="Arial"/>
        </w:rPr>
        <w:t>Dako</w:t>
      </w:r>
      <w:proofErr w:type="spellEnd"/>
      <w:r w:rsidR="00324301">
        <w:rPr>
          <w:rFonts w:ascii="Arial" w:hAnsi="Arial"/>
        </w:rPr>
        <w:t xml:space="preserve"> Corporation). The next day, sections were washed in 0.1M PBS and incubated in biotinylated secondary antibody (goat anti-rabbit, 1:200, Invitrogen) for 1h at room temperature. After three washes, staining was amplified using </w:t>
      </w:r>
      <w:proofErr w:type="spellStart"/>
      <w:r w:rsidR="00324301">
        <w:rPr>
          <w:rFonts w:ascii="Arial" w:hAnsi="Arial"/>
        </w:rPr>
        <w:t>VectaStain</w:t>
      </w:r>
      <w:proofErr w:type="spellEnd"/>
      <w:r w:rsidR="00324301">
        <w:rPr>
          <w:rFonts w:ascii="Arial" w:hAnsi="Arial"/>
        </w:rPr>
        <w:t xml:space="preserve"> ABC kit (Vector Laboratories) and developed in DAB peroxidase substrate (Vector Laboratories). Sections were mounted on electrostatic slides (Fisher), dehydrated, and </w:t>
      </w:r>
      <w:proofErr w:type="spellStart"/>
      <w:r w:rsidR="00324301">
        <w:rPr>
          <w:rFonts w:ascii="Arial" w:hAnsi="Arial"/>
        </w:rPr>
        <w:t>coverslipped</w:t>
      </w:r>
      <w:proofErr w:type="spellEnd"/>
      <w:r w:rsidR="00324301">
        <w:rPr>
          <w:rFonts w:ascii="Arial" w:hAnsi="Arial"/>
        </w:rPr>
        <w:t>. GFAP staining for the same subregions was qualitatively assessed as percent area stained using ImageJ. Averages from each region and each hemisphere within subject were averaged as one value.</w:t>
      </w:r>
    </w:p>
    <w:p w14:paraId="2B6B7A5C" w14:textId="3993CA1F" w:rsidR="0053055D" w:rsidRDefault="00324301" w:rsidP="00642DC6">
      <w:pPr>
        <w:spacing w:line="360" w:lineRule="auto"/>
        <w:rPr>
          <w:rFonts w:ascii="Arial" w:hAnsi="Arial"/>
        </w:rPr>
      </w:pPr>
      <w:r>
        <w:rPr>
          <w:rFonts w:ascii="Arial" w:hAnsi="Arial"/>
        </w:rPr>
        <w:t xml:space="preserve">Multivariate analysis across regions and hemispheres for injury and noise condition revealed a significant </w:t>
      </w:r>
      <w:r w:rsidR="00437809">
        <w:rPr>
          <w:rFonts w:ascii="Arial" w:hAnsi="Arial"/>
        </w:rPr>
        <w:t>overall increase in relative GFAP expression in FPI groups</w:t>
      </w:r>
      <w:r>
        <w:rPr>
          <w:rFonts w:ascii="Arial" w:hAnsi="Arial"/>
        </w:rPr>
        <w:t xml:space="preserve">, (Wilks’ Lambda test, </w:t>
      </w:r>
      <w:proofErr w:type="gramStart"/>
      <w:r w:rsidR="006B269C">
        <w:rPr>
          <w:rFonts w:ascii="Arial" w:hAnsi="Arial"/>
        </w:rPr>
        <w:t>F(</w:t>
      </w:r>
      <w:proofErr w:type="gramEnd"/>
      <w:r w:rsidR="006B269C">
        <w:rPr>
          <w:rFonts w:ascii="Arial" w:hAnsi="Arial"/>
        </w:rPr>
        <w:t>8,10)=6.618, p=0.004)</w:t>
      </w:r>
      <w:r w:rsidR="00437809">
        <w:rPr>
          <w:rFonts w:ascii="Arial" w:hAnsi="Arial"/>
        </w:rPr>
        <w:t xml:space="preserve">. </w:t>
      </w:r>
      <w:r w:rsidR="00A2284C">
        <w:rPr>
          <w:rFonts w:ascii="Arial" w:hAnsi="Arial"/>
        </w:rPr>
        <w:t>The table below outlines the</w:t>
      </w:r>
      <w:r w:rsidR="000661FF">
        <w:rPr>
          <w:rFonts w:ascii="Arial" w:hAnsi="Arial"/>
        </w:rPr>
        <w:t xml:space="preserve"> between groups</w:t>
      </w:r>
      <w:r w:rsidR="00A2284C">
        <w:rPr>
          <w:rFonts w:ascii="Arial" w:hAnsi="Arial"/>
        </w:rPr>
        <w:t xml:space="preserve"> statistical outcomes for injury effect on GFAP expression for each region</w:t>
      </w:r>
      <w:r w:rsidR="00613DA3">
        <w:rPr>
          <w:rFonts w:ascii="Arial" w:hAnsi="Arial"/>
        </w:rPr>
        <w:t xml:space="preserve">, data </w:t>
      </w:r>
      <w:r w:rsidR="00613DA3">
        <w:rPr>
          <w:rFonts w:ascii="Arial" w:hAnsi="Arial"/>
        </w:rPr>
        <w:lastRenderedPageBreak/>
        <w:t>depicted in figure S1</w:t>
      </w:r>
      <w:r w:rsidR="00A2284C">
        <w:rPr>
          <w:rFonts w:ascii="Arial" w:hAnsi="Arial"/>
        </w:rPr>
        <w:t xml:space="preserve">. For regional effects of injury on GFAP, all regions measured revealed bilateral elevations in GFAP expression except for the contralateral medial geniculate, which was not different overall from sham. </w:t>
      </w:r>
    </w:p>
    <w:tbl>
      <w:tblPr>
        <w:tblStyle w:val="TableGrid"/>
        <w:tblW w:w="0" w:type="auto"/>
        <w:tblLook w:val="04A0" w:firstRow="1" w:lastRow="0" w:firstColumn="1" w:lastColumn="0" w:noHBand="0" w:noVBand="1"/>
      </w:tblPr>
      <w:tblGrid>
        <w:gridCol w:w="3116"/>
        <w:gridCol w:w="3112"/>
        <w:gridCol w:w="3240"/>
      </w:tblGrid>
      <w:tr w:rsidR="0053055D" w:rsidRPr="00642DC6" w14:paraId="33552910" w14:textId="77777777" w:rsidTr="00642DC6">
        <w:trPr>
          <w:trHeight w:val="413"/>
        </w:trPr>
        <w:tc>
          <w:tcPr>
            <w:tcW w:w="3116" w:type="dxa"/>
            <w:vAlign w:val="center"/>
          </w:tcPr>
          <w:p w14:paraId="41850650" w14:textId="2824E72A" w:rsidR="0053055D" w:rsidRPr="00642DC6" w:rsidRDefault="0053055D" w:rsidP="00642DC6">
            <w:pPr>
              <w:jc w:val="center"/>
              <w:rPr>
                <w:rFonts w:ascii="Arial" w:hAnsi="Arial"/>
                <w:szCs w:val="20"/>
              </w:rPr>
            </w:pPr>
            <w:r w:rsidRPr="00642DC6">
              <w:rPr>
                <w:rFonts w:ascii="Arial" w:hAnsi="Arial"/>
                <w:szCs w:val="20"/>
              </w:rPr>
              <w:t>Region</w:t>
            </w:r>
          </w:p>
        </w:tc>
        <w:tc>
          <w:tcPr>
            <w:tcW w:w="3112" w:type="dxa"/>
            <w:vAlign w:val="center"/>
          </w:tcPr>
          <w:p w14:paraId="27500FFE" w14:textId="7EB7CF90" w:rsidR="00642DC6" w:rsidRPr="00642DC6" w:rsidRDefault="0053055D" w:rsidP="00642DC6">
            <w:pPr>
              <w:jc w:val="center"/>
              <w:rPr>
                <w:rFonts w:ascii="Arial" w:hAnsi="Arial"/>
                <w:szCs w:val="20"/>
              </w:rPr>
            </w:pPr>
            <w:r w:rsidRPr="00642DC6">
              <w:rPr>
                <w:rFonts w:ascii="Arial" w:hAnsi="Arial"/>
                <w:szCs w:val="20"/>
              </w:rPr>
              <w:t>Result</w:t>
            </w:r>
          </w:p>
        </w:tc>
        <w:tc>
          <w:tcPr>
            <w:tcW w:w="3240" w:type="dxa"/>
            <w:vAlign w:val="center"/>
          </w:tcPr>
          <w:p w14:paraId="45825073" w14:textId="7826D8F3" w:rsidR="0053055D" w:rsidRPr="00642DC6" w:rsidRDefault="0053055D" w:rsidP="00642DC6">
            <w:pPr>
              <w:jc w:val="center"/>
              <w:rPr>
                <w:rFonts w:ascii="Arial" w:hAnsi="Arial"/>
                <w:szCs w:val="20"/>
              </w:rPr>
            </w:pPr>
            <w:r w:rsidRPr="00642DC6">
              <w:rPr>
                <w:rFonts w:ascii="Arial" w:hAnsi="Arial"/>
                <w:szCs w:val="20"/>
              </w:rPr>
              <w:t>Significance</w:t>
            </w:r>
            <w:r w:rsidR="00642DC6" w:rsidRPr="00642DC6">
              <w:rPr>
                <w:rFonts w:ascii="Arial" w:hAnsi="Arial"/>
                <w:szCs w:val="20"/>
              </w:rPr>
              <w:t xml:space="preserve"> (Sham vs. FPI)</w:t>
            </w:r>
          </w:p>
        </w:tc>
      </w:tr>
      <w:tr w:rsidR="0053055D" w14:paraId="09E911BA" w14:textId="77777777" w:rsidTr="00642DC6">
        <w:trPr>
          <w:trHeight w:val="326"/>
        </w:trPr>
        <w:tc>
          <w:tcPr>
            <w:tcW w:w="3116" w:type="dxa"/>
            <w:vAlign w:val="center"/>
          </w:tcPr>
          <w:p w14:paraId="348BCE14" w14:textId="3ABF1C17" w:rsidR="0053055D" w:rsidRDefault="0053055D" w:rsidP="00642DC6">
            <w:pPr>
              <w:jc w:val="center"/>
              <w:rPr>
                <w:rFonts w:ascii="Arial" w:hAnsi="Arial"/>
              </w:rPr>
            </w:pPr>
            <w:r>
              <w:rPr>
                <w:rFonts w:ascii="Arial" w:hAnsi="Arial"/>
              </w:rPr>
              <w:t xml:space="preserve">Lateral amygdala </w:t>
            </w:r>
            <w:proofErr w:type="spellStart"/>
            <w:r>
              <w:rPr>
                <w:rFonts w:ascii="Arial" w:hAnsi="Arial"/>
              </w:rPr>
              <w:t>ipsi</w:t>
            </w:r>
            <w:proofErr w:type="spellEnd"/>
          </w:p>
        </w:tc>
        <w:tc>
          <w:tcPr>
            <w:tcW w:w="3112" w:type="dxa"/>
            <w:vAlign w:val="center"/>
          </w:tcPr>
          <w:p w14:paraId="726DA044" w14:textId="7C244CC7" w:rsidR="0053055D" w:rsidRDefault="0053055D" w:rsidP="00642DC6">
            <w:pPr>
              <w:jc w:val="center"/>
              <w:rPr>
                <w:rFonts w:ascii="Arial" w:hAnsi="Arial"/>
              </w:rPr>
            </w:pPr>
            <w:proofErr w:type="gramStart"/>
            <w:r>
              <w:rPr>
                <w:rFonts w:ascii="Arial" w:hAnsi="Arial"/>
              </w:rPr>
              <w:t>F(</w:t>
            </w:r>
            <w:proofErr w:type="gramEnd"/>
            <w:r w:rsidR="00743A7F">
              <w:rPr>
                <w:rFonts w:ascii="Arial" w:hAnsi="Arial"/>
              </w:rPr>
              <w:t>1</w:t>
            </w:r>
            <w:r>
              <w:rPr>
                <w:rFonts w:ascii="Arial" w:hAnsi="Arial"/>
              </w:rPr>
              <w:t>, 17)=44.649, p&lt;0.001</w:t>
            </w:r>
          </w:p>
        </w:tc>
        <w:tc>
          <w:tcPr>
            <w:tcW w:w="3240" w:type="dxa"/>
            <w:vAlign w:val="center"/>
          </w:tcPr>
          <w:p w14:paraId="72AA4A16" w14:textId="1E491FF5" w:rsidR="0053055D" w:rsidRDefault="0053055D" w:rsidP="00642DC6">
            <w:pPr>
              <w:jc w:val="center"/>
              <w:rPr>
                <w:rFonts w:ascii="Arial" w:hAnsi="Arial"/>
              </w:rPr>
            </w:pPr>
            <w:r>
              <w:rPr>
                <w:rFonts w:ascii="Arial" w:hAnsi="Arial"/>
              </w:rPr>
              <w:t>***</w:t>
            </w:r>
          </w:p>
        </w:tc>
      </w:tr>
      <w:tr w:rsidR="0053055D" w14:paraId="4A227708" w14:textId="77777777" w:rsidTr="00642DC6">
        <w:trPr>
          <w:trHeight w:val="326"/>
        </w:trPr>
        <w:tc>
          <w:tcPr>
            <w:tcW w:w="3116" w:type="dxa"/>
            <w:vAlign w:val="center"/>
          </w:tcPr>
          <w:p w14:paraId="4515C381" w14:textId="73338270" w:rsidR="0053055D" w:rsidRDefault="0053055D" w:rsidP="00642DC6">
            <w:pPr>
              <w:jc w:val="center"/>
              <w:rPr>
                <w:rFonts w:ascii="Arial" w:hAnsi="Arial"/>
              </w:rPr>
            </w:pPr>
            <w:r>
              <w:rPr>
                <w:rFonts w:ascii="Arial" w:hAnsi="Arial"/>
              </w:rPr>
              <w:t>Lateral amygdala contra</w:t>
            </w:r>
          </w:p>
        </w:tc>
        <w:tc>
          <w:tcPr>
            <w:tcW w:w="3112" w:type="dxa"/>
            <w:vAlign w:val="center"/>
          </w:tcPr>
          <w:p w14:paraId="6EF9F836" w14:textId="4B95C568" w:rsidR="0053055D" w:rsidRDefault="0053055D" w:rsidP="00642DC6">
            <w:pPr>
              <w:jc w:val="center"/>
              <w:rPr>
                <w:rFonts w:ascii="Arial" w:hAnsi="Arial"/>
              </w:rPr>
            </w:pPr>
            <w:proofErr w:type="gramStart"/>
            <w:r>
              <w:rPr>
                <w:rFonts w:ascii="Arial" w:hAnsi="Arial"/>
              </w:rPr>
              <w:t>F(</w:t>
            </w:r>
            <w:proofErr w:type="gramEnd"/>
            <w:r w:rsidR="00743A7F">
              <w:rPr>
                <w:rFonts w:ascii="Arial" w:hAnsi="Arial"/>
              </w:rPr>
              <w:t>1</w:t>
            </w:r>
            <w:r>
              <w:rPr>
                <w:rFonts w:ascii="Arial" w:hAnsi="Arial"/>
              </w:rPr>
              <w:t>,17)=15.348, p=0.001</w:t>
            </w:r>
          </w:p>
        </w:tc>
        <w:tc>
          <w:tcPr>
            <w:tcW w:w="3240" w:type="dxa"/>
            <w:vAlign w:val="center"/>
          </w:tcPr>
          <w:p w14:paraId="06B43358" w14:textId="304D56BA" w:rsidR="0053055D" w:rsidRDefault="0053055D" w:rsidP="00642DC6">
            <w:pPr>
              <w:jc w:val="center"/>
              <w:rPr>
                <w:rFonts w:ascii="Arial" w:hAnsi="Arial"/>
              </w:rPr>
            </w:pPr>
            <w:r>
              <w:rPr>
                <w:rFonts w:ascii="Arial" w:hAnsi="Arial"/>
              </w:rPr>
              <w:t>***</w:t>
            </w:r>
          </w:p>
        </w:tc>
      </w:tr>
      <w:tr w:rsidR="0053055D" w14:paraId="4AE591D7" w14:textId="77777777" w:rsidTr="00642DC6">
        <w:trPr>
          <w:trHeight w:val="326"/>
        </w:trPr>
        <w:tc>
          <w:tcPr>
            <w:tcW w:w="3116" w:type="dxa"/>
            <w:vAlign w:val="center"/>
          </w:tcPr>
          <w:p w14:paraId="100E69C3" w14:textId="15539844" w:rsidR="0053055D" w:rsidRDefault="0053055D" w:rsidP="00642DC6">
            <w:pPr>
              <w:jc w:val="center"/>
              <w:rPr>
                <w:rFonts w:ascii="Arial" w:hAnsi="Arial"/>
              </w:rPr>
            </w:pPr>
            <w:r>
              <w:rPr>
                <w:rFonts w:ascii="Arial" w:hAnsi="Arial"/>
              </w:rPr>
              <w:t xml:space="preserve">Dentate gyrus </w:t>
            </w:r>
            <w:proofErr w:type="spellStart"/>
            <w:r>
              <w:rPr>
                <w:rFonts w:ascii="Arial" w:hAnsi="Arial"/>
              </w:rPr>
              <w:t>ipsi</w:t>
            </w:r>
            <w:proofErr w:type="spellEnd"/>
          </w:p>
        </w:tc>
        <w:tc>
          <w:tcPr>
            <w:tcW w:w="3112" w:type="dxa"/>
            <w:vAlign w:val="center"/>
          </w:tcPr>
          <w:p w14:paraId="13FC20D4" w14:textId="12914A39" w:rsidR="0053055D" w:rsidRDefault="0053055D" w:rsidP="00642DC6">
            <w:pPr>
              <w:jc w:val="center"/>
              <w:rPr>
                <w:rFonts w:ascii="Arial" w:hAnsi="Arial"/>
              </w:rPr>
            </w:pPr>
            <w:proofErr w:type="gramStart"/>
            <w:r>
              <w:rPr>
                <w:rFonts w:ascii="Arial" w:hAnsi="Arial"/>
              </w:rPr>
              <w:t>F(</w:t>
            </w:r>
            <w:proofErr w:type="gramEnd"/>
            <w:r w:rsidR="00743A7F">
              <w:rPr>
                <w:rFonts w:ascii="Arial" w:hAnsi="Arial"/>
              </w:rPr>
              <w:t>1</w:t>
            </w:r>
            <w:r>
              <w:rPr>
                <w:rFonts w:ascii="Arial" w:hAnsi="Arial"/>
              </w:rPr>
              <w:t>, 17)=7.6, p=0.013</w:t>
            </w:r>
          </w:p>
        </w:tc>
        <w:tc>
          <w:tcPr>
            <w:tcW w:w="3240" w:type="dxa"/>
            <w:vAlign w:val="center"/>
          </w:tcPr>
          <w:p w14:paraId="4A842754" w14:textId="36352A51" w:rsidR="0053055D" w:rsidRDefault="0053055D" w:rsidP="00642DC6">
            <w:pPr>
              <w:jc w:val="center"/>
              <w:rPr>
                <w:rFonts w:ascii="Arial" w:hAnsi="Arial"/>
              </w:rPr>
            </w:pPr>
            <w:r>
              <w:rPr>
                <w:rFonts w:ascii="Arial" w:hAnsi="Arial"/>
              </w:rPr>
              <w:t>*</w:t>
            </w:r>
          </w:p>
        </w:tc>
      </w:tr>
      <w:tr w:rsidR="0053055D" w14:paraId="5D731781" w14:textId="77777777" w:rsidTr="00642DC6">
        <w:trPr>
          <w:trHeight w:val="326"/>
        </w:trPr>
        <w:tc>
          <w:tcPr>
            <w:tcW w:w="3116" w:type="dxa"/>
            <w:vAlign w:val="center"/>
          </w:tcPr>
          <w:p w14:paraId="7E5EE920" w14:textId="4C660DD9" w:rsidR="0053055D" w:rsidRDefault="0053055D" w:rsidP="00642DC6">
            <w:pPr>
              <w:jc w:val="center"/>
              <w:rPr>
                <w:rFonts w:ascii="Arial" w:hAnsi="Arial"/>
              </w:rPr>
            </w:pPr>
            <w:r>
              <w:rPr>
                <w:rFonts w:ascii="Arial" w:hAnsi="Arial"/>
              </w:rPr>
              <w:t>Dentate gyrus contra</w:t>
            </w:r>
          </w:p>
        </w:tc>
        <w:tc>
          <w:tcPr>
            <w:tcW w:w="3112" w:type="dxa"/>
            <w:vAlign w:val="center"/>
          </w:tcPr>
          <w:p w14:paraId="1A226B23" w14:textId="267DDF35" w:rsidR="0053055D" w:rsidRDefault="0053055D" w:rsidP="00642DC6">
            <w:pPr>
              <w:jc w:val="center"/>
              <w:rPr>
                <w:rFonts w:ascii="Arial" w:hAnsi="Arial"/>
              </w:rPr>
            </w:pPr>
            <w:proofErr w:type="gramStart"/>
            <w:r>
              <w:rPr>
                <w:rFonts w:ascii="Arial" w:hAnsi="Arial"/>
              </w:rPr>
              <w:t>F(</w:t>
            </w:r>
            <w:proofErr w:type="gramEnd"/>
            <w:r w:rsidR="00743A7F">
              <w:rPr>
                <w:rFonts w:ascii="Arial" w:hAnsi="Arial"/>
              </w:rPr>
              <w:t>1</w:t>
            </w:r>
            <w:r w:rsidR="00A2284C">
              <w:rPr>
                <w:rFonts w:ascii="Arial" w:hAnsi="Arial"/>
              </w:rPr>
              <w:t>,</w:t>
            </w:r>
            <w:r>
              <w:rPr>
                <w:rFonts w:ascii="Arial" w:hAnsi="Arial"/>
              </w:rPr>
              <w:t>17)=10.442, p=</w:t>
            </w:r>
            <w:r w:rsidR="00A2284C">
              <w:rPr>
                <w:rFonts w:ascii="Arial" w:hAnsi="Arial"/>
              </w:rPr>
              <w:t>0.005</w:t>
            </w:r>
          </w:p>
        </w:tc>
        <w:tc>
          <w:tcPr>
            <w:tcW w:w="3240" w:type="dxa"/>
            <w:vAlign w:val="center"/>
          </w:tcPr>
          <w:p w14:paraId="3574D098" w14:textId="3027F8E5" w:rsidR="0053055D" w:rsidRDefault="00A2284C" w:rsidP="00642DC6">
            <w:pPr>
              <w:jc w:val="center"/>
              <w:rPr>
                <w:rFonts w:ascii="Arial" w:hAnsi="Arial"/>
              </w:rPr>
            </w:pPr>
            <w:r>
              <w:rPr>
                <w:rFonts w:ascii="Arial" w:hAnsi="Arial"/>
              </w:rPr>
              <w:t>**</w:t>
            </w:r>
          </w:p>
        </w:tc>
      </w:tr>
      <w:tr w:rsidR="0053055D" w14:paraId="3A4BFD85" w14:textId="77777777" w:rsidTr="00642DC6">
        <w:trPr>
          <w:trHeight w:val="326"/>
        </w:trPr>
        <w:tc>
          <w:tcPr>
            <w:tcW w:w="3116" w:type="dxa"/>
            <w:vAlign w:val="center"/>
          </w:tcPr>
          <w:p w14:paraId="3235B63B" w14:textId="44C90C0D" w:rsidR="0053055D" w:rsidRDefault="0053055D" w:rsidP="00642DC6">
            <w:pPr>
              <w:jc w:val="center"/>
              <w:rPr>
                <w:rFonts w:ascii="Arial" w:hAnsi="Arial"/>
              </w:rPr>
            </w:pPr>
            <w:r>
              <w:rPr>
                <w:rFonts w:ascii="Arial" w:hAnsi="Arial"/>
              </w:rPr>
              <w:t xml:space="preserve">Auditory Cortex </w:t>
            </w:r>
            <w:proofErr w:type="spellStart"/>
            <w:r>
              <w:rPr>
                <w:rFonts w:ascii="Arial" w:hAnsi="Arial"/>
              </w:rPr>
              <w:t>ipsi</w:t>
            </w:r>
            <w:proofErr w:type="spellEnd"/>
          </w:p>
        </w:tc>
        <w:tc>
          <w:tcPr>
            <w:tcW w:w="3112" w:type="dxa"/>
            <w:vAlign w:val="center"/>
          </w:tcPr>
          <w:p w14:paraId="519CC695" w14:textId="09A5808A" w:rsidR="0053055D" w:rsidRDefault="00A2284C" w:rsidP="00642DC6">
            <w:pPr>
              <w:jc w:val="center"/>
              <w:rPr>
                <w:rFonts w:ascii="Arial" w:hAnsi="Arial"/>
              </w:rPr>
            </w:pPr>
            <w:proofErr w:type="gramStart"/>
            <w:r>
              <w:rPr>
                <w:rFonts w:ascii="Arial" w:hAnsi="Arial"/>
              </w:rPr>
              <w:t>F(</w:t>
            </w:r>
            <w:proofErr w:type="gramEnd"/>
            <w:r w:rsidR="00743A7F">
              <w:rPr>
                <w:rFonts w:ascii="Arial" w:hAnsi="Arial"/>
              </w:rPr>
              <w:t>1</w:t>
            </w:r>
            <w:r>
              <w:rPr>
                <w:rFonts w:ascii="Arial" w:hAnsi="Arial"/>
              </w:rPr>
              <w:t>,17)=26.611, p&lt;0.001</w:t>
            </w:r>
          </w:p>
        </w:tc>
        <w:tc>
          <w:tcPr>
            <w:tcW w:w="3240" w:type="dxa"/>
            <w:vAlign w:val="center"/>
          </w:tcPr>
          <w:p w14:paraId="067B111B" w14:textId="1A7903A5" w:rsidR="0053055D" w:rsidRDefault="00A2284C" w:rsidP="00642DC6">
            <w:pPr>
              <w:jc w:val="center"/>
              <w:rPr>
                <w:rFonts w:ascii="Arial" w:hAnsi="Arial"/>
              </w:rPr>
            </w:pPr>
            <w:r>
              <w:rPr>
                <w:rFonts w:ascii="Arial" w:hAnsi="Arial"/>
              </w:rPr>
              <w:t>***</w:t>
            </w:r>
          </w:p>
        </w:tc>
      </w:tr>
      <w:tr w:rsidR="0053055D" w14:paraId="4A897D01" w14:textId="77777777" w:rsidTr="00642DC6">
        <w:trPr>
          <w:trHeight w:val="326"/>
        </w:trPr>
        <w:tc>
          <w:tcPr>
            <w:tcW w:w="3116" w:type="dxa"/>
            <w:vAlign w:val="center"/>
          </w:tcPr>
          <w:p w14:paraId="3E831451" w14:textId="25997812" w:rsidR="0053055D" w:rsidRDefault="0053055D" w:rsidP="00642DC6">
            <w:pPr>
              <w:jc w:val="center"/>
              <w:rPr>
                <w:rFonts w:ascii="Arial" w:hAnsi="Arial"/>
              </w:rPr>
            </w:pPr>
            <w:r>
              <w:rPr>
                <w:rFonts w:ascii="Arial" w:hAnsi="Arial"/>
              </w:rPr>
              <w:t>Auditory Cortex contra</w:t>
            </w:r>
          </w:p>
        </w:tc>
        <w:tc>
          <w:tcPr>
            <w:tcW w:w="3112" w:type="dxa"/>
            <w:vAlign w:val="center"/>
          </w:tcPr>
          <w:p w14:paraId="45AF2CE2" w14:textId="2EA89D80" w:rsidR="0053055D" w:rsidRDefault="00A2284C" w:rsidP="00642DC6">
            <w:pPr>
              <w:jc w:val="center"/>
              <w:rPr>
                <w:rFonts w:ascii="Arial" w:hAnsi="Arial"/>
              </w:rPr>
            </w:pPr>
            <w:proofErr w:type="gramStart"/>
            <w:r>
              <w:rPr>
                <w:rFonts w:ascii="Arial" w:hAnsi="Arial"/>
              </w:rPr>
              <w:t>F(</w:t>
            </w:r>
            <w:proofErr w:type="gramEnd"/>
            <w:r w:rsidR="00743A7F">
              <w:rPr>
                <w:rFonts w:ascii="Arial" w:hAnsi="Arial"/>
              </w:rPr>
              <w:t>1</w:t>
            </w:r>
            <w:r>
              <w:rPr>
                <w:rFonts w:ascii="Arial" w:hAnsi="Arial"/>
              </w:rPr>
              <w:t>,17)=6.905, p=0.018</w:t>
            </w:r>
          </w:p>
        </w:tc>
        <w:tc>
          <w:tcPr>
            <w:tcW w:w="3240" w:type="dxa"/>
            <w:vAlign w:val="center"/>
          </w:tcPr>
          <w:p w14:paraId="6C59C28D" w14:textId="4AEE525E" w:rsidR="0053055D" w:rsidRDefault="00A2284C" w:rsidP="00642DC6">
            <w:pPr>
              <w:jc w:val="center"/>
              <w:rPr>
                <w:rFonts w:ascii="Arial" w:hAnsi="Arial"/>
              </w:rPr>
            </w:pPr>
            <w:r>
              <w:rPr>
                <w:rFonts w:ascii="Arial" w:hAnsi="Arial"/>
              </w:rPr>
              <w:t>*</w:t>
            </w:r>
          </w:p>
        </w:tc>
      </w:tr>
      <w:tr w:rsidR="0053055D" w14:paraId="4EA149D0" w14:textId="77777777" w:rsidTr="00642DC6">
        <w:trPr>
          <w:trHeight w:val="326"/>
        </w:trPr>
        <w:tc>
          <w:tcPr>
            <w:tcW w:w="3116" w:type="dxa"/>
            <w:vAlign w:val="center"/>
          </w:tcPr>
          <w:p w14:paraId="65152A1F" w14:textId="45900257" w:rsidR="0053055D" w:rsidRDefault="0053055D" w:rsidP="00642DC6">
            <w:pPr>
              <w:jc w:val="center"/>
              <w:rPr>
                <w:rFonts w:ascii="Arial" w:hAnsi="Arial"/>
              </w:rPr>
            </w:pPr>
            <w:r>
              <w:rPr>
                <w:rFonts w:ascii="Arial" w:hAnsi="Arial"/>
              </w:rPr>
              <w:t xml:space="preserve">Medial geniculate </w:t>
            </w:r>
            <w:proofErr w:type="spellStart"/>
            <w:r>
              <w:rPr>
                <w:rFonts w:ascii="Arial" w:hAnsi="Arial"/>
              </w:rPr>
              <w:t>ipsi</w:t>
            </w:r>
            <w:proofErr w:type="spellEnd"/>
          </w:p>
        </w:tc>
        <w:tc>
          <w:tcPr>
            <w:tcW w:w="3112" w:type="dxa"/>
            <w:vAlign w:val="center"/>
          </w:tcPr>
          <w:p w14:paraId="77FDC2E5" w14:textId="736ABFA0" w:rsidR="0053055D" w:rsidRDefault="00A2284C" w:rsidP="00642DC6">
            <w:pPr>
              <w:jc w:val="center"/>
              <w:rPr>
                <w:rFonts w:ascii="Arial" w:hAnsi="Arial"/>
              </w:rPr>
            </w:pPr>
            <w:proofErr w:type="gramStart"/>
            <w:r>
              <w:rPr>
                <w:rFonts w:ascii="Arial" w:hAnsi="Arial"/>
              </w:rPr>
              <w:t>F(</w:t>
            </w:r>
            <w:proofErr w:type="gramEnd"/>
            <w:r w:rsidR="00743A7F">
              <w:rPr>
                <w:rFonts w:ascii="Arial" w:hAnsi="Arial"/>
              </w:rPr>
              <w:t>1</w:t>
            </w:r>
            <w:r>
              <w:rPr>
                <w:rFonts w:ascii="Arial" w:hAnsi="Arial"/>
              </w:rPr>
              <w:t>,17)=22.013, p&lt;0.001</w:t>
            </w:r>
          </w:p>
        </w:tc>
        <w:tc>
          <w:tcPr>
            <w:tcW w:w="3240" w:type="dxa"/>
            <w:vAlign w:val="center"/>
          </w:tcPr>
          <w:p w14:paraId="5D2AD103" w14:textId="47084A24" w:rsidR="0053055D" w:rsidRDefault="00A2284C" w:rsidP="00642DC6">
            <w:pPr>
              <w:jc w:val="center"/>
              <w:rPr>
                <w:rFonts w:ascii="Arial" w:hAnsi="Arial"/>
              </w:rPr>
            </w:pPr>
            <w:r>
              <w:rPr>
                <w:rFonts w:ascii="Arial" w:hAnsi="Arial"/>
              </w:rPr>
              <w:t>***</w:t>
            </w:r>
          </w:p>
        </w:tc>
      </w:tr>
      <w:tr w:rsidR="0053055D" w14:paraId="45F9B502" w14:textId="77777777" w:rsidTr="00642DC6">
        <w:trPr>
          <w:trHeight w:val="326"/>
        </w:trPr>
        <w:tc>
          <w:tcPr>
            <w:tcW w:w="3116" w:type="dxa"/>
            <w:vAlign w:val="center"/>
          </w:tcPr>
          <w:p w14:paraId="68F31B8B" w14:textId="260E653A" w:rsidR="0053055D" w:rsidRDefault="0053055D" w:rsidP="00642DC6">
            <w:pPr>
              <w:jc w:val="center"/>
              <w:rPr>
                <w:rFonts w:ascii="Arial" w:hAnsi="Arial"/>
              </w:rPr>
            </w:pPr>
            <w:r>
              <w:rPr>
                <w:rFonts w:ascii="Arial" w:hAnsi="Arial"/>
              </w:rPr>
              <w:t>Medial geniculate contra</w:t>
            </w:r>
          </w:p>
        </w:tc>
        <w:tc>
          <w:tcPr>
            <w:tcW w:w="3112" w:type="dxa"/>
            <w:vAlign w:val="center"/>
          </w:tcPr>
          <w:p w14:paraId="51749F0B" w14:textId="63437397" w:rsidR="0053055D" w:rsidRDefault="00A2284C" w:rsidP="00642DC6">
            <w:pPr>
              <w:jc w:val="center"/>
              <w:rPr>
                <w:rFonts w:ascii="Arial" w:hAnsi="Arial"/>
              </w:rPr>
            </w:pPr>
            <w:proofErr w:type="gramStart"/>
            <w:r>
              <w:rPr>
                <w:rFonts w:ascii="Arial" w:hAnsi="Arial"/>
              </w:rPr>
              <w:t>F(</w:t>
            </w:r>
            <w:proofErr w:type="gramEnd"/>
            <w:r w:rsidR="00743A7F">
              <w:rPr>
                <w:rFonts w:ascii="Arial" w:hAnsi="Arial"/>
              </w:rPr>
              <w:t>1</w:t>
            </w:r>
            <w:r>
              <w:rPr>
                <w:rFonts w:ascii="Arial" w:hAnsi="Arial"/>
              </w:rPr>
              <w:t>,17)=0.501, p=0.489</w:t>
            </w:r>
          </w:p>
        </w:tc>
        <w:tc>
          <w:tcPr>
            <w:tcW w:w="3240" w:type="dxa"/>
            <w:vAlign w:val="center"/>
          </w:tcPr>
          <w:p w14:paraId="020647B6" w14:textId="01586A00" w:rsidR="0053055D" w:rsidRDefault="00A2284C" w:rsidP="00642DC6">
            <w:pPr>
              <w:jc w:val="center"/>
              <w:rPr>
                <w:rFonts w:ascii="Arial" w:hAnsi="Arial"/>
              </w:rPr>
            </w:pPr>
            <w:r>
              <w:rPr>
                <w:rFonts w:ascii="Arial" w:hAnsi="Arial"/>
              </w:rPr>
              <w:t>ns</w:t>
            </w:r>
          </w:p>
        </w:tc>
      </w:tr>
    </w:tbl>
    <w:p w14:paraId="79C45189" w14:textId="77777777" w:rsidR="00133371" w:rsidRDefault="00133371" w:rsidP="00642DC6">
      <w:pPr>
        <w:spacing w:line="360" w:lineRule="auto"/>
        <w:ind w:firstLine="720"/>
        <w:rPr>
          <w:rFonts w:ascii="Arial" w:hAnsi="Arial"/>
        </w:rPr>
      </w:pPr>
    </w:p>
    <w:p w14:paraId="18EF5162" w14:textId="27E221BC" w:rsidR="003A3737" w:rsidRDefault="001358DF" w:rsidP="00642DC6">
      <w:pPr>
        <w:spacing w:line="360" w:lineRule="auto"/>
        <w:ind w:firstLine="720"/>
        <w:rPr>
          <w:rFonts w:ascii="Arial" w:hAnsi="Arial"/>
        </w:rPr>
      </w:pPr>
      <w:r>
        <w:rPr>
          <w:rFonts w:ascii="Arial" w:hAnsi="Arial"/>
        </w:rPr>
        <w:t xml:space="preserve">No significant effects </w:t>
      </w:r>
      <w:r w:rsidR="00743A7F">
        <w:rPr>
          <w:rFonts w:ascii="Arial" w:hAnsi="Arial"/>
        </w:rPr>
        <w:t xml:space="preserve">were observed for noise condition or the interaction, however GFAP in the </w:t>
      </w:r>
      <w:proofErr w:type="spellStart"/>
      <w:r w:rsidR="00743A7F">
        <w:rPr>
          <w:rFonts w:ascii="Arial" w:hAnsi="Arial"/>
        </w:rPr>
        <w:t>ipsi</w:t>
      </w:r>
      <w:proofErr w:type="spellEnd"/>
      <w:r w:rsidR="00743A7F">
        <w:rPr>
          <w:rFonts w:ascii="Arial" w:hAnsi="Arial"/>
        </w:rPr>
        <w:t xml:space="preserve"> LA was </w:t>
      </w:r>
      <w:proofErr w:type="spellStart"/>
      <w:r w:rsidR="00743A7F">
        <w:rPr>
          <w:rFonts w:ascii="Arial" w:hAnsi="Arial"/>
        </w:rPr>
        <w:t>nonsignificantly</w:t>
      </w:r>
      <w:proofErr w:type="spellEnd"/>
      <w:r w:rsidR="00743A7F">
        <w:rPr>
          <w:rFonts w:ascii="Arial" w:hAnsi="Arial"/>
        </w:rPr>
        <w:t xml:space="preserve"> increased in the noise + groups compared to quiet controls (</w:t>
      </w:r>
      <w:proofErr w:type="gramStart"/>
      <w:r w:rsidR="00743A7F">
        <w:rPr>
          <w:rFonts w:ascii="Arial" w:hAnsi="Arial"/>
        </w:rPr>
        <w:t>F(</w:t>
      </w:r>
      <w:proofErr w:type="gramEnd"/>
      <w:r w:rsidR="00743A7F">
        <w:rPr>
          <w:rFonts w:ascii="Arial" w:hAnsi="Arial"/>
        </w:rPr>
        <w:t xml:space="preserve">1,17)=2.476, p=0.061). It is interesting to speculate whether white noise exposure, especially after injury, affects glial activation </w:t>
      </w:r>
      <w:r w:rsidR="00242C2D">
        <w:rPr>
          <w:rFonts w:ascii="Arial" w:hAnsi="Arial"/>
        </w:rPr>
        <w:t xml:space="preserve">in sensory-emotional processing circuitry </w:t>
      </w:r>
      <w:r w:rsidR="00743A7F">
        <w:rPr>
          <w:rFonts w:ascii="Arial" w:hAnsi="Arial"/>
        </w:rPr>
        <w:t xml:space="preserve">and whether such an effect would influence neuronal activity. It may be the case that 90min after a single exposure would be too early to detect such an effect. </w:t>
      </w:r>
      <w:r w:rsidR="007C4B0B">
        <w:rPr>
          <w:rFonts w:ascii="Arial" w:hAnsi="Arial"/>
        </w:rPr>
        <w:t xml:space="preserve"> In any case, c</w:t>
      </w:r>
      <w:r w:rsidR="00437809">
        <w:rPr>
          <w:rFonts w:ascii="Arial" w:hAnsi="Arial"/>
        </w:rPr>
        <w:t xml:space="preserve">hanges in </w:t>
      </w:r>
      <w:r w:rsidR="00242C2D">
        <w:rPr>
          <w:rFonts w:ascii="Arial" w:hAnsi="Arial"/>
        </w:rPr>
        <w:t>A</w:t>
      </w:r>
      <w:r w:rsidR="00437809">
        <w:rPr>
          <w:rFonts w:ascii="Arial" w:hAnsi="Arial"/>
        </w:rPr>
        <w:t xml:space="preserve">rc induction, GFAP expression, and increased defensive behavior in response to white noise after FPI indicate dysregulated cognitive-emotional processing in the presence of this noxious auditory stimulus perceived by the TBI brain. </w:t>
      </w:r>
    </w:p>
    <w:p w14:paraId="2F09D94D" w14:textId="1D48FE30" w:rsidR="00437809" w:rsidRDefault="003A3737" w:rsidP="00642DC6">
      <w:pPr>
        <w:spacing w:line="360" w:lineRule="auto"/>
        <w:rPr>
          <w:rFonts w:ascii="Arial" w:hAnsi="Arial"/>
        </w:rPr>
      </w:pPr>
      <w:r>
        <w:rPr>
          <w:rFonts w:ascii="Arial" w:hAnsi="Arial"/>
        </w:rPr>
        <w:br w:type="page"/>
      </w:r>
    </w:p>
    <w:p w14:paraId="524C3896" w14:textId="04509AC6" w:rsidR="00AD6439" w:rsidRDefault="00C67C02" w:rsidP="00642DC6">
      <w:pPr>
        <w:spacing w:line="360" w:lineRule="auto"/>
        <w:rPr>
          <w:rFonts w:ascii="Arial" w:hAnsi="Arial"/>
          <w:b/>
        </w:rPr>
      </w:pPr>
      <w:r>
        <w:rPr>
          <w:rFonts w:ascii="Arial" w:hAnsi="Arial"/>
          <w:b/>
          <w:noProof/>
        </w:rPr>
        <w:lastRenderedPageBreak/>
        <w:drawing>
          <wp:inline distT="0" distB="0" distL="0" distR="0" wp14:anchorId="234E5A79" wp14:editId="444C4C4D">
            <wp:extent cx="5918200" cy="6096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S1.tiff"/>
                    <pic:cNvPicPr/>
                  </pic:nvPicPr>
                  <pic:blipFill>
                    <a:blip r:embed="rId7">
                      <a:extLst>
                        <a:ext uri="{28A0092B-C50C-407E-A947-70E740481C1C}">
                          <a14:useLocalDpi xmlns:a14="http://schemas.microsoft.com/office/drawing/2010/main" val="0"/>
                        </a:ext>
                      </a:extLst>
                    </a:blip>
                    <a:stretch>
                      <a:fillRect/>
                    </a:stretch>
                  </pic:blipFill>
                  <pic:spPr>
                    <a:xfrm>
                      <a:off x="0" y="0"/>
                      <a:ext cx="5918200" cy="6096000"/>
                    </a:xfrm>
                    <a:prstGeom prst="rect">
                      <a:avLst/>
                    </a:prstGeom>
                  </pic:spPr>
                </pic:pic>
              </a:graphicData>
            </a:graphic>
          </wp:inline>
        </w:drawing>
      </w:r>
    </w:p>
    <w:p w14:paraId="7DE6E676" w14:textId="472F8412" w:rsidR="000E41BF" w:rsidRPr="00C67C02" w:rsidRDefault="00C67C02" w:rsidP="00A934A9">
      <w:pPr>
        <w:rPr>
          <w:rFonts w:ascii="Arial" w:hAnsi="Arial"/>
          <w:bCs/>
        </w:rPr>
      </w:pPr>
      <w:r>
        <w:rPr>
          <w:rFonts w:ascii="Arial" w:hAnsi="Arial"/>
          <w:b/>
        </w:rPr>
        <w:t>Figure S</w:t>
      </w:r>
      <w:r w:rsidR="003B0890">
        <w:rPr>
          <w:rFonts w:ascii="Arial" w:hAnsi="Arial"/>
          <w:b/>
        </w:rPr>
        <w:t>3</w:t>
      </w:r>
      <w:r w:rsidRPr="00C075F9">
        <w:rPr>
          <w:rFonts w:ascii="Arial" w:hAnsi="Arial"/>
          <w:b/>
        </w:rPr>
        <w:t xml:space="preserve">. </w:t>
      </w:r>
      <w:r w:rsidR="00C075F9">
        <w:rPr>
          <w:rFonts w:ascii="Arial" w:hAnsi="Arial"/>
          <w:b/>
        </w:rPr>
        <w:t>Increased a</w:t>
      </w:r>
      <w:r w:rsidR="00642DC6" w:rsidRPr="00C075F9">
        <w:rPr>
          <w:rFonts w:ascii="Arial" w:hAnsi="Arial"/>
          <w:b/>
        </w:rPr>
        <w:t xml:space="preserve">strocyte reactivity by </w:t>
      </w:r>
      <w:r w:rsidRPr="00C075F9">
        <w:rPr>
          <w:rFonts w:ascii="Arial" w:hAnsi="Arial"/>
          <w:b/>
          <w:bCs/>
        </w:rPr>
        <w:t>GFAP</w:t>
      </w:r>
      <w:r w:rsidR="005026EC" w:rsidRPr="00C075F9">
        <w:rPr>
          <w:rFonts w:ascii="Arial" w:hAnsi="Arial"/>
          <w:b/>
          <w:bCs/>
        </w:rPr>
        <w:t xml:space="preserve"> expression following FPI</w:t>
      </w:r>
      <w:r w:rsidR="00C075F9">
        <w:rPr>
          <w:rFonts w:ascii="Arial" w:hAnsi="Arial"/>
          <w:bCs/>
        </w:rPr>
        <w:t>. Increased GFAP expression</w:t>
      </w:r>
      <w:r w:rsidR="005026EC">
        <w:rPr>
          <w:rFonts w:ascii="Arial" w:hAnsi="Arial"/>
          <w:bCs/>
        </w:rPr>
        <w:t xml:space="preserve"> in bilateral LA (A), dorsal dentate gyrus (B), and auditory cortex (D) was observed across FPI group</w:t>
      </w:r>
      <w:r w:rsidR="00C075F9">
        <w:rPr>
          <w:rFonts w:ascii="Arial" w:hAnsi="Arial"/>
          <w:bCs/>
        </w:rPr>
        <w:t xml:space="preserve">s </w:t>
      </w:r>
      <w:r w:rsidR="005026EC">
        <w:rPr>
          <w:rFonts w:ascii="Arial" w:hAnsi="Arial"/>
          <w:bCs/>
        </w:rPr>
        <w:t xml:space="preserve">compared to sham regardless of white noise exposure. </w:t>
      </w:r>
      <w:r w:rsidR="00642DC6">
        <w:rPr>
          <w:rFonts w:ascii="Arial" w:hAnsi="Arial"/>
          <w:bCs/>
        </w:rPr>
        <w:t xml:space="preserve"> </w:t>
      </w:r>
      <w:r w:rsidR="005026EC">
        <w:rPr>
          <w:rFonts w:ascii="Arial" w:hAnsi="Arial"/>
          <w:bCs/>
        </w:rPr>
        <w:t>In the medial geniculate nucleus, increased GFAP expression was observed only in the ipsilateral hemisphere (C). Representative images of GFAP</w:t>
      </w:r>
      <w:r w:rsidR="00C075F9">
        <w:rPr>
          <w:rFonts w:ascii="Arial" w:hAnsi="Arial"/>
          <w:bCs/>
        </w:rPr>
        <w:t xml:space="preserve"> staining</w:t>
      </w:r>
      <w:r w:rsidR="005026EC">
        <w:rPr>
          <w:rFonts w:ascii="Arial" w:hAnsi="Arial"/>
          <w:bCs/>
        </w:rPr>
        <w:t xml:space="preserve"> across ipsilateral (left) regions (4x magnification). Data are represented as mean ± SEM; ***p&lt;0.001; **p&lt;0.01; *p&lt;0.05 vs. Sham. </w:t>
      </w:r>
    </w:p>
    <w:p w14:paraId="09F1F692" w14:textId="11E0C7D2" w:rsidR="003A3737" w:rsidRDefault="003A3737" w:rsidP="00642DC6">
      <w:pPr>
        <w:spacing w:line="360" w:lineRule="auto"/>
        <w:rPr>
          <w:rFonts w:ascii="Arial" w:hAnsi="Arial"/>
          <w:b/>
        </w:rPr>
      </w:pPr>
    </w:p>
    <w:p w14:paraId="13A47D82" w14:textId="38E6D123" w:rsidR="00040879" w:rsidRDefault="00040879" w:rsidP="00642DC6">
      <w:pPr>
        <w:spacing w:line="360" w:lineRule="auto"/>
        <w:rPr>
          <w:rFonts w:ascii="Arial" w:hAnsi="Arial"/>
          <w:b/>
        </w:rPr>
      </w:pPr>
      <w:r>
        <w:rPr>
          <w:rFonts w:ascii="Arial" w:hAnsi="Arial"/>
          <w:b/>
        </w:rPr>
        <w:lastRenderedPageBreak/>
        <w:t xml:space="preserve">Corroboration </w:t>
      </w:r>
      <w:r w:rsidR="00AD6439">
        <w:rPr>
          <w:rFonts w:ascii="Arial" w:hAnsi="Arial"/>
          <w:b/>
        </w:rPr>
        <w:t xml:space="preserve">of two IEGs: </w:t>
      </w:r>
      <w:r>
        <w:rPr>
          <w:rFonts w:ascii="Arial" w:hAnsi="Arial"/>
          <w:b/>
        </w:rPr>
        <w:t xml:space="preserve">Increased activity in ipsilateral </w:t>
      </w:r>
      <w:proofErr w:type="spellStart"/>
      <w:r>
        <w:rPr>
          <w:rFonts w:ascii="Arial" w:hAnsi="Arial"/>
          <w:b/>
        </w:rPr>
        <w:t>thalamo</w:t>
      </w:r>
      <w:proofErr w:type="spellEnd"/>
      <w:r>
        <w:rPr>
          <w:rFonts w:ascii="Arial" w:hAnsi="Arial"/>
          <w:b/>
        </w:rPr>
        <w:t>-amygdala projecting neurons during white noise exposure after lateral FPI</w:t>
      </w:r>
      <w:r w:rsidR="00AD6439">
        <w:rPr>
          <w:rFonts w:ascii="Arial" w:hAnsi="Arial"/>
          <w:b/>
        </w:rPr>
        <w:t xml:space="preserve"> with c-</w:t>
      </w:r>
      <w:proofErr w:type="spellStart"/>
      <w:r w:rsidR="00AD6439">
        <w:rPr>
          <w:rFonts w:ascii="Arial" w:hAnsi="Arial"/>
          <w:b/>
        </w:rPr>
        <w:t>Fos</w:t>
      </w:r>
      <w:proofErr w:type="spellEnd"/>
      <w:r w:rsidR="00AD6439">
        <w:rPr>
          <w:rFonts w:ascii="Arial" w:hAnsi="Arial"/>
          <w:b/>
        </w:rPr>
        <w:t xml:space="preserve"> and Arc</w:t>
      </w:r>
    </w:p>
    <w:p w14:paraId="00C8683E" w14:textId="6468EC4B" w:rsidR="00AD6439" w:rsidRDefault="00AD6439" w:rsidP="00C075F9">
      <w:pPr>
        <w:spacing w:line="360" w:lineRule="auto"/>
        <w:ind w:firstLine="720"/>
        <w:rPr>
          <w:rFonts w:ascii="Arial" w:hAnsi="Arial"/>
        </w:rPr>
      </w:pPr>
      <w:r>
        <w:rPr>
          <w:rFonts w:ascii="Arial" w:hAnsi="Arial"/>
          <w:bCs/>
        </w:rPr>
        <w:t>While the data included in the main manuscript support that Arc induction in the LA is driven by Arc activity in MGN neurons projecting to LA, we further supported this effect with a different and commonly used IEG, c-</w:t>
      </w:r>
      <w:proofErr w:type="spellStart"/>
      <w:r>
        <w:rPr>
          <w:rFonts w:ascii="Arial" w:hAnsi="Arial"/>
          <w:bCs/>
        </w:rPr>
        <w:t>Fos</w:t>
      </w:r>
      <w:proofErr w:type="spellEnd"/>
      <w:r>
        <w:rPr>
          <w:rFonts w:ascii="Arial" w:hAnsi="Arial"/>
          <w:bCs/>
        </w:rPr>
        <w:t>. A separate series of tissue were from the projection mapping experiment and stained for c-</w:t>
      </w:r>
      <w:proofErr w:type="spellStart"/>
      <w:r>
        <w:rPr>
          <w:rFonts w:ascii="Arial" w:hAnsi="Arial"/>
          <w:bCs/>
        </w:rPr>
        <w:t>Fos</w:t>
      </w:r>
      <w:proofErr w:type="spellEnd"/>
      <w:r>
        <w:rPr>
          <w:rFonts w:ascii="Arial" w:hAnsi="Arial"/>
          <w:bCs/>
        </w:rPr>
        <w:t>. Neurons projecting to LA positive for CTB expression in MGN and Te3 were co-stained for c-</w:t>
      </w:r>
      <w:proofErr w:type="spellStart"/>
      <w:r>
        <w:rPr>
          <w:rFonts w:ascii="Arial" w:hAnsi="Arial"/>
          <w:bCs/>
        </w:rPr>
        <w:t>Fos</w:t>
      </w:r>
      <w:proofErr w:type="spellEnd"/>
      <w:r>
        <w:rPr>
          <w:rFonts w:ascii="Arial" w:hAnsi="Arial"/>
          <w:bCs/>
        </w:rPr>
        <w:t xml:space="preserve"> similarly to Arc IHC methods for immunofluorescence. Briefly, </w:t>
      </w:r>
      <w:r>
        <w:rPr>
          <w:rFonts w:ascii="Arial" w:hAnsi="Arial"/>
        </w:rPr>
        <w:t>f</w:t>
      </w:r>
      <w:r w:rsidRPr="00084D9C">
        <w:rPr>
          <w:rFonts w:ascii="Arial" w:hAnsi="Arial"/>
        </w:rPr>
        <w:t xml:space="preserve">or </w:t>
      </w:r>
      <w:r>
        <w:rPr>
          <w:rFonts w:ascii="Arial" w:hAnsi="Arial"/>
        </w:rPr>
        <w:t>c-</w:t>
      </w:r>
      <w:proofErr w:type="spellStart"/>
      <w:r>
        <w:rPr>
          <w:rFonts w:ascii="Arial" w:hAnsi="Arial"/>
        </w:rPr>
        <w:t>Fos</w:t>
      </w:r>
      <w:proofErr w:type="spellEnd"/>
      <w:r w:rsidRPr="00084D9C">
        <w:rPr>
          <w:rFonts w:ascii="Arial" w:hAnsi="Arial"/>
        </w:rPr>
        <w:t xml:space="preserve"> immunohistochemistry</w:t>
      </w:r>
      <w:r>
        <w:rPr>
          <w:rFonts w:ascii="Arial" w:hAnsi="Arial"/>
        </w:rPr>
        <w:t>, selected tissue sections were washed in 0.1M PBS and incubated in blocking solution for 1h at room temperature (</w:t>
      </w:r>
      <w:r w:rsidRPr="006B0B1A">
        <w:rPr>
          <w:rFonts w:ascii="Arial" w:hAnsi="Arial"/>
        </w:rPr>
        <w:t>5% normal goat serum, 0.4% Triton X-100). Sections were then incubated overnight at 4</w:t>
      </w:r>
      <w:r>
        <w:rPr>
          <w:rFonts w:ascii="Arial" w:hAnsi="Arial"/>
        </w:rPr>
        <w:t>ºC in primary antibody (anti-c-</w:t>
      </w:r>
      <w:proofErr w:type="spellStart"/>
      <w:r>
        <w:rPr>
          <w:rFonts w:ascii="Arial" w:hAnsi="Arial"/>
        </w:rPr>
        <w:t>Fos</w:t>
      </w:r>
      <w:proofErr w:type="spellEnd"/>
      <w:r>
        <w:rPr>
          <w:rFonts w:ascii="Arial" w:hAnsi="Arial"/>
        </w:rPr>
        <w:t>, 1:10,000, Millipore). The next day, sections were washed in 0.1M PBS and incubated in secondary antibody (</w:t>
      </w:r>
      <w:r w:rsidRPr="006B0B1A">
        <w:rPr>
          <w:rFonts w:ascii="Arial" w:hAnsi="Arial"/>
        </w:rPr>
        <w:t xml:space="preserve">goat anti-rabbit Alexa </w:t>
      </w:r>
      <w:proofErr w:type="spellStart"/>
      <w:r w:rsidRPr="006B0B1A">
        <w:rPr>
          <w:rFonts w:ascii="Arial" w:hAnsi="Arial"/>
        </w:rPr>
        <w:t>fluor</w:t>
      </w:r>
      <w:proofErr w:type="spellEnd"/>
      <w:r w:rsidRPr="006B0B1A">
        <w:rPr>
          <w:rFonts w:ascii="Arial" w:hAnsi="Arial"/>
        </w:rPr>
        <w:t xml:space="preserve"> 594, 1:500,</w:t>
      </w:r>
      <w:r>
        <w:rPr>
          <w:rFonts w:ascii="Arial" w:hAnsi="Arial"/>
        </w:rPr>
        <w:t xml:space="preserve"> Life Technologies) for 1h at room temperature. Sections were washed in 0.1M PBS, mounted on electrostatic slides (Fisher), and </w:t>
      </w:r>
      <w:proofErr w:type="spellStart"/>
      <w:r>
        <w:rPr>
          <w:rFonts w:ascii="Arial" w:hAnsi="Arial"/>
        </w:rPr>
        <w:t>coverslipped</w:t>
      </w:r>
      <w:proofErr w:type="spellEnd"/>
      <w:r>
        <w:rPr>
          <w:rFonts w:ascii="Arial" w:hAnsi="Arial"/>
        </w:rPr>
        <w:t xml:space="preserve"> with </w:t>
      </w:r>
      <w:proofErr w:type="spellStart"/>
      <w:r>
        <w:rPr>
          <w:rFonts w:ascii="Arial" w:hAnsi="Arial"/>
        </w:rPr>
        <w:t>Vectashield</w:t>
      </w:r>
      <w:proofErr w:type="spellEnd"/>
      <w:r>
        <w:rPr>
          <w:rFonts w:ascii="Arial" w:hAnsi="Arial"/>
        </w:rPr>
        <w:t xml:space="preserve"> (Fisher Scientific). Percentage of c-</w:t>
      </w:r>
      <w:proofErr w:type="spellStart"/>
      <w:r>
        <w:rPr>
          <w:rFonts w:ascii="Arial" w:hAnsi="Arial"/>
        </w:rPr>
        <w:t>Fos</w:t>
      </w:r>
      <w:proofErr w:type="spellEnd"/>
      <w:r>
        <w:rPr>
          <w:rFonts w:ascii="Arial" w:hAnsi="Arial"/>
        </w:rPr>
        <w:t xml:space="preserve">+ cells in LA-projecting cells (CTB+) was analyzed in regions that provide auditory information to the LA </w:t>
      </w:r>
      <w:r>
        <w:rPr>
          <w:rFonts w:ascii="Arial" w:hAnsi="Arial"/>
        </w:rPr>
        <w:fldChar w:fldCharType="begin"/>
      </w:r>
      <w:r>
        <w:rPr>
          <w:rFonts w:ascii="Arial" w:hAnsi="Arial"/>
        </w:rPr>
        <w:instrText xml:space="preserve"> ADDIN EN.CITE &lt;EndNote&gt;&lt;Cite&gt;&lt;Author&gt;Maren&lt;/Author&gt;&lt;Year&gt;2004&lt;/Year&gt;&lt;RecNum&gt;444&lt;/RecNum&gt;&lt;DisplayText&gt;&lt;style face="superscript"&gt;8&lt;/style&gt;&lt;/DisplayText&gt;&lt;record&gt;&lt;rec-number&gt;444&lt;/rec-number&gt;&lt;foreign-keys&gt;&lt;key app="EN" db-id="wttddzwwaewxvledze6vvrwitzefszwxa0pv" timestamp="0"&gt;444&lt;/key&gt;&lt;/foreign-keys&gt;&lt;ref-type name="Journal Article"&gt;17&lt;/ref-type&gt;&lt;contributors&gt;&lt;authors&gt;&lt;author&gt;Maren, S.&lt;/author&gt;&lt;author&gt;Quirk, G. J.&lt;/author&gt;&lt;/authors&gt;&lt;/contributors&gt;&lt;auth-address&gt;Department of Psychology and Neuroscience Program, University of Michigan, Ann Arbor, Michigan 48109, USA. maren@umich.edu&lt;/auth-address&gt;&lt;titles&gt;&lt;title&gt;Neuronal signalling of fear memory&lt;/title&gt;&lt;secondary-title&gt;Nature Reviews Neuroscience&lt;/secondary-title&gt;&lt;alt-title&gt;Nat. Rev. Neurosci.&lt;/alt-title&gt;&lt;/titles&gt;&lt;periodical&gt;&lt;full-title&gt;Nature Reviews Neuroscience&lt;/full-title&gt;&lt;abbr-1&gt;Nat. Rev. Neurosci.&lt;/abbr-1&gt;&lt;/periodical&gt;&lt;alt-periodical&gt;&lt;full-title&gt;Nature Reviews Neuroscience&lt;/full-title&gt;&lt;abbr-1&gt;Nat. Rev. Neurosci.&lt;/abbr-1&gt;&lt;/alt-periodical&gt;&lt;pages&gt;844-852&lt;/pages&gt;&lt;volume&gt;5&lt;/volume&gt;&lt;number&gt;11&lt;/number&gt;&lt;edition&gt;2004/10/22&lt;/edition&gt;&lt;keywords&gt;&lt;keyword&gt;Amygdala/physiology&lt;/keyword&gt;&lt;keyword&gt;Animals&lt;/keyword&gt;&lt;keyword&gt;Extinction, Psychological&lt;/keyword&gt;&lt;keyword&gt;*Fear&lt;/keyword&gt;&lt;keyword&gt;Humans&lt;/keyword&gt;&lt;keyword&gt;Memory/*physiology&lt;/keyword&gt;&lt;keyword&gt;Neural Inhibition&lt;/keyword&gt;&lt;keyword&gt;Neuronal Plasticity&lt;/keyword&gt;&lt;keyword&gt;Neurons/*physiology&lt;/keyword&gt;&lt;keyword&gt;Signal Transduction/*physiology&lt;/keyword&gt;&lt;/keywords&gt;&lt;dates&gt;&lt;year&gt;2004&lt;/year&gt;&lt;pub-dates&gt;&lt;date&gt;Nov&lt;/date&gt;&lt;/pub-dates&gt;&lt;/dates&gt;&lt;isbn&gt;1471-003X (Print)&amp;#xD;1471-003X (Linking)&lt;/isbn&gt;&lt;accession-num&gt;15496862&lt;/accession-num&gt;&lt;urls&gt;&lt;related-urls&gt;&lt;url&gt;http://www.ncbi.nlm.nih.gov/entrez/query.fcgi?cmd=Retrieve&amp;amp;db=PubMed&amp;amp;dopt=Citation&amp;amp;list_uids=15496862&lt;/url&gt;&lt;/related-urls&gt;&lt;/urls&gt;&lt;electronic-resource-num&gt;nrn1535 [pii]&amp;#xD;10.1038/nrn1535&lt;/electronic-resource-num&gt;&lt;language&gt;eng&lt;/language&gt;&lt;/record&gt;&lt;/Cite&gt;&lt;/EndNote&gt;</w:instrText>
      </w:r>
      <w:r>
        <w:rPr>
          <w:rFonts w:ascii="Arial" w:hAnsi="Arial"/>
        </w:rPr>
        <w:fldChar w:fldCharType="separate"/>
      </w:r>
      <w:r w:rsidRPr="00AD6439">
        <w:rPr>
          <w:rFonts w:ascii="Arial" w:hAnsi="Arial"/>
          <w:noProof/>
          <w:vertAlign w:val="superscript"/>
        </w:rPr>
        <w:t>8</w:t>
      </w:r>
      <w:r>
        <w:rPr>
          <w:rFonts w:ascii="Arial" w:hAnsi="Arial"/>
        </w:rPr>
        <w:fldChar w:fldCharType="end"/>
      </w:r>
      <w:r>
        <w:rPr>
          <w:rFonts w:ascii="Arial" w:hAnsi="Arial"/>
        </w:rPr>
        <w:t>, the auditory thalamus (medial geniculate nucleus; MGN) and secondary auditory cortex (Te3). For c-</w:t>
      </w:r>
      <w:proofErr w:type="spellStart"/>
      <w:r>
        <w:rPr>
          <w:rFonts w:ascii="Arial" w:hAnsi="Arial"/>
        </w:rPr>
        <w:t>Fos</w:t>
      </w:r>
      <w:proofErr w:type="spellEnd"/>
      <w:r>
        <w:rPr>
          <w:rFonts w:ascii="Arial" w:hAnsi="Arial"/>
        </w:rPr>
        <w:t xml:space="preserve"> expression in CTB+ neurons projecting to LA, multivariate analyses (MANOVA) revealed </w:t>
      </w:r>
      <w:r w:rsidR="00AE6376">
        <w:rPr>
          <w:rFonts w:ascii="Arial" w:hAnsi="Arial"/>
        </w:rPr>
        <w:t xml:space="preserve">a significant between groups effect of injury in the </w:t>
      </w:r>
      <w:proofErr w:type="spellStart"/>
      <w:r w:rsidR="00AE6376">
        <w:rPr>
          <w:rFonts w:ascii="Arial" w:hAnsi="Arial"/>
        </w:rPr>
        <w:t>ipsi</w:t>
      </w:r>
      <w:proofErr w:type="spellEnd"/>
      <w:r w:rsidR="00AE6376">
        <w:rPr>
          <w:rFonts w:ascii="Arial" w:hAnsi="Arial"/>
        </w:rPr>
        <w:t xml:space="preserve"> MGN, (</w:t>
      </w:r>
      <w:proofErr w:type="gramStart"/>
      <w:r w:rsidR="00AE6376">
        <w:rPr>
          <w:rFonts w:ascii="Arial" w:hAnsi="Arial"/>
        </w:rPr>
        <w:t>F(</w:t>
      </w:r>
      <w:proofErr w:type="gramEnd"/>
      <w:r w:rsidR="00AE6376">
        <w:rPr>
          <w:rFonts w:ascii="Arial" w:hAnsi="Arial"/>
        </w:rPr>
        <w:t xml:space="preserve">1,8)=7.134, p=0.028), with no other significant effects observed. </w:t>
      </w:r>
    </w:p>
    <w:p w14:paraId="6331EC8C" w14:textId="3209554F" w:rsidR="00AD6439" w:rsidRPr="006A6ECF" w:rsidRDefault="00AD6439" w:rsidP="00642DC6">
      <w:pPr>
        <w:spacing w:line="360" w:lineRule="auto"/>
        <w:rPr>
          <w:rFonts w:ascii="Arial" w:hAnsi="Arial"/>
        </w:rPr>
      </w:pPr>
    </w:p>
    <w:p w14:paraId="5E2D9891" w14:textId="77777777" w:rsidR="00A7460F" w:rsidRDefault="00A7460F" w:rsidP="00A934A9">
      <w:pPr>
        <w:rPr>
          <w:rFonts w:ascii="Arial" w:hAnsi="Arial"/>
          <w:b/>
          <w:bCs/>
        </w:rPr>
      </w:pPr>
    </w:p>
    <w:p w14:paraId="1D59025C" w14:textId="77777777" w:rsidR="00A7460F" w:rsidRDefault="00A7460F" w:rsidP="00A934A9">
      <w:pPr>
        <w:rPr>
          <w:rFonts w:ascii="Arial" w:hAnsi="Arial"/>
          <w:b/>
          <w:bCs/>
        </w:rPr>
      </w:pPr>
    </w:p>
    <w:p w14:paraId="21790865" w14:textId="77777777" w:rsidR="00A7460F" w:rsidRDefault="00A7460F" w:rsidP="00A934A9">
      <w:pPr>
        <w:rPr>
          <w:rFonts w:ascii="Arial" w:hAnsi="Arial"/>
          <w:b/>
          <w:bCs/>
        </w:rPr>
      </w:pPr>
    </w:p>
    <w:p w14:paraId="30A40C24" w14:textId="77777777" w:rsidR="00A7460F" w:rsidRDefault="00A7460F" w:rsidP="00A934A9">
      <w:pPr>
        <w:rPr>
          <w:rFonts w:ascii="Arial" w:hAnsi="Arial"/>
          <w:b/>
          <w:bCs/>
        </w:rPr>
      </w:pPr>
    </w:p>
    <w:p w14:paraId="63F3A5FA" w14:textId="77777777" w:rsidR="00A7460F" w:rsidRDefault="00A7460F" w:rsidP="00A934A9">
      <w:pPr>
        <w:rPr>
          <w:rFonts w:ascii="Arial" w:hAnsi="Arial"/>
          <w:b/>
          <w:bCs/>
        </w:rPr>
      </w:pPr>
    </w:p>
    <w:p w14:paraId="6E2AD6DE" w14:textId="77777777" w:rsidR="00A7460F" w:rsidRDefault="00A7460F" w:rsidP="00A934A9">
      <w:pPr>
        <w:rPr>
          <w:rFonts w:ascii="Arial" w:hAnsi="Arial"/>
          <w:b/>
          <w:bCs/>
        </w:rPr>
      </w:pPr>
    </w:p>
    <w:p w14:paraId="23552FB4" w14:textId="77777777" w:rsidR="00A7460F" w:rsidRDefault="00A7460F" w:rsidP="00A934A9">
      <w:pPr>
        <w:rPr>
          <w:rFonts w:ascii="Arial" w:hAnsi="Arial"/>
          <w:b/>
          <w:bCs/>
        </w:rPr>
      </w:pPr>
    </w:p>
    <w:p w14:paraId="0F9A6EFA" w14:textId="77777777" w:rsidR="00A7460F" w:rsidRDefault="00A7460F" w:rsidP="00A934A9">
      <w:pPr>
        <w:rPr>
          <w:rFonts w:ascii="Arial" w:hAnsi="Arial"/>
          <w:b/>
          <w:bCs/>
        </w:rPr>
      </w:pPr>
    </w:p>
    <w:p w14:paraId="46487B28" w14:textId="77777777" w:rsidR="00A7460F" w:rsidRDefault="00A7460F" w:rsidP="00A934A9">
      <w:pPr>
        <w:rPr>
          <w:rFonts w:ascii="Arial" w:hAnsi="Arial"/>
          <w:b/>
          <w:bCs/>
        </w:rPr>
      </w:pPr>
    </w:p>
    <w:p w14:paraId="3564860B" w14:textId="77777777" w:rsidR="00A7460F" w:rsidRDefault="00A7460F" w:rsidP="00A934A9">
      <w:pPr>
        <w:rPr>
          <w:rFonts w:ascii="Arial" w:hAnsi="Arial"/>
          <w:b/>
          <w:bCs/>
        </w:rPr>
      </w:pPr>
    </w:p>
    <w:p w14:paraId="33AA7677" w14:textId="77777777" w:rsidR="00A7460F" w:rsidRDefault="00A7460F" w:rsidP="00A934A9">
      <w:pPr>
        <w:rPr>
          <w:rFonts w:ascii="Arial" w:hAnsi="Arial"/>
          <w:b/>
          <w:bCs/>
        </w:rPr>
      </w:pPr>
    </w:p>
    <w:p w14:paraId="7768BA1B" w14:textId="77777777" w:rsidR="00A7460F" w:rsidRDefault="00A7460F" w:rsidP="00A934A9">
      <w:pPr>
        <w:rPr>
          <w:rFonts w:ascii="Arial" w:hAnsi="Arial"/>
          <w:b/>
          <w:bCs/>
        </w:rPr>
      </w:pPr>
    </w:p>
    <w:p w14:paraId="4D2E91E4" w14:textId="77777777" w:rsidR="00A7460F" w:rsidRDefault="00A7460F" w:rsidP="00A934A9">
      <w:pPr>
        <w:rPr>
          <w:rFonts w:ascii="Arial" w:hAnsi="Arial"/>
          <w:b/>
          <w:bCs/>
        </w:rPr>
      </w:pPr>
    </w:p>
    <w:p w14:paraId="22F37651" w14:textId="77777777" w:rsidR="00A7460F" w:rsidRDefault="00A7460F" w:rsidP="00A934A9">
      <w:pPr>
        <w:rPr>
          <w:rFonts w:ascii="Arial" w:hAnsi="Arial"/>
          <w:b/>
          <w:bCs/>
        </w:rPr>
      </w:pPr>
    </w:p>
    <w:p w14:paraId="5E585B68" w14:textId="77777777" w:rsidR="00A7460F" w:rsidRDefault="00A7460F" w:rsidP="00A934A9">
      <w:pPr>
        <w:rPr>
          <w:rFonts w:ascii="Arial" w:hAnsi="Arial"/>
          <w:b/>
          <w:bCs/>
        </w:rPr>
      </w:pPr>
    </w:p>
    <w:p w14:paraId="6F193C37" w14:textId="710EC2E9" w:rsidR="00AD6439" w:rsidRPr="00C075F9" w:rsidRDefault="00C075F9" w:rsidP="00A934A9">
      <w:pPr>
        <w:rPr>
          <w:rFonts w:ascii="Arial" w:hAnsi="Arial"/>
          <w:bCs/>
        </w:rPr>
      </w:pPr>
      <w:bookmarkStart w:id="0" w:name="_GoBack"/>
      <w:bookmarkEnd w:id="0"/>
      <w:r w:rsidRPr="00C075F9">
        <w:rPr>
          <w:rFonts w:ascii="Arial" w:hAnsi="Arial"/>
          <w:noProof/>
        </w:rPr>
        <w:drawing>
          <wp:anchor distT="0" distB="0" distL="114300" distR="114300" simplePos="0" relativeHeight="251658240" behindDoc="0" locked="0" layoutInCell="1" allowOverlap="1" wp14:anchorId="2C421166" wp14:editId="7D13CB15">
            <wp:simplePos x="0" y="0"/>
            <wp:positionH relativeFrom="column">
              <wp:posOffset>1714500</wp:posOffset>
            </wp:positionH>
            <wp:positionV relativeFrom="paragraph">
              <wp:posOffset>-228600</wp:posOffset>
            </wp:positionV>
            <wp:extent cx="2811780" cy="2971800"/>
            <wp:effectExtent l="0" t="0" r="762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S2.tiff"/>
                    <pic:cNvPicPr/>
                  </pic:nvPicPr>
                  <pic:blipFill>
                    <a:blip r:embed="rId8">
                      <a:extLst>
                        <a:ext uri="{28A0092B-C50C-407E-A947-70E740481C1C}">
                          <a14:useLocalDpi xmlns:a14="http://schemas.microsoft.com/office/drawing/2010/main" val="0"/>
                        </a:ext>
                      </a:extLst>
                    </a:blip>
                    <a:stretch>
                      <a:fillRect/>
                    </a:stretch>
                  </pic:blipFill>
                  <pic:spPr>
                    <a:xfrm>
                      <a:off x="0" y="0"/>
                      <a:ext cx="2811780" cy="2971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bCs/>
        </w:rPr>
        <w:t>Figure S</w:t>
      </w:r>
      <w:r w:rsidR="003B0890">
        <w:rPr>
          <w:rFonts w:ascii="Arial" w:hAnsi="Arial"/>
          <w:b/>
          <w:bCs/>
        </w:rPr>
        <w:t>4</w:t>
      </w:r>
      <w:r w:rsidRPr="00C075F9">
        <w:rPr>
          <w:rFonts w:ascii="Arial" w:hAnsi="Arial"/>
          <w:b/>
          <w:bCs/>
        </w:rPr>
        <w:t xml:space="preserve">. </w:t>
      </w:r>
      <w:r w:rsidRPr="00C075F9">
        <w:rPr>
          <w:rFonts w:ascii="Arial" w:hAnsi="Arial"/>
          <w:b/>
        </w:rPr>
        <w:t xml:space="preserve">Increased </w:t>
      </w:r>
      <w:r>
        <w:rPr>
          <w:rFonts w:ascii="Arial" w:hAnsi="Arial"/>
          <w:b/>
        </w:rPr>
        <w:t>c-</w:t>
      </w:r>
      <w:proofErr w:type="spellStart"/>
      <w:r>
        <w:rPr>
          <w:rFonts w:ascii="Arial" w:hAnsi="Arial"/>
          <w:b/>
        </w:rPr>
        <w:t>Fos</w:t>
      </w:r>
      <w:proofErr w:type="spellEnd"/>
      <w:r>
        <w:rPr>
          <w:rFonts w:ascii="Arial" w:hAnsi="Arial"/>
          <w:b/>
        </w:rPr>
        <w:t xml:space="preserve"> activity</w:t>
      </w:r>
      <w:r w:rsidRPr="00C075F9">
        <w:rPr>
          <w:rFonts w:ascii="Arial" w:hAnsi="Arial"/>
          <w:b/>
        </w:rPr>
        <w:t xml:space="preserve"> in ipsilateral </w:t>
      </w:r>
      <w:proofErr w:type="spellStart"/>
      <w:r w:rsidRPr="00C075F9">
        <w:rPr>
          <w:rFonts w:ascii="Arial" w:hAnsi="Arial"/>
          <w:b/>
        </w:rPr>
        <w:t>thalamo</w:t>
      </w:r>
      <w:proofErr w:type="spellEnd"/>
      <w:r w:rsidRPr="00C075F9">
        <w:rPr>
          <w:rFonts w:ascii="Arial" w:hAnsi="Arial"/>
          <w:b/>
        </w:rPr>
        <w:t>-amygdala projecting neurons during white noise exposure after lateral FPI</w:t>
      </w:r>
      <w:r>
        <w:rPr>
          <w:rFonts w:ascii="Arial" w:hAnsi="Arial"/>
          <w:b/>
        </w:rPr>
        <w:t xml:space="preserve">. </w:t>
      </w:r>
      <w:r>
        <w:rPr>
          <w:rFonts w:ascii="Arial" w:hAnsi="Arial"/>
        </w:rPr>
        <w:t>Increased c-</w:t>
      </w:r>
      <w:proofErr w:type="spellStart"/>
      <w:r>
        <w:rPr>
          <w:rFonts w:ascii="Arial" w:hAnsi="Arial"/>
        </w:rPr>
        <w:t>Fos</w:t>
      </w:r>
      <w:proofErr w:type="spellEnd"/>
      <w:r>
        <w:rPr>
          <w:rFonts w:ascii="Arial" w:hAnsi="Arial"/>
        </w:rPr>
        <w:t xml:space="preserve"> activity in </w:t>
      </w:r>
      <w:proofErr w:type="spellStart"/>
      <w:r>
        <w:rPr>
          <w:rFonts w:ascii="Arial" w:hAnsi="Arial"/>
        </w:rPr>
        <w:t>ipsi</w:t>
      </w:r>
      <w:proofErr w:type="spellEnd"/>
      <w:r>
        <w:rPr>
          <w:rFonts w:ascii="Arial" w:hAnsi="Arial"/>
        </w:rPr>
        <w:t xml:space="preserve"> MGN-LA (A) projecting neurons but not Te3-LA (B) during white noise exposure after FPI. Representative c-</w:t>
      </w:r>
      <w:proofErr w:type="spellStart"/>
      <w:r>
        <w:rPr>
          <w:rFonts w:ascii="Arial" w:hAnsi="Arial"/>
        </w:rPr>
        <w:t>Fos</w:t>
      </w:r>
      <w:proofErr w:type="spellEnd"/>
      <w:r>
        <w:rPr>
          <w:rFonts w:ascii="Arial" w:hAnsi="Arial"/>
        </w:rPr>
        <w:t xml:space="preserve"> activity (red) in </w:t>
      </w:r>
      <w:proofErr w:type="spellStart"/>
      <w:r>
        <w:rPr>
          <w:rFonts w:ascii="Arial" w:hAnsi="Arial"/>
        </w:rPr>
        <w:t>retrolabeled</w:t>
      </w:r>
      <w:proofErr w:type="spellEnd"/>
      <w:r>
        <w:rPr>
          <w:rFonts w:ascii="Arial" w:hAnsi="Arial"/>
        </w:rPr>
        <w:t xml:space="preserve"> CTB in LA afferents (green); 20x magnification. </w:t>
      </w:r>
      <w:r>
        <w:rPr>
          <w:rFonts w:ascii="Arial" w:hAnsi="Arial"/>
          <w:bCs/>
        </w:rPr>
        <w:t xml:space="preserve">Data are represented as mean ± SEM; *p&lt;0.05 vs. Sham. </w:t>
      </w:r>
    </w:p>
    <w:p w14:paraId="6374C799" w14:textId="03CE5CEB" w:rsidR="00613DA3" w:rsidRPr="009E6DAD" w:rsidRDefault="00613DA3" w:rsidP="00642DC6">
      <w:pPr>
        <w:spacing w:line="360" w:lineRule="auto"/>
        <w:ind w:firstLine="720"/>
        <w:rPr>
          <w:rFonts w:ascii="Arial" w:hAnsi="Arial"/>
        </w:rPr>
      </w:pPr>
    </w:p>
    <w:p w14:paraId="1B3C7933" w14:textId="26FDF387" w:rsidR="00C075F9" w:rsidRPr="00A934A9" w:rsidRDefault="00A934A9">
      <w:pPr>
        <w:rPr>
          <w:rFonts w:ascii="Arial" w:hAnsi="Arial"/>
        </w:rPr>
      </w:pPr>
      <w:r>
        <w:rPr>
          <w:rFonts w:ascii="Arial" w:hAnsi="Arial"/>
        </w:rPr>
        <w:br w:type="page"/>
      </w:r>
    </w:p>
    <w:p w14:paraId="2C299CA9" w14:textId="7B62E01C" w:rsidR="00AD6439" w:rsidRPr="00C075F9" w:rsidRDefault="00A2284C" w:rsidP="00642DC6">
      <w:pPr>
        <w:pStyle w:val="EndNoteBibliographyTitle"/>
        <w:spacing w:line="360" w:lineRule="auto"/>
        <w:rPr>
          <w:rFonts w:ascii="Arial" w:hAnsi="Arial"/>
          <w:noProof/>
        </w:rPr>
      </w:pPr>
      <w:r w:rsidRPr="00C075F9">
        <w:rPr>
          <w:rFonts w:ascii="Arial" w:hAnsi="Arial"/>
        </w:rPr>
        <w:lastRenderedPageBreak/>
        <w:fldChar w:fldCharType="begin"/>
      </w:r>
      <w:r w:rsidRPr="00C075F9">
        <w:rPr>
          <w:rFonts w:ascii="Arial" w:hAnsi="Arial"/>
        </w:rPr>
        <w:instrText xml:space="preserve"> ADDIN EN.REFLIST </w:instrText>
      </w:r>
      <w:r w:rsidRPr="00C075F9">
        <w:rPr>
          <w:rFonts w:ascii="Arial" w:hAnsi="Arial"/>
        </w:rPr>
        <w:fldChar w:fldCharType="separate"/>
      </w:r>
      <w:r w:rsidR="00AD6439" w:rsidRPr="00C075F9">
        <w:rPr>
          <w:rFonts w:ascii="Arial" w:hAnsi="Arial"/>
          <w:noProof/>
        </w:rPr>
        <w:t>References</w:t>
      </w:r>
    </w:p>
    <w:p w14:paraId="69ECF650" w14:textId="77777777" w:rsidR="00AD6439" w:rsidRPr="00C075F9" w:rsidRDefault="00AD6439" w:rsidP="00642DC6">
      <w:pPr>
        <w:pStyle w:val="EndNoteBibliographyTitle"/>
        <w:spacing w:line="360" w:lineRule="auto"/>
        <w:rPr>
          <w:rFonts w:ascii="Arial" w:hAnsi="Arial"/>
          <w:noProof/>
        </w:rPr>
      </w:pPr>
    </w:p>
    <w:p w14:paraId="3D5F4BF1" w14:textId="77777777" w:rsidR="00AD6439" w:rsidRPr="00C075F9" w:rsidRDefault="00AD6439" w:rsidP="00642DC6">
      <w:pPr>
        <w:pStyle w:val="EndNoteBibliography"/>
        <w:spacing w:line="360" w:lineRule="auto"/>
        <w:ind w:left="720" w:hanging="720"/>
        <w:rPr>
          <w:rFonts w:ascii="Arial" w:hAnsi="Arial"/>
          <w:noProof/>
        </w:rPr>
      </w:pPr>
      <w:r w:rsidRPr="00C075F9">
        <w:rPr>
          <w:rFonts w:ascii="Arial" w:hAnsi="Arial"/>
          <w:noProof/>
        </w:rPr>
        <w:t>1</w:t>
      </w:r>
      <w:r w:rsidRPr="00C075F9">
        <w:rPr>
          <w:rFonts w:ascii="Arial" w:hAnsi="Arial"/>
          <w:noProof/>
        </w:rPr>
        <w:tab/>
        <w:t xml:space="preserve">Pekny, M. &amp; Pekna, M. Astrocyte reactivity and reactive astrogliosis: costs and benefits. </w:t>
      </w:r>
      <w:r w:rsidRPr="00C075F9">
        <w:rPr>
          <w:rFonts w:ascii="Arial" w:hAnsi="Arial"/>
          <w:i/>
          <w:noProof/>
        </w:rPr>
        <w:t>Physiological Reviews</w:t>
      </w:r>
      <w:r w:rsidRPr="00C075F9">
        <w:rPr>
          <w:rFonts w:ascii="Arial" w:hAnsi="Arial"/>
          <w:noProof/>
        </w:rPr>
        <w:t xml:space="preserve"> </w:t>
      </w:r>
      <w:r w:rsidRPr="00C075F9">
        <w:rPr>
          <w:rFonts w:ascii="Arial" w:hAnsi="Arial"/>
          <w:b/>
          <w:noProof/>
        </w:rPr>
        <w:t>94</w:t>
      </w:r>
      <w:r w:rsidRPr="00C075F9">
        <w:rPr>
          <w:rFonts w:ascii="Arial" w:hAnsi="Arial"/>
          <w:noProof/>
        </w:rPr>
        <w:t>, 1077-1098, doi:10.1152/physrev.00041.2013 (2014).</w:t>
      </w:r>
    </w:p>
    <w:p w14:paraId="31055D99" w14:textId="77777777" w:rsidR="00AD6439" w:rsidRPr="00C075F9" w:rsidRDefault="00AD6439" w:rsidP="00642DC6">
      <w:pPr>
        <w:pStyle w:val="EndNoteBibliography"/>
        <w:spacing w:line="360" w:lineRule="auto"/>
        <w:ind w:left="720" w:hanging="720"/>
        <w:rPr>
          <w:rFonts w:ascii="Arial" w:hAnsi="Arial"/>
          <w:noProof/>
        </w:rPr>
      </w:pPr>
      <w:r w:rsidRPr="00C075F9">
        <w:rPr>
          <w:rFonts w:ascii="Arial" w:hAnsi="Arial"/>
          <w:noProof/>
        </w:rPr>
        <w:t>2</w:t>
      </w:r>
      <w:r w:rsidRPr="00C075F9">
        <w:rPr>
          <w:rFonts w:ascii="Arial" w:hAnsi="Arial"/>
          <w:noProof/>
        </w:rPr>
        <w:tab/>
        <w:t xml:space="preserve">Burda, J. E., Bernstein, A. M. &amp; Sofroniew, M. V. Astrocyte roles in traumatic brain injury. </w:t>
      </w:r>
      <w:r w:rsidRPr="00C075F9">
        <w:rPr>
          <w:rFonts w:ascii="Arial" w:hAnsi="Arial"/>
          <w:i/>
          <w:noProof/>
        </w:rPr>
        <w:t>Experimental neurology</w:t>
      </w:r>
      <w:r w:rsidRPr="00C075F9">
        <w:rPr>
          <w:rFonts w:ascii="Arial" w:hAnsi="Arial"/>
          <w:noProof/>
        </w:rPr>
        <w:t xml:space="preserve"> </w:t>
      </w:r>
      <w:r w:rsidRPr="00C075F9">
        <w:rPr>
          <w:rFonts w:ascii="Arial" w:hAnsi="Arial"/>
          <w:b/>
          <w:noProof/>
        </w:rPr>
        <w:t>275 Pt 3</w:t>
      </w:r>
      <w:r w:rsidRPr="00C075F9">
        <w:rPr>
          <w:rFonts w:ascii="Arial" w:hAnsi="Arial"/>
          <w:noProof/>
        </w:rPr>
        <w:t>, 305-315, doi:10.1016/j.expneurol.2015.03.020 (2016).</w:t>
      </w:r>
    </w:p>
    <w:p w14:paraId="748551B8" w14:textId="77777777" w:rsidR="00AD6439" w:rsidRPr="00C075F9" w:rsidRDefault="00AD6439" w:rsidP="00642DC6">
      <w:pPr>
        <w:pStyle w:val="EndNoteBibliography"/>
        <w:spacing w:line="360" w:lineRule="auto"/>
        <w:ind w:left="720" w:hanging="720"/>
        <w:rPr>
          <w:rFonts w:ascii="Arial" w:hAnsi="Arial"/>
          <w:noProof/>
        </w:rPr>
      </w:pPr>
      <w:r w:rsidRPr="00C075F9">
        <w:rPr>
          <w:rFonts w:ascii="Arial" w:hAnsi="Arial"/>
          <w:noProof/>
        </w:rPr>
        <w:t>3</w:t>
      </w:r>
      <w:r w:rsidRPr="00C075F9">
        <w:rPr>
          <w:rFonts w:ascii="Arial" w:hAnsi="Arial"/>
          <w:noProof/>
        </w:rPr>
        <w:tab/>
        <w:t xml:space="preserve">Hausmann, R., Riess, R., Fieguth, A. &amp; Betz, P. Immunohistochemical investigations on the course of astroglial GFAP expression following human brain injury. </w:t>
      </w:r>
      <w:r w:rsidRPr="00C075F9">
        <w:rPr>
          <w:rFonts w:ascii="Arial" w:hAnsi="Arial"/>
          <w:i/>
          <w:noProof/>
        </w:rPr>
        <w:t>International Journal of Legal Medicine</w:t>
      </w:r>
      <w:r w:rsidRPr="00C075F9">
        <w:rPr>
          <w:rFonts w:ascii="Arial" w:hAnsi="Arial"/>
          <w:noProof/>
        </w:rPr>
        <w:t xml:space="preserve"> </w:t>
      </w:r>
      <w:r w:rsidRPr="00C075F9">
        <w:rPr>
          <w:rFonts w:ascii="Arial" w:hAnsi="Arial"/>
          <w:b/>
          <w:noProof/>
        </w:rPr>
        <w:t>113</w:t>
      </w:r>
      <w:r w:rsidRPr="00C075F9">
        <w:rPr>
          <w:rFonts w:ascii="Arial" w:hAnsi="Arial"/>
          <w:noProof/>
        </w:rPr>
        <w:t>, 70-75 (2000).</w:t>
      </w:r>
    </w:p>
    <w:p w14:paraId="6DC9A158" w14:textId="77777777" w:rsidR="00AD6439" w:rsidRPr="00C075F9" w:rsidRDefault="00AD6439" w:rsidP="00642DC6">
      <w:pPr>
        <w:pStyle w:val="EndNoteBibliography"/>
        <w:spacing w:line="360" w:lineRule="auto"/>
        <w:ind w:left="720" w:hanging="720"/>
        <w:rPr>
          <w:rFonts w:ascii="Arial" w:hAnsi="Arial"/>
          <w:noProof/>
        </w:rPr>
      </w:pPr>
      <w:r w:rsidRPr="00C075F9">
        <w:rPr>
          <w:rFonts w:ascii="Arial" w:hAnsi="Arial"/>
          <w:noProof/>
        </w:rPr>
        <w:t>4</w:t>
      </w:r>
      <w:r w:rsidRPr="00C075F9">
        <w:rPr>
          <w:rFonts w:ascii="Arial" w:hAnsi="Arial"/>
          <w:noProof/>
        </w:rPr>
        <w:tab/>
        <w:t>Hoffman, A. N.</w:t>
      </w:r>
      <w:r w:rsidRPr="00C075F9">
        <w:rPr>
          <w:rFonts w:ascii="Arial" w:hAnsi="Arial"/>
          <w:i/>
          <w:noProof/>
        </w:rPr>
        <w:t xml:space="preserve"> et al.</w:t>
      </w:r>
      <w:r w:rsidRPr="00C075F9">
        <w:rPr>
          <w:rFonts w:ascii="Arial" w:hAnsi="Arial"/>
          <w:noProof/>
        </w:rPr>
        <w:t xml:space="preserve"> Early and Persistent Dendritic Hypertrophy in the Basolateral Amygdala following Experimental Diffuse Traumatic Brain Injury. </w:t>
      </w:r>
      <w:r w:rsidRPr="00C075F9">
        <w:rPr>
          <w:rFonts w:ascii="Arial" w:hAnsi="Arial"/>
          <w:i/>
          <w:noProof/>
        </w:rPr>
        <w:t>Journal of neurotrauma</w:t>
      </w:r>
      <w:r w:rsidRPr="00C075F9">
        <w:rPr>
          <w:rFonts w:ascii="Arial" w:hAnsi="Arial"/>
          <w:noProof/>
        </w:rPr>
        <w:t>, doi:10.1089/neu.2015.4339 (2016).</w:t>
      </w:r>
    </w:p>
    <w:p w14:paraId="0220228D" w14:textId="77777777" w:rsidR="00AD6439" w:rsidRPr="00C075F9" w:rsidRDefault="00AD6439" w:rsidP="00642DC6">
      <w:pPr>
        <w:pStyle w:val="EndNoteBibliography"/>
        <w:spacing w:line="360" w:lineRule="auto"/>
        <w:ind w:left="720" w:hanging="720"/>
        <w:rPr>
          <w:rFonts w:ascii="Arial" w:hAnsi="Arial"/>
          <w:noProof/>
        </w:rPr>
      </w:pPr>
      <w:r w:rsidRPr="00C075F9">
        <w:rPr>
          <w:rFonts w:ascii="Arial" w:hAnsi="Arial"/>
          <w:noProof/>
        </w:rPr>
        <w:t>5</w:t>
      </w:r>
      <w:r w:rsidRPr="00C075F9">
        <w:rPr>
          <w:rFonts w:ascii="Arial" w:hAnsi="Arial"/>
          <w:noProof/>
        </w:rPr>
        <w:tab/>
        <w:t>Kovesdi, E.</w:t>
      </w:r>
      <w:r w:rsidRPr="00C075F9">
        <w:rPr>
          <w:rFonts w:ascii="Arial" w:hAnsi="Arial"/>
          <w:i/>
          <w:noProof/>
        </w:rPr>
        <w:t xml:space="preserve"> et al.</w:t>
      </w:r>
      <w:r w:rsidRPr="00C075F9">
        <w:rPr>
          <w:rFonts w:ascii="Arial" w:hAnsi="Arial"/>
          <w:noProof/>
        </w:rPr>
        <w:t xml:space="preserve"> Acute minocycline treatment mitigates the symptoms of mild blast-induced traumatic brain injury. </w:t>
      </w:r>
      <w:r w:rsidRPr="00C075F9">
        <w:rPr>
          <w:rFonts w:ascii="Arial" w:hAnsi="Arial"/>
          <w:i/>
          <w:noProof/>
        </w:rPr>
        <w:t>Frontiers in neurology</w:t>
      </w:r>
      <w:r w:rsidRPr="00C075F9">
        <w:rPr>
          <w:rFonts w:ascii="Arial" w:hAnsi="Arial"/>
          <w:noProof/>
        </w:rPr>
        <w:t xml:space="preserve"> </w:t>
      </w:r>
      <w:r w:rsidRPr="00C075F9">
        <w:rPr>
          <w:rFonts w:ascii="Arial" w:hAnsi="Arial"/>
          <w:b/>
          <w:noProof/>
        </w:rPr>
        <w:t>3</w:t>
      </w:r>
      <w:r w:rsidRPr="00C075F9">
        <w:rPr>
          <w:rFonts w:ascii="Arial" w:hAnsi="Arial"/>
          <w:noProof/>
        </w:rPr>
        <w:t>, 111, doi:10.3389/fneur.2012.00111 (2012).</w:t>
      </w:r>
    </w:p>
    <w:p w14:paraId="3C813FF2" w14:textId="77777777" w:rsidR="00AD6439" w:rsidRPr="00C075F9" w:rsidRDefault="00AD6439" w:rsidP="00642DC6">
      <w:pPr>
        <w:pStyle w:val="EndNoteBibliography"/>
        <w:spacing w:line="360" w:lineRule="auto"/>
        <w:ind w:left="720" w:hanging="720"/>
        <w:rPr>
          <w:rFonts w:ascii="Arial" w:hAnsi="Arial"/>
          <w:noProof/>
        </w:rPr>
      </w:pPr>
      <w:r w:rsidRPr="00C075F9">
        <w:rPr>
          <w:rFonts w:ascii="Arial" w:hAnsi="Arial"/>
          <w:noProof/>
        </w:rPr>
        <w:t>6</w:t>
      </w:r>
      <w:r w:rsidRPr="00C075F9">
        <w:rPr>
          <w:rFonts w:ascii="Arial" w:hAnsi="Arial"/>
          <w:noProof/>
        </w:rPr>
        <w:tab/>
        <w:t xml:space="preserve">Laird, M. D., Vender, J. R. &amp; Dhandapani, K. M. Opposing roles for reactive astrocytes following traumatic brain injury. </w:t>
      </w:r>
      <w:r w:rsidRPr="00C075F9">
        <w:rPr>
          <w:rFonts w:ascii="Arial" w:hAnsi="Arial"/>
          <w:i/>
          <w:noProof/>
        </w:rPr>
        <w:t>Neurosignals</w:t>
      </w:r>
      <w:r w:rsidRPr="00C075F9">
        <w:rPr>
          <w:rFonts w:ascii="Arial" w:hAnsi="Arial"/>
          <w:noProof/>
        </w:rPr>
        <w:t xml:space="preserve"> </w:t>
      </w:r>
      <w:r w:rsidRPr="00C075F9">
        <w:rPr>
          <w:rFonts w:ascii="Arial" w:hAnsi="Arial"/>
          <w:b/>
          <w:noProof/>
        </w:rPr>
        <w:t>16</w:t>
      </w:r>
      <w:r w:rsidRPr="00C075F9">
        <w:rPr>
          <w:rFonts w:ascii="Arial" w:hAnsi="Arial"/>
          <w:noProof/>
        </w:rPr>
        <w:t>, 154-164, doi:10.1159/000111560 (2008).</w:t>
      </w:r>
    </w:p>
    <w:p w14:paraId="0588FC3F" w14:textId="77777777" w:rsidR="00AD6439" w:rsidRPr="00C075F9" w:rsidRDefault="00AD6439" w:rsidP="00642DC6">
      <w:pPr>
        <w:pStyle w:val="EndNoteBibliography"/>
        <w:spacing w:line="360" w:lineRule="auto"/>
        <w:ind w:left="720" w:hanging="720"/>
        <w:rPr>
          <w:rFonts w:ascii="Arial" w:hAnsi="Arial"/>
          <w:noProof/>
        </w:rPr>
      </w:pPr>
      <w:r w:rsidRPr="00C075F9">
        <w:rPr>
          <w:rFonts w:ascii="Arial" w:hAnsi="Arial"/>
          <w:noProof/>
        </w:rPr>
        <w:t>7</w:t>
      </w:r>
      <w:r w:rsidRPr="00C075F9">
        <w:rPr>
          <w:rFonts w:ascii="Arial" w:hAnsi="Arial"/>
          <w:noProof/>
        </w:rPr>
        <w:tab/>
        <w:t xml:space="preserve">Rosi, S. Neuroinflammation and the plasticity-related immediate-early gene Arc. </w:t>
      </w:r>
      <w:r w:rsidRPr="00C075F9">
        <w:rPr>
          <w:rFonts w:ascii="Arial" w:hAnsi="Arial"/>
          <w:i/>
          <w:noProof/>
        </w:rPr>
        <w:t>Brain, Behavior, and Immunity</w:t>
      </w:r>
      <w:r w:rsidRPr="00C075F9">
        <w:rPr>
          <w:rFonts w:ascii="Arial" w:hAnsi="Arial"/>
          <w:noProof/>
        </w:rPr>
        <w:t xml:space="preserve"> </w:t>
      </w:r>
      <w:r w:rsidRPr="00C075F9">
        <w:rPr>
          <w:rFonts w:ascii="Arial" w:hAnsi="Arial"/>
          <w:b/>
          <w:noProof/>
        </w:rPr>
        <w:t>25 Suppl 1</w:t>
      </w:r>
      <w:r w:rsidRPr="00C075F9">
        <w:rPr>
          <w:rFonts w:ascii="Arial" w:hAnsi="Arial"/>
          <w:noProof/>
        </w:rPr>
        <w:t>, S39-49, doi:10.1016/j.bbi.2011.02.003 (2011).</w:t>
      </w:r>
    </w:p>
    <w:p w14:paraId="39C45535" w14:textId="77777777" w:rsidR="00AD6439" w:rsidRPr="00C075F9" w:rsidRDefault="00AD6439" w:rsidP="00642DC6">
      <w:pPr>
        <w:pStyle w:val="EndNoteBibliography"/>
        <w:spacing w:line="360" w:lineRule="auto"/>
        <w:ind w:left="720" w:hanging="720"/>
        <w:rPr>
          <w:rFonts w:ascii="Arial" w:hAnsi="Arial"/>
          <w:noProof/>
        </w:rPr>
      </w:pPr>
      <w:r w:rsidRPr="00C075F9">
        <w:rPr>
          <w:rFonts w:ascii="Arial" w:hAnsi="Arial"/>
          <w:noProof/>
        </w:rPr>
        <w:t>8</w:t>
      </w:r>
      <w:r w:rsidRPr="00C075F9">
        <w:rPr>
          <w:rFonts w:ascii="Arial" w:hAnsi="Arial"/>
          <w:noProof/>
        </w:rPr>
        <w:tab/>
        <w:t xml:space="preserve">Maren, S. &amp; Quirk, G. J. Neuronal signalling of fear memory. </w:t>
      </w:r>
      <w:r w:rsidRPr="00C075F9">
        <w:rPr>
          <w:rFonts w:ascii="Arial" w:hAnsi="Arial"/>
          <w:i/>
          <w:noProof/>
        </w:rPr>
        <w:t>Nat. Rev. Neurosci.</w:t>
      </w:r>
      <w:r w:rsidRPr="00C075F9">
        <w:rPr>
          <w:rFonts w:ascii="Arial" w:hAnsi="Arial"/>
          <w:noProof/>
        </w:rPr>
        <w:t xml:space="preserve"> </w:t>
      </w:r>
      <w:r w:rsidRPr="00C075F9">
        <w:rPr>
          <w:rFonts w:ascii="Arial" w:hAnsi="Arial"/>
          <w:b/>
          <w:noProof/>
        </w:rPr>
        <w:t>5</w:t>
      </w:r>
      <w:r w:rsidRPr="00C075F9">
        <w:rPr>
          <w:rFonts w:ascii="Arial" w:hAnsi="Arial"/>
          <w:noProof/>
        </w:rPr>
        <w:t>, 844-852, doi:nrn1535 [pii]</w:t>
      </w:r>
    </w:p>
    <w:p w14:paraId="41431F68" w14:textId="77777777" w:rsidR="00AD6439" w:rsidRPr="00C075F9" w:rsidRDefault="00AD6439" w:rsidP="00642DC6">
      <w:pPr>
        <w:pStyle w:val="EndNoteBibliography"/>
        <w:spacing w:line="360" w:lineRule="auto"/>
        <w:ind w:left="720" w:hanging="720"/>
        <w:rPr>
          <w:rFonts w:ascii="Arial" w:hAnsi="Arial"/>
          <w:noProof/>
        </w:rPr>
      </w:pPr>
      <w:r w:rsidRPr="00C075F9">
        <w:rPr>
          <w:rFonts w:ascii="Arial" w:hAnsi="Arial"/>
          <w:noProof/>
        </w:rPr>
        <w:t>10.1038/nrn1535 (2004).</w:t>
      </w:r>
    </w:p>
    <w:p w14:paraId="55B30A94" w14:textId="3C05B024" w:rsidR="00F747E3" w:rsidRDefault="00A2284C" w:rsidP="00642DC6">
      <w:pPr>
        <w:spacing w:line="360" w:lineRule="auto"/>
      </w:pPr>
      <w:r w:rsidRPr="00C075F9">
        <w:rPr>
          <w:rFonts w:ascii="Arial" w:hAnsi="Arial"/>
        </w:rPr>
        <w:fldChar w:fldCharType="end"/>
      </w:r>
    </w:p>
    <w:sectPr w:rsidR="00F747E3" w:rsidSect="007E63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Layout" w:val="&lt;ENLayout&gt;&lt;Style&gt;Nature&lt;/Style&gt;&lt;LeftDelim&gt;{&lt;/LeftDelim&gt;&lt;RightDelim&gt;}&lt;/RightDelim&gt;&lt;FontName&gt;Calibri&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tddzwwaewxvledze6vvrwitzefszwxa0pv&quot;&gt;AHoffman&lt;record-ids&gt;&lt;item&gt;444&lt;/item&gt;&lt;item&gt;909&lt;/item&gt;&lt;item&gt;1078&lt;/item&gt;&lt;item&gt;1092&lt;/item&gt;&lt;item&gt;1093&lt;/item&gt;&lt;item&gt;1094&lt;/item&gt;&lt;item&gt;1097&lt;/item&gt;&lt;item&gt;1098&lt;/item&gt;&lt;/record-ids&gt;&lt;/item&gt;&lt;/Libraries&gt;"/>
  </w:docVars>
  <w:rsids>
    <w:rsidRoot w:val="00437809"/>
    <w:rsid w:val="00040879"/>
    <w:rsid w:val="000661FF"/>
    <w:rsid w:val="00066BD5"/>
    <w:rsid w:val="000801D7"/>
    <w:rsid w:val="000E41BF"/>
    <w:rsid w:val="00133371"/>
    <w:rsid w:val="001358DF"/>
    <w:rsid w:val="00151383"/>
    <w:rsid w:val="00242C2D"/>
    <w:rsid w:val="002D1E74"/>
    <w:rsid w:val="00324301"/>
    <w:rsid w:val="00397A84"/>
    <w:rsid w:val="003A3737"/>
    <w:rsid w:val="003B0890"/>
    <w:rsid w:val="003C1BD8"/>
    <w:rsid w:val="00437809"/>
    <w:rsid w:val="004657B2"/>
    <w:rsid w:val="0047565C"/>
    <w:rsid w:val="004870FD"/>
    <w:rsid w:val="004F25EA"/>
    <w:rsid w:val="005026EC"/>
    <w:rsid w:val="0053055D"/>
    <w:rsid w:val="005C2D40"/>
    <w:rsid w:val="00613DA3"/>
    <w:rsid w:val="006215D5"/>
    <w:rsid w:val="00642DC6"/>
    <w:rsid w:val="006B269C"/>
    <w:rsid w:val="006B2C1D"/>
    <w:rsid w:val="00743A7F"/>
    <w:rsid w:val="007C4B0B"/>
    <w:rsid w:val="007E630D"/>
    <w:rsid w:val="0086170F"/>
    <w:rsid w:val="008A3F98"/>
    <w:rsid w:val="00925C02"/>
    <w:rsid w:val="009C0038"/>
    <w:rsid w:val="009D4064"/>
    <w:rsid w:val="00A0556A"/>
    <w:rsid w:val="00A2284C"/>
    <w:rsid w:val="00A7460F"/>
    <w:rsid w:val="00A934A9"/>
    <w:rsid w:val="00AD6439"/>
    <w:rsid w:val="00AE6376"/>
    <w:rsid w:val="00AF5422"/>
    <w:rsid w:val="00B80333"/>
    <w:rsid w:val="00BB704C"/>
    <w:rsid w:val="00BC61D9"/>
    <w:rsid w:val="00C075F9"/>
    <w:rsid w:val="00C67C02"/>
    <w:rsid w:val="00C950E2"/>
    <w:rsid w:val="00CA5DB6"/>
    <w:rsid w:val="00D81B2B"/>
    <w:rsid w:val="00E318D6"/>
    <w:rsid w:val="00E673EB"/>
    <w:rsid w:val="00EB0428"/>
    <w:rsid w:val="00EC3803"/>
    <w:rsid w:val="00F36C25"/>
    <w:rsid w:val="00F57C64"/>
    <w:rsid w:val="00F747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0FD7A3"/>
  <w15:docId w15:val="{C7184735-5EA5-9440-842F-96604D351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80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4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2284C"/>
    <w:rPr>
      <w:rFonts w:ascii="Times New Roman" w:eastAsiaTheme="minorEastAsia" w:hAnsi="Times New Roman" w:cs="Times New Roman"/>
      <w:sz w:val="18"/>
      <w:szCs w:val="18"/>
    </w:rPr>
  </w:style>
  <w:style w:type="paragraph" w:customStyle="1" w:styleId="EndNoteBibliographyTitle">
    <w:name w:val="EndNote Bibliography Title"/>
    <w:basedOn w:val="Normal"/>
    <w:link w:val="EndNoteBibliographyTitleChar"/>
    <w:rsid w:val="00A2284C"/>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A2284C"/>
    <w:rPr>
      <w:rFonts w:ascii="Calibri" w:eastAsiaTheme="minorEastAsia" w:hAnsi="Calibri" w:cs="Calibri"/>
    </w:rPr>
  </w:style>
  <w:style w:type="paragraph" w:customStyle="1" w:styleId="EndNoteBibliography">
    <w:name w:val="EndNote Bibliography"/>
    <w:basedOn w:val="Normal"/>
    <w:link w:val="EndNoteBibliographyChar"/>
    <w:rsid w:val="00A2284C"/>
    <w:rPr>
      <w:rFonts w:ascii="Calibri" w:hAnsi="Calibri" w:cs="Calibri"/>
    </w:rPr>
  </w:style>
  <w:style w:type="character" w:customStyle="1" w:styleId="EndNoteBibliographyChar">
    <w:name w:val="EndNote Bibliography Char"/>
    <w:basedOn w:val="DefaultParagraphFont"/>
    <w:link w:val="EndNoteBibliography"/>
    <w:rsid w:val="00A2284C"/>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09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F4EA1-BFC5-E044-9C51-395C662E4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8</Pages>
  <Words>2912</Words>
  <Characters>16603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Hoffman</dc:creator>
  <cp:keywords/>
  <dc:description/>
  <cp:lastModifiedBy>Ann Hoffman</cp:lastModifiedBy>
  <cp:revision>13</cp:revision>
  <dcterms:created xsi:type="dcterms:W3CDTF">2019-07-25T18:58:00Z</dcterms:created>
  <dcterms:modified xsi:type="dcterms:W3CDTF">2019-08-05T15:50:00Z</dcterms:modified>
</cp:coreProperties>
</file>