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867" w:rsidRPr="00B04051" w:rsidRDefault="00EB2867" w:rsidP="00D04AFB">
      <w:pPr>
        <w:widowControl w:val="0"/>
        <w:tabs>
          <w:tab w:val="center" w:pos="4320"/>
        </w:tabs>
        <w:wordWrap w:val="0"/>
        <w:autoSpaceDE w:val="0"/>
        <w:autoSpaceDN w:val="0"/>
        <w:spacing w:after="0" w:line="480" w:lineRule="auto"/>
        <w:jc w:val="center"/>
        <w:rPr>
          <w:rFonts w:ascii="Times New Roman" w:eastAsiaTheme="minorEastAsia" w:hAnsi="Times New Roman" w:cs="Times New Roman"/>
          <w:b/>
          <w:kern w:val="2"/>
          <w:sz w:val="24"/>
          <w:szCs w:val="24"/>
          <w:lang w:eastAsia="ko-KR"/>
        </w:rPr>
      </w:pPr>
      <w:r w:rsidRPr="00B04051">
        <w:rPr>
          <w:rFonts w:ascii="Times New Roman" w:eastAsiaTheme="minorEastAsia" w:hAnsi="Times New Roman" w:cs="Times New Roman"/>
          <w:b/>
          <w:kern w:val="2"/>
          <w:sz w:val="24"/>
          <w:szCs w:val="24"/>
          <w:lang w:eastAsia="ko-KR"/>
        </w:rPr>
        <w:t>Pre-operative Circulating Plasma Gelsolin Predicts Residual Disease and</w:t>
      </w:r>
    </w:p>
    <w:p w:rsidR="00EB2867" w:rsidRPr="00B04051" w:rsidRDefault="00EB2867" w:rsidP="00D04AFB">
      <w:pPr>
        <w:widowControl w:val="0"/>
        <w:tabs>
          <w:tab w:val="center" w:pos="4320"/>
        </w:tabs>
        <w:wordWrap w:val="0"/>
        <w:autoSpaceDE w:val="0"/>
        <w:autoSpaceDN w:val="0"/>
        <w:spacing w:after="0" w:line="480" w:lineRule="auto"/>
        <w:jc w:val="center"/>
        <w:rPr>
          <w:rFonts w:ascii="Times New Roman" w:eastAsiaTheme="minorEastAsia" w:hAnsi="Times New Roman" w:cs="Times New Roman"/>
          <w:b/>
          <w:kern w:val="2"/>
          <w:sz w:val="24"/>
          <w:szCs w:val="24"/>
          <w:lang w:eastAsia="ko-KR"/>
        </w:rPr>
      </w:pPr>
      <w:r w:rsidRPr="00B04051">
        <w:rPr>
          <w:rFonts w:ascii="Times New Roman" w:eastAsiaTheme="minorEastAsia" w:hAnsi="Times New Roman" w:cs="Times New Roman"/>
          <w:b/>
          <w:kern w:val="2"/>
          <w:sz w:val="24"/>
          <w:szCs w:val="24"/>
          <w:lang w:eastAsia="ko-KR"/>
        </w:rPr>
        <w:t>Detects Early Stage Ovarian Cancer</w:t>
      </w:r>
    </w:p>
    <w:p w:rsidR="00EB2867" w:rsidRPr="00B04051" w:rsidRDefault="00EB2867" w:rsidP="00D04AFB">
      <w:pPr>
        <w:widowControl w:val="0"/>
        <w:wordWrap w:val="0"/>
        <w:autoSpaceDE w:val="0"/>
        <w:autoSpaceDN w:val="0"/>
        <w:spacing w:after="0" w:line="480" w:lineRule="auto"/>
        <w:jc w:val="both"/>
        <w:rPr>
          <w:rFonts w:ascii="Times New Roman" w:eastAsiaTheme="minorEastAsia" w:hAnsi="Times New Roman" w:cs="Times New Roman"/>
          <w:kern w:val="2"/>
          <w:sz w:val="24"/>
          <w:szCs w:val="24"/>
          <w:vertAlign w:val="superscript"/>
          <w:lang w:eastAsia="ko-KR"/>
        </w:rPr>
      </w:pPr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lang w:eastAsia="ko-KR"/>
        </w:rPr>
        <w:t>Meshach Asare-Werehene</w:t>
      </w:r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vertAlign w:val="superscript"/>
          <w:lang w:eastAsia="ko-KR"/>
        </w:rPr>
        <w:t>a,c</w:t>
      </w:r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lang w:eastAsia="ko-KR"/>
        </w:rPr>
        <w:t>, Laudine Communal</w:t>
      </w:r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vertAlign w:val="superscript"/>
          <w:lang w:eastAsia="ko-KR"/>
        </w:rPr>
        <w:t>d</w:t>
      </w:r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lang w:eastAsia="ko-KR"/>
        </w:rPr>
        <w:t>, Euridice Carmona</w:t>
      </w:r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vertAlign w:val="superscript"/>
          <w:lang w:eastAsia="ko-KR"/>
        </w:rPr>
        <w:t>d</w:t>
      </w:r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lang w:eastAsia="ko-KR"/>
        </w:rPr>
        <w:t>, Tien Le</w:t>
      </w:r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vertAlign w:val="superscript"/>
          <w:lang w:eastAsia="ko-KR"/>
        </w:rPr>
        <w:t>e</w:t>
      </w:r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lang w:eastAsia="ko-KR"/>
        </w:rPr>
        <w:t>, Diane Provencher</w:t>
      </w:r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vertAlign w:val="superscript"/>
          <w:lang w:eastAsia="ko-KR"/>
        </w:rPr>
        <w:t>d,f</w:t>
      </w:r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lang w:eastAsia="ko-KR"/>
        </w:rPr>
        <w:t>, Anne-Marie Mes-Masson</w:t>
      </w:r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vertAlign w:val="superscript"/>
          <w:lang w:eastAsia="ko-KR"/>
        </w:rPr>
        <w:t>d,g</w:t>
      </w:r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lang w:eastAsia="ko-KR"/>
        </w:rPr>
        <w:t>, and *Benjamin K. Tsang</w:t>
      </w:r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vertAlign w:val="superscript"/>
          <w:lang w:eastAsia="ko-KR"/>
        </w:rPr>
        <w:t>a,b,c</w:t>
      </w:r>
    </w:p>
    <w:p w:rsidR="00EB2867" w:rsidRPr="00B04051" w:rsidRDefault="00EB2867" w:rsidP="00D04AFB">
      <w:pPr>
        <w:widowControl w:val="0"/>
        <w:wordWrap w:val="0"/>
        <w:autoSpaceDE w:val="0"/>
        <w:autoSpaceDN w:val="0"/>
        <w:spacing w:after="0" w:line="480" w:lineRule="auto"/>
        <w:jc w:val="both"/>
        <w:rPr>
          <w:rFonts w:ascii="Times New Roman" w:eastAsiaTheme="minorEastAsia" w:hAnsi="Times New Roman" w:cs="Times New Roman"/>
          <w:kern w:val="2"/>
          <w:sz w:val="20"/>
          <w:szCs w:val="20"/>
          <w:vertAlign w:val="superscript"/>
          <w:lang w:eastAsia="ko-KR"/>
        </w:rPr>
      </w:pPr>
    </w:p>
    <w:p w:rsidR="00EB2867" w:rsidRPr="00B04051" w:rsidRDefault="00EB2867" w:rsidP="00D04AFB">
      <w:pPr>
        <w:widowControl w:val="0"/>
        <w:wordWrap w:val="0"/>
        <w:autoSpaceDE w:val="0"/>
        <w:autoSpaceDN w:val="0"/>
        <w:spacing w:after="0" w:line="480" w:lineRule="auto"/>
        <w:jc w:val="both"/>
        <w:rPr>
          <w:rFonts w:ascii="Times New Roman" w:eastAsiaTheme="minorEastAsia" w:hAnsi="Times New Roman" w:cs="Times New Roman"/>
          <w:kern w:val="2"/>
          <w:sz w:val="24"/>
          <w:szCs w:val="24"/>
          <w:lang w:eastAsia="ko-KR"/>
        </w:rPr>
      </w:pPr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vertAlign w:val="superscript"/>
          <w:lang w:eastAsia="ko-KR"/>
        </w:rPr>
        <w:t>a</w:t>
      </w:r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lang w:eastAsia="ko-KR"/>
        </w:rPr>
        <w:t>Depart</w:t>
      </w:r>
      <w:bookmarkStart w:id="0" w:name="_GoBack"/>
      <w:bookmarkEnd w:id="0"/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lang w:eastAsia="ko-KR"/>
        </w:rPr>
        <w:t>ments of Obstetrics &amp; Gynecology and Cellular &amp; Molecular Medicine, University of Ottawa, Ottawa, Ontario, Canada, K1H 8L1;</w:t>
      </w:r>
    </w:p>
    <w:p w:rsidR="00EB2867" w:rsidRPr="00B04051" w:rsidRDefault="00EB2867" w:rsidP="00D04AFB">
      <w:pPr>
        <w:widowControl w:val="0"/>
        <w:wordWrap w:val="0"/>
        <w:autoSpaceDE w:val="0"/>
        <w:autoSpaceDN w:val="0"/>
        <w:spacing w:after="0" w:line="480" w:lineRule="auto"/>
        <w:jc w:val="both"/>
        <w:rPr>
          <w:rFonts w:ascii="Times New Roman" w:eastAsiaTheme="minorEastAsia" w:hAnsi="Times New Roman" w:cs="Times New Roman"/>
          <w:kern w:val="2"/>
          <w:sz w:val="24"/>
          <w:szCs w:val="24"/>
          <w:lang w:eastAsia="ko-KR"/>
        </w:rPr>
      </w:pPr>
      <w:proofErr w:type="spellStart"/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vertAlign w:val="superscript"/>
          <w:lang w:eastAsia="ko-KR"/>
        </w:rPr>
        <w:t>b</w:t>
      </w:r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lang w:eastAsia="ko-KR"/>
        </w:rPr>
        <w:t>State</w:t>
      </w:r>
      <w:proofErr w:type="spellEnd"/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lang w:eastAsia="ko-KR"/>
        </w:rPr>
        <w:t xml:space="preserve"> Key Laboratory of Quality Research in Chinese Medicine, Macau Institute for Applied Research in Medicine and Health, Macau University of Science and Technology, Avenida Wai Long, </w:t>
      </w:r>
      <w:proofErr w:type="spellStart"/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lang w:eastAsia="ko-KR"/>
        </w:rPr>
        <w:t>Taipa</w:t>
      </w:r>
      <w:proofErr w:type="spellEnd"/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lang w:eastAsia="ko-KR"/>
        </w:rPr>
        <w:t>, Macao, China;</w:t>
      </w:r>
    </w:p>
    <w:p w:rsidR="00EB2867" w:rsidRPr="00B04051" w:rsidRDefault="00EB2867" w:rsidP="00D04AFB">
      <w:pPr>
        <w:widowControl w:val="0"/>
        <w:wordWrap w:val="0"/>
        <w:autoSpaceDE w:val="0"/>
        <w:autoSpaceDN w:val="0"/>
        <w:spacing w:after="0" w:line="480" w:lineRule="auto"/>
        <w:jc w:val="both"/>
        <w:rPr>
          <w:rFonts w:ascii="Times New Roman" w:eastAsiaTheme="minorEastAsia" w:hAnsi="Times New Roman" w:cs="Times New Roman"/>
          <w:kern w:val="2"/>
          <w:sz w:val="24"/>
          <w:szCs w:val="24"/>
          <w:lang w:eastAsia="ko-KR"/>
        </w:rPr>
      </w:pPr>
      <w:proofErr w:type="spellStart"/>
      <w:proofErr w:type="gramStart"/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vertAlign w:val="superscript"/>
          <w:lang w:eastAsia="ko-KR"/>
        </w:rPr>
        <w:t>c</w:t>
      </w:r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lang w:eastAsia="ko-KR"/>
        </w:rPr>
        <w:t>Chronic</w:t>
      </w:r>
      <w:proofErr w:type="spellEnd"/>
      <w:proofErr w:type="gramEnd"/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lang w:eastAsia="ko-KR"/>
        </w:rPr>
        <w:t xml:space="preserve"> Disease Program, Ottawa Hospital Research Institute, Ottawa, Ontario, Canada K1H 8L6</w:t>
      </w:r>
    </w:p>
    <w:p w:rsidR="00EB2867" w:rsidRPr="00B04051" w:rsidRDefault="00EB2867" w:rsidP="00D04AFB">
      <w:pPr>
        <w:widowControl w:val="0"/>
        <w:wordWrap w:val="0"/>
        <w:autoSpaceDE w:val="0"/>
        <w:autoSpaceDN w:val="0"/>
        <w:spacing w:after="0" w:line="480" w:lineRule="auto"/>
        <w:jc w:val="both"/>
        <w:rPr>
          <w:rFonts w:ascii="Times New Roman" w:eastAsiaTheme="minorEastAsia" w:hAnsi="Times New Roman" w:cs="Times New Roman"/>
          <w:kern w:val="2"/>
          <w:sz w:val="24"/>
          <w:szCs w:val="24"/>
          <w:lang w:val="fr-CA" w:eastAsia="ko-KR"/>
        </w:rPr>
      </w:pPr>
      <w:proofErr w:type="spellStart"/>
      <w:proofErr w:type="gramStart"/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vertAlign w:val="superscript"/>
          <w:lang w:val="fr-CA" w:eastAsia="ko-KR"/>
        </w:rPr>
        <w:t>d</w:t>
      </w:r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lang w:val="fr-CA" w:eastAsia="ko-KR"/>
        </w:rPr>
        <w:t>Centre</w:t>
      </w:r>
      <w:proofErr w:type="spellEnd"/>
      <w:proofErr w:type="gramEnd"/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lang w:val="fr-CA" w:eastAsia="ko-KR"/>
        </w:rPr>
        <w:t xml:space="preserve"> de recherche du CHUM et Institut du cancer de Montréal, Montréal, Québec, Canada H2X 0A9</w:t>
      </w:r>
    </w:p>
    <w:p w:rsidR="00EB2867" w:rsidRPr="00B04051" w:rsidRDefault="00EB2867" w:rsidP="00D04AFB">
      <w:pPr>
        <w:widowControl w:val="0"/>
        <w:wordWrap w:val="0"/>
        <w:autoSpaceDE w:val="0"/>
        <w:autoSpaceDN w:val="0"/>
        <w:spacing w:after="0" w:line="480" w:lineRule="auto"/>
        <w:jc w:val="both"/>
        <w:rPr>
          <w:rFonts w:ascii="Times New Roman" w:eastAsiaTheme="minorEastAsia" w:hAnsi="Times New Roman" w:cs="Times New Roman"/>
          <w:kern w:val="2"/>
          <w:sz w:val="24"/>
          <w:szCs w:val="24"/>
          <w:lang w:val="en-CA" w:eastAsia="ko-KR"/>
        </w:rPr>
      </w:pPr>
      <w:proofErr w:type="spellStart"/>
      <w:proofErr w:type="gramStart"/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vertAlign w:val="superscript"/>
          <w:lang w:val="en-CA" w:eastAsia="ko-KR"/>
        </w:rPr>
        <w:t>e</w:t>
      </w:r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lang w:val="en-CA" w:eastAsia="ko-KR"/>
        </w:rPr>
        <w:t>Division</w:t>
      </w:r>
      <w:proofErr w:type="spellEnd"/>
      <w:proofErr w:type="gramEnd"/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lang w:val="en-CA" w:eastAsia="ko-KR"/>
        </w:rPr>
        <w:t xml:space="preserve"> of Gynecologic Oncology, Department of Obstectrics and Gynecology, University of Ottawa, Ottawa, Ontario Canada K1H 8L6</w:t>
      </w:r>
    </w:p>
    <w:p w:rsidR="00EB2867" w:rsidRPr="00B04051" w:rsidRDefault="00EB2867" w:rsidP="00D04AFB">
      <w:pPr>
        <w:widowControl w:val="0"/>
        <w:wordWrap w:val="0"/>
        <w:autoSpaceDE w:val="0"/>
        <w:autoSpaceDN w:val="0"/>
        <w:spacing w:after="0" w:line="480" w:lineRule="auto"/>
        <w:jc w:val="both"/>
        <w:rPr>
          <w:rFonts w:ascii="Times New Roman" w:eastAsiaTheme="minorEastAsia" w:hAnsi="Times New Roman" w:cs="Times New Roman"/>
          <w:kern w:val="2"/>
          <w:sz w:val="24"/>
          <w:szCs w:val="24"/>
          <w:lang w:val="en-CA" w:eastAsia="ko-KR"/>
        </w:rPr>
      </w:pPr>
      <w:proofErr w:type="spellStart"/>
      <w:proofErr w:type="gramStart"/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vertAlign w:val="superscript"/>
          <w:lang w:val="en-CA" w:eastAsia="ko-KR"/>
        </w:rPr>
        <w:t>f</w:t>
      </w:r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lang w:val="en-CA" w:eastAsia="ko-KR"/>
        </w:rPr>
        <w:t>Division</w:t>
      </w:r>
      <w:proofErr w:type="spellEnd"/>
      <w:proofErr w:type="gramEnd"/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lang w:val="en-CA" w:eastAsia="ko-KR"/>
        </w:rPr>
        <w:t xml:space="preserve"> of Gynecologic Oncology, Department of Obstectrics and Gynecology, Université de Montréal, Montréal, Québec, Canada H3C 3J7</w:t>
      </w:r>
    </w:p>
    <w:p w:rsidR="00EB2867" w:rsidRPr="00B04051" w:rsidRDefault="00EB2867" w:rsidP="00D04AFB">
      <w:pPr>
        <w:widowControl w:val="0"/>
        <w:wordWrap w:val="0"/>
        <w:autoSpaceDE w:val="0"/>
        <w:autoSpaceDN w:val="0"/>
        <w:spacing w:after="0" w:line="480" w:lineRule="auto"/>
        <w:jc w:val="both"/>
        <w:rPr>
          <w:rFonts w:ascii="Times New Roman" w:eastAsiaTheme="minorEastAsia" w:hAnsi="Times New Roman" w:cs="Times New Roman"/>
          <w:kern w:val="2"/>
          <w:sz w:val="24"/>
          <w:szCs w:val="24"/>
          <w:lang w:val="en-CA" w:eastAsia="ko-KR"/>
        </w:rPr>
      </w:pPr>
      <w:proofErr w:type="spellStart"/>
      <w:proofErr w:type="gramStart"/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vertAlign w:val="superscript"/>
          <w:lang w:val="en-CA" w:eastAsia="ko-KR"/>
        </w:rPr>
        <w:t>g</w:t>
      </w:r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lang w:val="en-CA" w:eastAsia="ko-KR"/>
        </w:rPr>
        <w:t>Department</w:t>
      </w:r>
      <w:proofErr w:type="spellEnd"/>
      <w:proofErr w:type="gramEnd"/>
      <w:r w:rsidRPr="00B04051">
        <w:rPr>
          <w:rFonts w:ascii="Times New Roman" w:eastAsiaTheme="minorEastAsia" w:hAnsi="Times New Roman" w:cs="Times New Roman"/>
          <w:kern w:val="2"/>
          <w:sz w:val="24"/>
          <w:szCs w:val="24"/>
          <w:lang w:val="en-CA" w:eastAsia="ko-KR"/>
        </w:rPr>
        <w:t xml:space="preserve"> of Medicine, Université de Montréal, Montréal, Québec, Canada H3C 3J7</w:t>
      </w:r>
    </w:p>
    <w:p w:rsidR="00EB2867" w:rsidRPr="00B04051" w:rsidRDefault="00EB2867" w:rsidP="00D04AFB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EB2867" w:rsidRPr="00B04051" w:rsidRDefault="00EB2867" w:rsidP="00D04AF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B04051">
        <w:rPr>
          <w:rFonts w:ascii="Times New Roman" w:hAnsi="Times New Roman" w:cs="Times New Roman"/>
          <w:b/>
          <w:sz w:val="24"/>
          <w:szCs w:val="24"/>
          <w:lang w:val="en-CA"/>
        </w:rPr>
        <w:t>*Correspondence:</w:t>
      </w:r>
      <w:r w:rsidRPr="00B04051">
        <w:rPr>
          <w:rFonts w:ascii="Times New Roman" w:hAnsi="Times New Roman" w:cs="Times New Roman"/>
          <w:sz w:val="24"/>
          <w:szCs w:val="24"/>
          <w:lang w:val="en-CA"/>
        </w:rPr>
        <w:t xml:space="preserve"> Dr. Benjamin K Tsang, Chronic Disease Program, Ottawa Hospital Research Institute, The Ottawa Hospital (General Campus), Ottawa, Canada K1H 8L6;         </w:t>
      </w:r>
      <w:r w:rsidRPr="00B04051">
        <w:rPr>
          <w:rFonts w:ascii="Times New Roman" w:hAnsi="Times New Roman" w:cs="Times New Roman"/>
          <w:sz w:val="24"/>
          <w:szCs w:val="24"/>
          <w:lang w:val="en-CA"/>
        </w:rPr>
        <w:tab/>
        <w:t xml:space="preserve">      Tel: 1-613-798-5555 </w:t>
      </w:r>
      <w:proofErr w:type="spellStart"/>
      <w:r w:rsidRPr="00B04051">
        <w:rPr>
          <w:rFonts w:ascii="Times New Roman" w:hAnsi="Times New Roman" w:cs="Times New Roman"/>
          <w:sz w:val="24"/>
          <w:szCs w:val="24"/>
          <w:lang w:val="en-CA"/>
        </w:rPr>
        <w:t>ext</w:t>
      </w:r>
      <w:proofErr w:type="spellEnd"/>
      <w:r w:rsidRPr="00B04051">
        <w:rPr>
          <w:rFonts w:ascii="Times New Roman" w:hAnsi="Times New Roman" w:cs="Times New Roman"/>
          <w:sz w:val="24"/>
          <w:szCs w:val="24"/>
          <w:lang w:val="en-CA"/>
        </w:rPr>
        <w:t xml:space="preserve"> 72926;           Email: </w:t>
      </w:r>
      <w:hyperlink r:id="rId5" w:history="1">
        <w:r w:rsidRPr="00B04051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CA"/>
          </w:rPr>
          <w:t>btsang@ohri.ca</w:t>
        </w:r>
      </w:hyperlink>
    </w:p>
    <w:p w:rsidR="00054726" w:rsidRDefault="003E04AC"/>
    <w:tbl>
      <w:tblPr>
        <w:tblStyle w:val="LightShading"/>
        <w:tblpPr w:leftFromText="180" w:rightFromText="180" w:horzAnchor="margin" w:tblpY="870"/>
        <w:tblW w:w="9320" w:type="dxa"/>
        <w:tblLook w:val="04A0" w:firstRow="1" w:lastRow="0" w:firstColumn="1" w:lastColumn="0" w:noHBand="0" w:noVBand="1"/>
      </w:tblPr>
      <w:tblGrid>
        <w:gridCol w:w="4660"/>
        <w:gridCol w:w="4660"/>
      </w:tblGrid>
      <w:tr w:rsidR="00EB2867" w:rsidRPr="00323D31" w:rsidTr="00E400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  <w:hideMark/>
          </w:tcPr>
          <w:p w:rsidR="00EB2867" w:rsidRPr="00323D31" w:rsidRDefault="00EB2867" w:rsidP="00E400DE">
            <w:pPr>
              <w:spacing w:line="306" w:lineRule="atLeast"/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lastRenderedPageBreak/>
              <w:t>Variable</w:t>
            </w:r>
          </w:p>
        </w:tc>
        <w:tc>
          <w:tcPr>
            <w:tcW w:w="4660" w:type="dxa"/>
            <w:hideMark/>
          </w:tcPr>
          <w:p w:rsidR="00EB2867" w:rsidRPr="00323D31" w:rsidRDefault="00EB2867" w:rsidP="00E400DE">
            <w:pPr>
              <w:spacing w:line="306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Number of Patients</w:t>
            </w:r>
          </w:p>
        </w:tc>
      </w:tr>
      <w:tr w:rsidR="00EB2867" w:rsidRPr="00323D31" w:rsidTr="00E400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  <w:hideMark/>
          </w:tcPr>
          <w:p w:rsidR="00EB2867" w:rsidRPr="00323D31" w:rsidRDefault="00EB2867" w:rsidP="00E400DE">
            <w:pPr>
              <w:rPr>
                <w:rFonts w:ascii="Arial" w:eastAsia="Times New Roman" w:hAnsi="Arial" w:cs="Arial"/>
                <w:sz w:val="36"/>
                <w:szCs w:val="36"/>
              </w:rPr>
            </w:pPr>
            <w:r w:rsidRPr="00E61A7F">
              <w:rPr>
                <w:rFonts w:ascii="Calibri" w:eastAsia="Times New Roman" w:hAnsi="Calibri" w:cs="Arial"/>
                <w:bCs w:val="0"/>
                <w:color w:val="000000" w:themeColor="text1"/>
                <w:kern w:val="24"/>
              </w:rPr>
              <w:t>Age (Range; 36 – 82</w:t>
            </w:r>
            <w:r w:rsidRPr="00E61A7F">
              <w:rPr>
                <w:rFonts w:ascii="Calibri" w:eastAsia="Times New Roman" w:hAnsi="Calibri" w:cs="Arial"/>
                <w:color w:val="000000" w:themeColor="text1"/>
                <w:kern w:val="24"/>
              </w:rPr>
              <w:t xml:space="preserve"> </w:t>
            </w: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years)</w:t>
            </w:r>
          </w:p>
          <w:p w:rsidR="00EB2867" w:rsidRPr="00E61A7F" w:rsidRDefault="00EB2867" w:rsidP="00E400DE">
            <w:pPr>
              <w:rPr>
                <w:rFonts w:ascii="Arial" w:eastAsia="Times New Roman" w:hAnsi="Arial" w:cs="Arial"/>
                <w:sz w:val="36"/>
                <w:szCs w:val="36"/>
              </w:rPr>
            </w:pPr>
            <w:r w:rsidRPr="00E61A7F">
              <w:rPr>
                <w:rFonts w:ascii="Calibri" w:eastAsia="Times New Roman" w:hAnsi="Calibri" w:cs="Arial"/>
                <w:color w:val="000000" w:themeColor="text1"/>
                <w:kern w:val="24"/>
              </w:rPr>
              <w:t>≤6</w:t>
            </w:r>
            <w:r w:rsidRPr="00E61A7F">
              <w:rPr>
                <w:rFonts w:ascii="Calibri" w:eastAsia="Times New Roman" w:hAnsi="Calibri" w:cs="Arial"/>
                <w:bCs w:val="0"/>
                <w:color w:val="000000" w:themeColor="text1"/>
                <w:kern w:val="24"/>
              </w:rPr>
              <w:t>1</w:t>
            </w:r>
          </w:p>
          <w:p w:rsidR="00EB2867" w:rsidRPr="00323D31" w:rsidRDefault="00EB2867" w:rsidP="00E400DE">
            <w:pPr>
              <w:rPr>
                <w:rFonts w:ascii="Arial" w:eastAsia="Times New Roman" w:hAnsi="Arial" w:cs="Arial"/>
                <w:sz w:val="36"/>
                <w:szCs w:val="36"/>
              </w:rPr>
            </w:pPr>
            <w:r w:rsidRPr="00E61A7F">
              <w:rPr>
                <w:rFonts w:ascii="Calibri" w:eastAsia="Times New Roman" w:hAnsi="Calibri" w:cs="Arial"/>
                <w:bCs w:val="0"/>
                <w:color w:val="000000" w:themeColor="text1"/>
                <w:kern w:val="24"/>
              </w:rPr>
              <w:t>&gt;61</w:t>
            </w: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 xml:space="preserve"> </w:t>
            </w:r>
          </w:p>
        </w:tc>
        <w:tc>
          <w:tcPr>
            <w:tcW w:w="4660" w:type="dxa"/>
            <w:hideMark/>
          </w:tcPr>
          <w:p w:rsidR="00EB2867" w:rsidRPr="00323D31" w:rsidRDefault="00EB2867" w:rsidP="00E400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 </w:t>
            </w:r>
          </w:p>
          <w:p w:rsidR="00EB2867" w:rsidRPr="00323D31" w:rsidRDefault="00EB2867" w:rsidP="00E400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color w:val="000000" w:themeColor="text1"/>
                <w:kern w:val="24"/>
              </w:rPr>
              <w:t>51</w:t>
            </w:r>
          </w:p>
          <w:p w:rsidR="00EB2867" w:rsidRPr="00323D31" w:rsidRDefault="00EB2867" w:rsidP="00E400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color w:val="000000" w:themeColor="text1"/>
                <w:kern w:val="24"/>
              </w:rPr>
              <w:t>48</w:t>
            </w:r>
          </w:p>
        </w:tc>
      </w:tr>
      <w:tr w:rsidR="00EB2867" w:rsidRPr="00323D31" w:rsidTr="00E400DE">
        <w:trPr>
          <w:trHeight w:val="1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  <w:hideMark/>
          </w:tcPr>
          <w:p w:rsidR="00EB2867" w:rsidRPr="00323D31" w:rsidRDefault="00EB2867" w:rsidP="00E400DE">
            <w:pPr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Stage (FIGO)</w:t>
            </w:r>
          </w:p>
          <w:p w:rsidR="00EB2867" w:rsidRPr="00323D31" w:rsidRDefault="00EB2867" w:rsidP="00E400DE">
            <w:pPr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1</w:t>
            </w:r>
          </w:p>
          <w:p w:rsidR="00EB2867" w:rsidRPr="00323D31" w:rsidRDefault="00EB2867" w:rsidP="00E400DE">
            <w:pPr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2</w:t>
            </w:r>
          </w:p>
          <w:p w:rsidR="00EB2867" w:rsidRPr="00323D31" w:rsidRDefault="00EB2867" w:rsidP="00E400DE">
            <w:pPr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3</w:t>
            </w:r>
          </w:p>
          <w:p w:rsidR="00EB2867" w:rsidRPr="00323D31" w:rsidRDefault="00EB2867" w:rsidP="00E400DE">
            <w:pPr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4</w:t>
            </w:r>
          </w:p>
        </w:tc>
        <w:tc>
          <w:tcPr>
            <w:tcW w:w="4660" w:type="dxa"/>
            <w:hideMark/>
          </w:tcPr>
          <w:p w:rsidR="00EB2867" w:rsidRPr="00323D31" w:rsidRDefault="00EB2867" w:rsidP="00E400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 </w:t>
            </w:r>
          </w:p>
          <w:p w:rsidR="00EB2867" w:rsidRPr="00323D31" w:rsidRDefault="00EB2867" w:rsidP="00E400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1</w:t>
            </w:r>
            <w:r w:rsidR="00F3546F">
              <w:rPr>
                <w:rFonts w:ascii="Calibri" w:eastAsia="Times New Roman" w:hAnsi="Calibri" w:cs="Arial"/>
                <w:color w:val="000000" w:themeColor="text1"/>
                <w:kern w:val="24"/>
              </w:rPr>
              <w:t>0</w:t>
            </w:r>
          </w:p>
          <w:p w:rsidR="00EB2867" w:rsidRPr="00323D31" w:rsidRDefault="00F3546F" w:rsidP="00E400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color w:val="000000" w:themeColor="text1"/>
                <w:kern w:val="24"/>
              </w:rPr>
              <w:t>11</w:t>
            </w:r>
          </w:p>
          <w:p w:rsidR="00EB2867" w:rsidRPr="00323D31" w:rsidRDefault="00F3546F" w:rsidP="00E400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color w:val="000000" w:themeColor="text1"/>
                <w:kern w:val="24"/>
              </w:rPr>
              <w:t>67</w:t>
            </w:r>
          </w:p>
          <w:p w:rsidR="00EB2867" w:rsidRPr="00323D31" w:rsidRDefault="00EB2867" w:rsidP="00E400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color w:val="000000" w:themeColor="text1"/>
                <w:kern w:val="24"/>
              </w:rPr>
              <w:t>11</w:t>
            </w:r>
          </w:p>
        </w:tc>
      </w:tr>
      <w:tr w:rsidR="00EB2867" w:rsidRPr="00323D31" w:rsidTr="00E400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  <w:hideMark/>
          </w:tcPr>
          <w:p w:rsidR="00EB2867" w:rsidRPr="00323D31" w:rsidRDefault="00EB2867" w:rsidP="00E400DE">
            <w:pPr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Stage (FIGO)</w:t>
            </w:r>
          </w:p>
          <w:p w:rsidR="00EB2867" w:rsidRPr="00323D31" w:rsidRDefault="00EB2867" w:rsidP="00E400DE">
            <w:pPr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≤2</w:t>
            </w:r>
          </w:p>
          <w:p w:rsidR="00EB2867" w:rsidRPr="00323D31" w:rsidRDefault="00EB2867" w:rsidP="00E400DE">
            <w:pPr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 xml:space="preserve">&gt;2 </w:t>
            </w:r>
          </w:p>
        </w:tc>
        <w:tc>
          <w:tcPr>
            <w:tcW w:w="4660" w:type="dxa"/>
            <w:hideMark/>
          </w:tcPr>
          <w:p w:rsidR="00EB2867" w:rsidRPr="00323D31" w:rsidRDefault="00EB2867" w:rsidP="00E400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 </w:t>
            </w:r>
          </w:p>
          <w:p w:rsidR="00EB2867" w:rsidRPr="00323D31" w:rsidRDefault="00EB2867" w:rsidP="00E400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color w:val="000000" w:themeColor="text1"/>
                <w:kern w:val="24"/>
              </w:rPr>
              <w:t>21</w:t>
            </w:r>
          </w:p>
          <w:p w:rsidR="00EB2867" w:rsidRPr="00323D31" w:rsidRDefault="00EB2867" w:rsidP="00E400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color w:val="000000" w:themeColor="text1"/>
                <w:kern w:val="24"/>
              </w:rPr>
              <w:t>78</w:t>
            </w:r>
          </w:p>
        </w:tc>
      </w:tr>
      <w:tr w:rsidR="00EB2867" w:rsidRPr="00323D31" w:rsidTr="00E400DE">
        <w:trPr>
          <w:trHeight w:val="1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  <w:hideMark/>
          </w:tcPr>
          <w:p w:rsidR="00EB2867" w:rsidRPr="00323D31" w:rsidRDefault="00EB2867" w:rsidP="00E400DE">
            <w:pPr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Histological Subtypes</w:t>
            </w:r>
          </w:p>
          <w:p w:rsidR="00EB2867" w:rsidRPr="00323D31" w:rsidRDefault="00EB2867" w:rsidP="00E400DE">
            <w:pPr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 xml:space="preserve">Not verified </w:t>
            </w:r>
          </w:p>
          <w:p w:rsidR="00EB2867" w:rsidRPr="00323D31" w:rsidRDefault="00EB2867" w:rsidP="00E400DE">
            <w:pPr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High Grade Serous (HGS)</w:t>
            </w:r>
          </w:p>
          <w:p w:rsidR="00EB2867" w:rsidRPr="00323D31" w:rsidRDefault="00EB2867" w:rsidP="00E400DE">
            <w:pPr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Low Grade Serous (LGS)</w:t>
            </w:r>
          </w:p>
        </w:tc>
        <w:tc>
          <w:tcPr>
            <w:tcW w:w="4660" w:type="dxa"/>
            <w:hideMark/>
          </w:tcPr>
          <w:p w:rsidR="00EB2867" w:rsidRDefault="00EB2867" w:rsidP="00E400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Arial"/>
                <w:color w:val="000000" w:themeColor="text1"/>
                <w:kern w:val="24"/>
              </w:rPr>
            </w:pPr>
          </w:p>
          <w:p w:rsidR="00EB2867" w:rsidRPr="00323D31" w:rsidRDefault="00EB2867" w:rsidP="00E400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color w:val="000000" w:themeColor="text1"/>
                <w:kern w:val="24"/>
              </w:rPr>
              <w:t>26</w:t>
            </w:r>
          </w:p>
          <w:p w:rsidR="00EB2867" w:rsidRPr="00323D31" w:rsidRDefault="00EB2867" w:rsidP="00E400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color w:val="000000" w:themeColor="text1"/>
                <w:kern w:val="24"/>
              </w:rPr>
              <w:t>69</w:t>
            </w:r>
          </w:p>
          <w:p w:rsidR="00EB2867" w:rsidRPr="00323D31" w:rsidRDefault="00EB2867" w:rsidP="00E400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color w:val="000000" w:themeColor="text1"/>
                <w:kern w:val="24"/>
              </w:rPr>
              <w:t>4</w:t>
            </w:r>
          </w:p>
        </w:tc>
      </w:tr>
      <w:tr w:rsidR="00EB2867" w:rsidRPr="00323D31" w:rsidTr="00E400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  <w:hideMark/>
          </w:tcPr>
          <w:p w:rsidR="00EB2867" w:rsidRPr="00323D31" w:rsidRDefault="00EB2867" w:rsidP="00E400DE">
            <w:pPr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Residual disease (RD)</w:t>
            </w:r>
          </w:p>
          <w:p w:rsidR="00EB2867" w:rsidRPr="00323D31" w:rsidRDefault="00EB2867" w:rsidP="00E400DE">
            <w:pPr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≤1 cm</w:t>
            </w:r>
          </w:p>
          <w:p w:rsidR="00EB2867" w:rsidRPr="00323D31" w:rsidRDefault="00EB2867" w:rsidP="00E400DE">
            <w:pPr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&gt;1 cm</w:t>
            </w:r>
          </w:p>
        </w:tc>
        <w:tc>
          <w:tcPr>
            <w:tcW w:w="4660" w:type="dxa"/>
            <w:hideMark/>
          </w:tcPr>
          <w:p w:rsidR="00EB2867" w:rsidRPr="00323D31" w:rsidRDefault="00EB2867" w:rsidP="00E400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 </w:t>
            </w:r>
          </w:p>
          <w:p w:rsidR="00EB2867" w:rsidRPr="00323D31" w:rsidRDefault="00EB2867" w:rsidP="00E400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color w:val="000000" w:themeColor="text1"/>
                <w:kern w:val="24"/>
              </w:rPr>
              <w:t>50</w:t>
            </w:r>
          </w:p>
          <w:p w:rsidR="00EB2867" w:rsidRPr="00323D31" w:rsidRDefault="00EB2867" w:rsidP="00E400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color w:val="000000" w:themeColor="text1"/>
                <w:kern w:val="24"/>
              </w:rPr>
              <w:t>42</w:t>
            </w:r>
          </w:p>
        </w:tc>
      </w:tr>
      <w:tr w:rsidR="00EB2867" w:rsidRPr="00323D31" w:rsidTr="00E400DE">
        <w:trPr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  <w:hideMark/>
          </w:tcPr>
          <w:p w:rsidR="00EB2867" w:rsidRPr="00323D31" w:rsidRDefault="00EB2867" w:rsidP="00E400DE">
            <w:pPr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CA-125 (U/ml)</w:t>
            </w: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  <w:position w:val="7"/>
                <w:vertAlign w:val="superscript"/>
              </w:rPr>
              <w:t>a</w:t>
            </w: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 xml:space="preserve"> </w:t>
            </w:r>
          </w:p>
          <w:p w:rsidR="00EB2867" w:rsidRPr="00F619A2" w:rsidRDefault="00EB2867" w:rsidP="00E400DE">
            <w:pPr>
              <w:rPr>
                <w:rFonts w:ascii="Arial" w:eastAsia="Times New Roman" w:hAnsi="Arial" w:cs="Arial"/>
                <w:sz w:val="36"/>
                <w:szCs w:val="36"/>
              </w:rPr>
            </w:pPr>
            <w:r w:rsidRPr="00F619A2">
              <w:rPr>
                <w:rFonts w:ascii="Calibri" w:eastAsia="Times New Roman" w:hAnsi="Calibri" w:cs="Arial"/>
                <w:bCs w:val="0"/>
                <w:color w:val="000000" w:themeColor="text1"/>
                <w:kern w:val="24"/>
              </w:rPr>
              <w:t>Low (≤576.5</w:t>
            </w:r>
            <w:r w:rsidRPr="00F619A2">
              <w:rPr>
                <w:rFonts w:ascii="Calibri" w:eastAsia="Times New Roman" w:hAnsi="Calibri" w:cs="Arial"/>
                <w:color w:val="000000" w:themeColor="text1"/>
                <w:kern w:val="24"/>
              </w:rPr>
              <w:t>)</w:t>
            </w:r>
          </w:p>
          <w:p w:rsidR="00EB2867" w:rsidRPr="00323D31" w:rsidRDefault="00EB2867" w:rsidP="00E400DE">
            <w:pPr>
              <w:rPr>
                <w:rFonts w:ascii="Arial" w:eastAsia="Times New Roman" w:hAnsi="Arial" w:cs="Arial"/>
                <w:sz w:val="36"/>
                <w:szCs w:val="36"/>
              </w:rPr>
            </w:pPr>
            <w:r w:rsidRPr="00F619A2">
              <w:rPr>
                <w:rFonts w:ascii="Calibri" w:eastAsia="Times New Roman" w:hAnsi="Calibri" w:cs="Arial"/>
                <w:bCs w:val="0"/>
                <w:color w:val="000000" w:themeColor="text1"/>
                <w:kern w:val="24"/>
              </w:rPr>
              <w:t>High (&gt;576.5</w:t>
            </w: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)</w:t>
            </w:r>
          </w:p>
        </w:tc>
        <w:tc>
          <w:tcPr>
            <w:tcW w:w="4660" w:type="dxa"/>
            <w:hideMark/>
          </w:tcPr>
          <w:p w:rsidR="00EB2867" w:rsidRPr="00323D31" w:rsidRDefault="00EB2867" w:rsidP="00E400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 </w:t>
            </w:r>
          </w:p>
          <w:p w:rsidR="00EB2867" w:rsidRPr="00323D31" w:rsidRDefault="00EB2867" w:rsidP="00E400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color w:val="000000" w:themeColor="text1"/>
                <w:kern w:val="24"/>
              </w:rPr>
              <w:t>4</w:t>
            </w:r>
            <w:r w:rsidR="00E414E0">
              <w:rPr>
                <w:rFonts w:ascii="Calibri" w:eastAsia="Times New Roman" w:hAnsi="Calibri" w:cs="Arial"/>
                <w:color w:val="000000" w:themeColor="text1"/>
                <w:kern w:val="24"/>
              </w:rPr>
              <w:t>9</w:t>
            </w:r>
          </w:p>
          <w:p w:rsidR="00EB2867" w:rsidRPr="00323D31" w:rsidRDefault="00E414E0" w:rsidP="00E400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color w:val="000000" w:themeColor="text1"/>
                <w:kern w:val="24"/>
              </w:rPr>
              <w:t>50</w:t>
            </w:r>
          </w:p>
        </w:tc>
      </w:tr>
      <w:tr w:rsidR="00EB2867" w:rsidRPr="00323D31" w:rsidTr="00E400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  <w:hideMark/>
          </w:tcPr>
          <w:p w:rsidR="00EB2867" w:rsidRPr="00323D31" w:rsidRDefault="00EB2867" w:rsidP="00E400DE">
            <w:pPr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pGSN (µg/ml)</w:t>
            </w: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  <w:position w:val="7"/>
                <w:vertAlign w:val="superscript"/>
              </w:rPr>
              <w:t>a</w:t>
            </w:r>
          </w:p>
          <w:p w:rsidR="00EB2867" w:rsidRPr="00323D31" w:rsidRDefault="00EB2867" w:rsidP="00E400DE">
            <w:pPr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Low (≤79)</w:t>
            </w:r>
          </w:p>
          <w:p w:rsidR="00EB2867" w:rsidRPr="00323D31" w:rsidRDefault="00EB2867" w:rsidP="00E400DE">
            <w:pPr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High (&gt;79)</w:t>
            </w:r>
          </w:p>
        </w:tc>
        <w:tc>
          <w:tcPr>
            <w:tcW w:w="4660" w:type="dxa"/>
            <w:hideMark/>
          </w:tcPr>
          <w:p w:rsidR="00EB2867" w:rsidRPr="00323D31" w:rsidRDefault="00EB2867" w:rsidP="00E400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 </w:t>
            </w:r>
          </w:p>
          <w:p w:rsidR="00EB2867" w:rsidRPr="00323D31" w:rsidRDefault="00EB2867" w:rsidP="00E400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70</w:t>
            </w:r>
          </w:p>
          <w:p w:rsidR="00EB2867" w:rsidRPr="00323D31" w:rsidRDefault="00EB2867" w:rsidP="00E400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29</w:t>
            </w:r>
          </w:p>
        </w:tc>
      </w:tr>
      <w:tr w:rsidR="00EB2867" w:rsidRPr="00323D31" w:rsidTr="00E400DE">
        <w:trPr>
          <w:trHeight w:val="1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  <w:hideMark/>
          </w:tcPr>
          <w:p w:rsidR="00EB2867" w:rsidRPr="00323D31" w:rsidRDefault="00EB2867" w:rsidP="00E400DE">
            <w:pPr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pGSN (µg/ml)</w:t>
            </w: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  <w:position w:val="7"/>
                <w:vertAlign w:val="superscript"/>
              </w:rPr>
              <w:t>a</w:t>
            </w:r>
          </w:p>
          <w:p w:rsidR="00EB2867" w:rsidRPr="00323D31" w:rsidRDefault="00EB2867" w:rsidP="00E400DE">
            <w:pPr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Not verified</w:t>
            </w:r>
          </w:p>
          <w:p w:rsidR="00EB2867" w:rsidRPr="00323D31" w:rsidRDefault="00EB2867" w:rsidP="00E400DE">
            <w:pPr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HGS</w:t>
            </w:r>
          </w:p>
          <w:p w:rsidR="00EB2867" w:rsidRPr="00323D31" w:rsidRDefault="00EB2867" w:rsidP="00E400DE">
            <w:pPr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LGS</w:t>
            </w:r>
          </w:p>
        </w:tc>
        <w:tc>
          <w:tcPr>
            <w:tcW w:w="4660" w:type="dxa"/>
            <w:hideMark/>
          </w:tcPr>
          <w:p w:rsidR="00EB2867" w:rsidRDefault="00EB2867" w:rsidP="00E400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Arial"/>
                <w:color w:val="000000" w:themeColor="text1"/>
                <w:kern w:val="24"/>
              </w:rPr>
            </w:pPr>
          </w:p>
          <w:p w:rsidR="00EB2867" w:rsidRPr="00323D31" w:rsidRDefault="00EB2867" w:rsidP="00E400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25</w:t>
            </w:r>
          </w:p>
          <w:p w:rsidR="00EB2867" w:rsidRPr="00323D31" w:rsidRDefault="00EB2867" w:rsidP="00E400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70</w:t>
            </w:r>
          </w:p>
          <w:p w:rsidR="00EB2867" w:rsidRPr="00323D31" w:rsidRDefault="00EB2867" w:rsidP="00E400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36"/>
                <w:szCs w:val="36"/>
              </w:rPr>
            </w:pPr>
            <w:r w:rsidRPr="00323D31">
              <w:rPr>
                <w:rFonts w:ascii="Calibri" w:eastAsia="Times New Roman" w:hAnsi="Calibri" w:cs="Arial"/>
                <w:color w:val="000000" w:themeColor="text1"/>
                <w:kern w:val="24"/>
              </w:rPr>
              <w:t>4</w:t>
            </w:r>
          </w:p>
        </w:tc>
      </w:tr>
      <w:tr w:rsidR="00EB2867" w:rsidRPr="00323D31" w:rsidTr="00E400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</w:tcPr>
          <w:p w:rsidR="00EB2867" w:rsidRPr="00382CAD" w:rsidRDefault="00EB2867" w:rsidP="00E400DE">
            <w:pPr>
              <w:rPr>
                <w:rFonts w:ascii="Calibri" w:eastAsia="Times New Roman" w:hAnsi="Calibri" w:cs="Arial"/>
                <w:color w:val="000000" w:themeColor="text1"/>
                <w:kern w:val="24"/>
              </w:rPr>
            </w:pPr>
            <w:r w:rsidRPr="00382CAD">
              <w:rPr>
                <w:rFonts w:ascii="Calibri" w:eastAsia="Times New Roman" w:hAnsi="Calibri" w:cs="Arial"/>
                <w:bCs w:val="0"/>
                <w:color w:val="000000" w:themeColor="text1"/>
                <w:kern w:val="24"/>
              </w:rPr>
              <w:t>Healthy Subjects</w:t>
            </w:r>
          </w:p>
        </w:tc>
        <w:tc>
          <w:tcPr>
            <w:tcW w:w="4660" w:type="dxa"/>
          </w:tcPr>
          <w:p w:rsidR="00EB2867" w:rsidRDefault="00EB2867" w:rsidP="00E400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Arial"/>
                <w:color w:val="000000" w:themeColor="text1"/>
                <w:kern w:val="24"/>
              </w:rPr>
            </w:pPr>
            <w:r>
              <w:rPr>
                <w:rFonts w:ascii="Calibri" w:eastAsia="Times New Roman" w:hAnsi="Calibri" w:cs="Arial"/>
                <w:color w:val="000000" w:themeColor="text1"/>
                <w:kern w:val="24"/>
              </w:rPr>
              <w:t>32</w:t>
            </w:r>
          </w:p>
        </w:tc>
      </w:tr>
    </w:tbl>
    <w:p w:rsidR="00EB2867" w:rsidRDefault="00EB2867" w:rsidP="00EB2867">
      <w:r w:rsidRPr="00323D3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A27B67" wp14:editId="24651149">
                <wp:simplePos x="0" y="0"/>
                <wp:positionH relativeFrom="column">
                  <wp:posOffset>76200</wp:posOffset>
                </wp:positionH>
                <wp:positionV relativeFrom="paragraph">
                  <wp:posOffset>0</wp:posOffset>
                </wp:positionV>
                <wp:extent cx="5915025" cy="616938"/>
                <wp:effectExtent l="0" t="0" r="0" b="0"/>
                <wp:wrapNone/>
                <wp:docPr id="2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915025" cy="61693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B2867" w:rsidRDefault="00EB2867" w:rsidP="00EB286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eastAsia="+mj-ea" w:hAnsi="Calibri" w:cs="+mj-cs"/>
                                <w:b/>
                                <w:bCs/>
                                <w:color w:val="000000"/>
                                <w:kern w:val="24"/>
                                <w:lang w:val="en-GB"/>
                              </w:rPr>
                              <w:t>Table 1. Characteristics of patients</w:t>
                            </w:r>
                          </w:p>
                        </w:txbxContent>
                      </wps:txbx>
                      <wps:bodyPr vert="horz" lIns="91440" tIns="45720" rIns="91440" bIns="45720" rtlCol="0" anchor="ctr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itle 1" o:spid="_x0000_s1026" style="position:absolute;margin-left:6pt;margin-top:0;width:465.75pt;height:48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" filled="f" stroked="f">
                <v:path arrowok="t"/>
                <o:lock v:ext="edit" grouping="t"/>
                <v:textbox>
                  <w:txbxContent>
                    <w:p w:rsidR="00EB2867" w:rsidRDefault="00EB2867" w:rsidP="00EB286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Calibri" w:eastAsia="+mj-ea" w:hAnsi="Calibri" w:cs="+mj-cs"/>
                          <w:b/>
                          <w:bCs/>
                          <w:color w:val="000000"/>
                          <w:kern w:val="24"/>
                          <w:lang w:val="en-GB"/>
                        </w:rPr>
                        <w:t>Table 1.</w:t>
                      </w:r>
                      <w:proofErr w:type="gramEnd"/>
                      <w:r>
                        <w:rPr>
                          <w:rFonts w:ascii="Calibri" w:eastAsia="+mj-ea" w:hAnsi="Calibri" w:cs="+mj-cs"/>
                          <w:b/>
                          <w:bCs/>
                          <w:color w:val="000000"/>
                          <w:kern w:val="24"/>
                          <w:lang w:val="en-GB"/>
                        </w:rPr>
                        <w:t xml:space="preserve"> Characteristics of patients</w:t>
                      </w:r>
                    </w:p>
                  </w:txbxContent>
                </v:textbox>
              </v:rect>
            </w:pict>
          </mc:Fallback>
        </mc:AlternateContent>
      </w:r>
    </w:p>
    <w:p w:rsidR="00EB2867" w:rsidRDefault="00EB2867" w:rsidP="00EB2867">
      <w:r w:rsidRPr="00323D3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54E287" wp14:editId="57833A0C">
                <wp:simplePos x="0" y="0"/>
                <wp:positionH relativeFrom="column">
                  <wp:posOffset>-122555</wp:posOffset>
                </wp:positionH>
                <wp:positionV relativeFrom="paragraph">
                  <wp:posOffset>6304915</wp:posOffset>
                </wp:positionV>
                <wp:extent cx="6380480" cy="645795"/>
                <wp:effectExtent l="0" t="0" r="0" b="0"/>
                <wp:wrapNone/>
                <wp:docPr id="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0480" cy="645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B2867" w:rsidRDefault="00EB2867" w:rsidP="00EB2867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  <w:position w:val="7"/>
                                <w:vertAlign w:val="superscript"/>
                              </w:rPr>
                              <w:t>a</w:t>
                            </w: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</w:rPr>
                              <w:t>Median cut-off value.</w:t>
                            </w:r>
                          </w:p>
                          <w:p w:rsidR="00EB2867" w:rsidRDefault="00EB2867" w:rsidP="00EB2867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</w:rPr>
                              <w:t>CA-125, cancer antigen 125; pGSN, plasma gelsolin; FIGO, International Federation of Gynecology and Obstetrics.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7" style="position:absolute;margin-left:-9.65pt;margin-top:496.45pt;width:502.4pt;height:50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" filled="f" stroked="f">
                <v:textbox style="mso-fit-shape-to-text:t">
                  <w:txbxContent>
                    <w:p w:rsidR="00EB2867" w:rsidRDefault="00EB2867" w:rsidP="00EB2867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proofErr w:type="gramStart"/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  <w:position w:val="7"/>
                          <w:vertAlign w:val="superscript"/>
                        </w:rPr>
                        <w:t>a</w:t>
                      </w:r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</w:rPr>
                        <w:t>Median</w:t>
                      </w:r>
                      <w:proofErr w:type="gramEnd"/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</w:rPr>
                        <w:t xml:space="preserve"> cut-off value.</w:t>
                      </w:r>
                    </w:p>
                    <w:p w:rsidR="00EB2867" w:rsidRDefault="00EB2867" w:rsidP="00EB2867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proofErr w:type="gramStart"/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</w:rPr>
                        <w:t>CA-125, cancer antigen 125; pGSN, plasma gelsolin; FIGO, International Federation of Gynecology and Obstetrics.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</w:p>
    <w:p w:rsidR="00EB2867" w:rsidRDefault="00EB2867" w:rsidP="00EB2867">
      <w:r>
        <w:br w:type="page"/>
      </w:r>
    </w:p>
    <w:p w:rsidR="00EB2867" w:rsidRDefault="00EB2867" w:rsidP="00EB2867">
      <w:r w:rsidRPr="00554D3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F79C2A" wp14:editId="092EE46F">
                <wp:simplePos x="0" y="0"/>
                <wp:positionH relativeFrom="column">
                  <wp:posOffset>-28575</wp:posOffset>
                </wp:positionH>
                <wp:positionV relativeFrom="paragraph">
                  <wp:posOffset>190500</wp:posOffset>
                </wp:positionV>
                <wp:extent cx="5915025" cy="647700"/>
                <wp:effectExtent l="0" t="0" r="0" b="0"/>
                <wp:wrapNone/>
                <wp:docPr id="4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91502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B2867" w:rsidRDefault="00EB2867" w:rsidP="00EB286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Calibri" w:eastAsia="+mj-ea" w:hAnsi="Calibri" w:cs="+mj-cs"/>
                                <w:b/>
                                <w:bCs/>
                                <w:color w:val="000000"/>
                                <w:kern w:val="24"/>
                                <w:lang w:val="en-GB"/>
                              </w:rPr>
                              <w:t>Table 2.</w:t>
                            </w:r>
                            <w:proofErr w:type="gramEnd"/>
                            <w:r>
                              <w:rPr>
                                <w:rFonts w:ascii="Calibri" w:eastAsia="+mj-ea" w:hAnsi="Calibri" w:cs="+mj-cs"/>
                                <w:b/>
                                <w:bCs/>
                                <w:color w:val="000000"/>
                                <w:kern w:val="24"/>
                                <w:lang w:val="en-GB"/>
                              </w:rPr>
                              <w:t xml:space="preserve"> Correlation between plasma pGSN and CA-125 levels and ovarian cancer residual disease and stage.</w:t>
                            </w:r>
                          </w:p>
                        </w:txbxContent>
                      </wps:txbx>
                      <wps:bodyPr vert="horz" lIns="91440" tIns="45720" rIns="91440" bIns="45720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8" style="position:absolute;margin-left:-2.25pt;margin-top:15pt;width:465.75pt;height:51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" filled="f" stroked="f">
                <v:path arrowok="t"/>
                <o:lock v:ext="edit" grouping="t"/>
                <v:textbox>
                  <w:txbxContent>
                    <w:p w:rsidR="00EB2867" w:rsidRDefault="00EB2867" w:rsidP="00EB286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Calibri" w:eastAsia="+mj-ea" w:hAnsi="Calibri" w:cs="+mj-cs"/>
                          <w:b/>
                          <w:bCs/>
                          <w:color w:val="000000"/>
                          <w:kern w:val="24"/>
                          <w:lang w:val="en-GB"/>
                        </w:rPr>
                        <w:t>Table 2.</w:t>
                      </w:r>
                      <w:proofErr w:type="gramEnd"/>
                      <w:r>
                        <w:rPr>
                          <w:rFonts w:ascii="Calibri" w:eastAsia="+mj-ea" w:hAnsi="Calibri" w:cs="+mj-cs"/>
                          <w:b/>
                          <w:bCs/>
                          <w:color w:val="000000"/>
                          <w:kern w:val="24"/>
                          <w:lang w:val="en-GB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Calibri" w:eastAsia="+mj-ea" w:hAnsi="Calibri" w:cs="+mj-cs"/>
                          <w:b/>
                          <w:bCs/>
                          <w:color w:val="000000"/>
                          <w:kern w:val="24"/>
                          <w:lang w:val="en-GB"/>
                        </w:rPr>
                        <w:t>Correlation between plasma pGSN and CA-125 levels and ovarian cancer residual disease and stage.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80" w:rightFromText="180" w:vertAnchor="text" w:horzAnchor="margin" w:tblpY="828"/>
        <w:tblW w:w="93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  <w:gridCol w:w="2345"/>
        <w:gridCol w:w="2325"/>
        <w:gridCol w:w="2325"/>
      </w:tblGrid>
      <w:tr w:rsidR="00EB2867" w:rsidRPr="00554D3E" w:rsidTr="00E400DE">
        <w:trPr>
          <w:trHeight w:val="306"/>
        </w:trPr>
        <w:tc>
          <w:tcPr>
            <w:tcW w:w="467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EB2867" w:rsidRPr="00554D3E" w:rsidRDefault="00EB2867" w:rsidP="00E400DE">
            <w:pPr>
              <w:spacing w:after="0" w:line="306" w:lineRule="atLeast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 </w:t>
            </w:r>
          </w:p>
        </w:tc>
        <w:tc>
          <w:tcPr>
            <w:tcW w:w="23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EB2867" w:rsidRPr="00554D3E" w:rsidRDefault="00EB2867" w:rsidP="00E400DE">
            <w:pPr>
              <w:spacing w:after="0" w:line="306" w:lineRule="atLeast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CA-125 (U/ml)</w:t>
            </w:r>
          </w:p>
        </w:tc>
        <w:tc>
          <w:tcPr>
            <w:tcW w:w="23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EB2867" w:rsidRPr="00554D3E" w:rsidRDefault="00EB2867" w:rsidP="00E400DE">
            <w:pPr>
              <w:spacing w:after="0" w:line="306" w:lineRule="atLeast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pGSN (µg/ml)</w:t>
            </w:r>
          </w:p>
        </w:tc>
      </w:tr>
      <w:tr w:rsidR="00EB2867" w:rsidRPr="00554D3E" w:rsidTr="00E400DE">
        <w:trPr>
          <w:trHeight w:val="917"/>
        </w:trPr>
        <w:tc>
          <w:tcPr>
            <w:tcW w:w="232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Residual disease (RD)</w:t>
            </w:r>
          </w:p>
        </w:tc>
        <w:tc>
          <w:tcPr>
            <w:tcW w:w="234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R</w:t>
            </w:r>
            <w:r w:rsidRPr="00554D3E">
              <w:rPr>
                <w:rFonts w:ascii="Calibri" w:eastAsia="Calibri" w:hAnsi="Calibri" w:cs="Times New Roman"/>
                <w:color w:val="000000"/>
                <w:kern w:val="24"/>
                <w:position w:val="7"/>
                <w:vertAlign w:val="superscript"/>
              </w:rPr>
              <w:t>a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Sig. (2-tailed)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N</w:t>
            </w:r>
            <w:r w:rsidRPr="00554D3E">
              <w:rPr>
                <w:rFonts w:ascii="Calibri" w:eastAsia="Calibri" w:hAnsi="Calibri" w:cs="Times New Roman"/>
                <w:color w:val="000000"/>
                <w:kern w:val="24"/>
                <w:position w:val="7"/>
                <w:vertAlign w:val="superscript"/>
              </w:rPr>
              <w:t>b</w:t>
            </w:r>
          </w:p>
        </w:tc>
        <w:tc>
          <w:tcPr>
            <w:tcW w:w="232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</w:rPr>
              <w:t>-0.01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91</w:t>
            </w:r>
          </w:p>
          <w:p w:rsidR="00EB2867" w:rsidRPr="00554D3E" w:rsidRDefault="00880132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</w:rPr>
              <w:t>92</w:t>
            </w:r>
          </w:p>
        </w:tc>
        <w:tc>
          <w:tcPr>
            <w:tcW w:w="232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0.29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&lt;0.01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92</w:t>
            </w:r>
          </w:p>
        </w:tc>
      </w:tr>
      <w:tr w:rsidR="00EB2867" w:rsidRPr="00554D3E" w:rsidTr="00E400DE">
        <w:trPr>
          <w:trHeight w:val="917"/>
        </w:trPr>
        <w:tc>
          <w:tcPr>
            <w:tcW w:w="232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Stage (FIGO)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R</w:t>
            </w:r>
            <w:r w:rsidRPr="00554D3E">
              <w:rPr>
                <w:rFonts w:ascii="Calibri" w:eastAsia="Calibri" w:hAnsi="Calibri" w:cs="Times New Roman"/>
                <w:color w:val="000000"/>
                <w:kern w:val="24"/>
                <w:position w:val="7"/>
                <w:vertAlign w:val="superscript"/>
              </w:rPr>
              <w:t>a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Sig. (2-tailed)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N</w:t>
            </w:r>
            <w:r w:rsidRPr="00554D3E">
              <w:rPr>
                <w:rFonts w:ascii="Calibri" w:eastAsia="Calibri" w:hAnsi="Calibri" w:cs="Times New Roman"/>
                <w:color w:val="000000"/>
                <w:kern w:val="24"/>
                <w:position w:val="7"/>
                <w:vertAlign w:val="superscript"/>
              </w:rPr>
              <w:t>b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</w:rPr>
              <w:t>0.22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</w:rPr>
              <w:t>0.04</w:t>
            </w:r>
          </w:p>
          <w:p w:rsidR="00EB2867" w:rsidRPr="00554D3E" w:rsidRDefault="00880132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</w:rPr>
              <w:t>99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-0.20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0.05</w:t>
            </w:r>
          </w:p>
          <w:p w:rsidR="00EB2867" w:rsidRPr="00554D3E" w:rsidRDefault="00880132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</w:rPr>
              <w:t>99</w:t>
            </w:r>
          </w:p>
        </w:tc>
      </w:tr>
    </w:tbl>
    <w:p w:rsidR="00EB2867" w:rsidRDefault="00EB2867" w:rsidP="00EB2867">
      <w:r w:rsidRPr="00554D3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B0AB7B" wp14:editId="31AF5D69">
                <wp:simplePos x="0" y="0"/>
                <wp:positionH relativeFrom="column">
                  <wp:posOffset>-95250</wp:posOffset>
                </wp:positionH>
                <wp:positionV relativeFrom="paragraph">
                  <wp:posOffset>2200910</wp:posOffset>
                </wp:positionV>
                <wp:extent cx="6123214" cy="646331"/>
                <wp:effectExtent l="0" t="0" r="0" b="0"/>
                <wp:wrapNone/>
                <wp:docPr id="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3214" cy="64633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B2867" w:rsidRDefault="00EB2867" w:rsidP="00EB2867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  <w:position w:val="7"/>
                                <w:vertAlign w:val="superscript"/>
                              </w:rPr>
                              <w:t>a</w:t>
                            </w: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</w:rPr>
                              <w:t xml:space="preserve">Pearson’s correlation, </w:t>
                            </w: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  <w:position w:val="7"/>
                                <w:vertAlign w:val="superscript"/>
                              </w:rPr>
                              <w:t>b</w:t>
                            </w: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</w:rPr>
                              <w:t>Number of patients.</w:t>
                            </w:r>
                          </w:p>
                          <w:p w:rsidR="00EB2867" w:rsidRDefault="00EB2867" w:rsidP="00EB2867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</w:rPr>
                              <w:t>CA-125, cancer antigen 125; pGSN, plasma gelsolin; FIGO, International Federation of Gynecology and Obstetrics.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9" style="position:absolute;margin-left:-7.5pt;margin-top:173.3pt;width:482.15pt;height:50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" filled="f" stroked="f">
                <v:textbox style="mso-fit-shape-to-text:t">
                  <w:txbxContent>
                    <w:p w:rsidR="00EB2867" w:rsidRDefault="00EB2867" w:rsidP="00EB2867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proofErr w:type="gramStart"/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  <w:position w:val="7"/>
                          <w:vertAlign w:val="superscript"/>
                        </w:rPr>
                        <w:t>a</w:t>
                      </w:r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</w:rPr>
                        <w:t>Pearson’s</w:t>
                      </w:r>
                      <w:proofErr w:type="gramEnd"/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</w:rPr>
                        <w:t xml:space="preserve"> correlation, </w:t>
                      </w:r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  <w:position w:val="7"/>
                          <w:vertAlign w:val="superscript"/>
                        </w:rPr>
                        <w:t>b</w:t>
                      </w:r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</w:rPr>
                        <w:t>Number of patients.</w:t>
                      </w:r>
                    </w:p>
                    <w:p w:rsidR="00EB2867" w:rsidRDefault="00EB2867" w:rsidP="00EB2867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proofErr w:type="gramStart"/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</w:rPr>
                        <w:t>CA-125, cancer antigen 125; pGSN, plasma gelsolin; FIGO, International Federation of Gynecology and Obstetrics.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br w:type="page"/>
      </w:r>
    </w:p>
    <w:p w:rsidR="00EB2867" w:rsidRDefault="00EB2867" w:rsidP="00EB2867">
      <w:r w:rsidRPr="00554D3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9F42D0" wp14:editId="0BD2EBD9">
                <wp:simplePos x="0" y="0"/>
                <wp:positionH relativeFrom="column">
                  <wp:posOffset>-542925</wp:posOffset>
                </wp:positionH>
                <wp:positionV relativeFrom="paragraph">
                  <wp:posOffset>9525</wp:posOffset>
                </wp:positionV>
                <wp:extent cx="6586695" cy="552009"/>
                <wp:effectExtent l="0" t="0" r="0" b="0"/>
                <wp:wrapNone/>
                <wp:docPr id="6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6586695" cy="5520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B2867" w:rsidRDefault="00EB2867" w:rsidP="00EB286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eastAsia="+mj-ea" w:hAnsi="Calibri" w:cs="+mj-cs"/>
                                <w:b/>
                                <w:bCs/>
                                <w:color w:val="000000"/>
                                <w:kern w:val="24"/>
                              </w:rPr>
                              <w:t>Table 3. The sensitivities and specificities of OVCA plasma biomarkers.</w:t>
                            </w:r>
                          </w:p>
                        </w:txbxContent>
                      </wps:txbx>
                      <wps:bodyPr vert="horz" lIns="91440" tIns="45720" rIns="91440" bIns="45720" rtlCol="0" anchor="ctr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0" style="position:absolute;margin-left:-42.75pt;margin-top:.75pt;width:518.65pt;height:43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" filled="f" stroked="f">
                <v:path arrowok="t"/>
                <o:lock v:ext="edit" grouping="t"/>
                <v:textbox>
                  <w:txbxContent>
                    <w:p w:rsidR="00EB2867" w:rsidRDefault="00EB2867" w:rsidP="00EB286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Calibri" w:eastAsia="+mj-ea" w:hAnsi="Calibri" w:cs="+mj-cs"/>
                          <w:b/>
                          <w:bCs/>
                          <w:color w:val="000000"/>
                          <w:kern w:val="24"/>
                        </w:rPr>
                        <w:t>Table 3.</w:t>
                      </w:r>
                      <w:proofErr w:type="gramEnd"/>
                      <w:r>
                        <w:rPr>
                          <w:rFonts w:ascii="Calibri" w:eastAsia="+mj-ea" w:hAnsi="Calibri" w:cs="+mj-cs"/>
                          <w:b/>
                          <w:bCs/>
                          <w:color w:val="000000"/>
                          <w:kern w:val="24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Calibri" w:eastAsia="+mj-ea" w:hAnsi="Calibri" w:cs="+mj-cs"/>
                          <w:b/>
                          <w:bCs/>
                          <w:color w:val="000000"/>
                          <w:kern w:val="24"/>
                        </w:rPr>
                        <w:t>The sensitivities and specificities of OVCA plasma biomarkers.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80" w:rightFromText="180" w:tblpY="705"/>
        <w:tblW w:w="93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0"/>
        <w:gridCol w:w="2180"/>
        <w:gridCol w:w="2180"/>
        <w:gridCol w:w="2480"/>
      </w:tblGrid>
      <w:tr w:rsidR="00EB2867" w:rsidRPr="00554D3E" w:rsidTr="00E400DE">
        <w:trPr>
          <w:trHeight w:val="258"/>
        </w:trPr>
        <w:tc>
          <w:tcPr>
            <w:tcW w:w="24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EB2867" w:rsidRPr="00554D3E" w:rsidRDefault="00EB2867" w:rsidP="00E400DE">
            <w:pPr>
              <w:spacing w:after="0" w:line="258" w:lineRule="atLeast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18"/>
                <w:szCs w:val="18"/>
              </w:rPr>
              <w:t>Biomarkers</w:t>
            </w:r>
          </w:p>
        </w:tc>
        <w:tc>
          <w:tcPr>
            <w:tcW w:w="21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EB2867" w:rsidRPr="00554D3E" w:rsidRDefault="00EB2867" w:rsidP="00E400DE">
            <w:pPr>
              <w:spacing w:after="0" w:line="258" w:lineRule="atLeast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18"/>
                <w:szCs w:val="18"/>
              </w:rPr>
              <w:t>Sensitivity (%)</w:t>
            </w:r>
          </w:p>
        </w:tc>
        <w:tc>
          <w:tcPr>
            <w:tcW w:w="21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EB2867" w:rsidRPr="00554D3E" w:rsidRDefault="00EB2867" w:rsidP="00E400DE">
            <w:pPr>
              <w:spacing w:after="0" w:line="258" w:lineRule="atLeast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18"/>
                <w:szCs w:val="18"/>
              </w:rPr>
              <w:t>Specificity (%)</w:t>
            </w:r>
          </w:p>
        </w:tc>
        <w:tc>
          <w:tcPr>
            <w:tcW w:w="24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EB2867" w:rsidRPr="00554D3E" w:rsidRDefault="00EB2867" w:rsidP="00E400DE">
            <w:pPr>
              <w:spacing w:after="0" w:line="258" w:lineRule="atLeast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18"/>
                <w:szCs w:val="18"/>
              </w:rPr>
              <w:t>AUC</w:t>
            </w: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  <w:position w:val="5"/>
                <w:sz w:val="18"/>
                <w:szCs w:val="18"/>
                <w:vertAlign w:val="superscript"/>
              </w:rPr>
              <w:t>^</w:t>
            </w:r>
          </w:p>
        </w:tc>
      </w:tr>
      <w:tr w:rsidR="00EB2867" w:rsidRPr="00554D3E" w:rsidTr="00E400DE">
        <w:trPr>
          <w:trHeight w:val="1030"/>
        </w:trPr>
        <w:tc>
          <w:tcPr>
            <w:tcW w:w="24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18"/>
                <w:szCs w:val="18"/>
              </w:rPr>
              <w:t>Stage 1 OVCA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18"/>
                <w:szCs w:val="18"/>
              </w:rPr>
              <w:t>CA125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18"/>
                <w:szCs w:val="18"/>
              </w:rPr>
              <w:t>pGSN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18"/>
                <w:szCs w:val="18"/>
              </w:rPr>
              <w:t>ISO1</w:t>
            </w: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  <w:position w:val="5"/>
                <w:sz w:val="18"/>
                <w:szCs w:val="18"/>
                <w:vertAlign w:val="superscript"/>
              </w:rPr>
              <w:t>*</w:t>
            </w: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18"/>
                <w:szCs w:val="18"/>
              </w:rPr>
              <w:t xml:space="preserve"> Index (pGSN/CA125)</w:t>
            </w:r>
          </w:p>
        </w:tc>
        <w:tc>
          <w:tcPr>
            <w:tcW w:w="21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 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0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75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100</w:t>
            </w:r>
          </w:p>
        </w:tc>
        <w:tc>
          <w:tcPr>
            <w:tcW w:w="21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 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44.9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78.4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67</w:t>
            </w:r>
          </w:p>
        </w:tc>
        <w:tc>
          <w:tcPr>
            <w:tcW w:w="24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 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0.125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0.724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0.89</w:t>
            </w:r>
          </w:p>
        </w:tc>
      </w:tr>
      <w:tr w:rsidR="00EB2867" w:rsidRPr="00554D3E" w:rsidTr="00E400DE">
        <w:trPr>
          <w:trHeight w:val="773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18"/>
                <w:szCs w:val="18"/>
              </w:rPr>
              <w:t>Residual disease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18"/>
                <w:szCs w:val="18"/>
              </w:rPr>
              <w:t>CA125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18"/>
                <w:szCs w:val="18"/>
              </w:rPr>
              <w:t>pGSN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 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4</w:t>
            </w:r>
            <w:r w:rsidRPr="00554D3E"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3.5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60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 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56</w:t>
            </w:r>
            <w:r w:rsidRPr="00554D3E"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5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60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 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0.54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0.65</w:t>
            </w:r>
          </w:p>
        </w:tc>
      </w:tr>
      <w:tr w:rsidR="00EB2867" w:rsidRPr="00554D3E" w:rsidTr="00E400DE">
        <w:trPr>
          <w:trHeight w:val="773"/>
        </w:trPr>
        <w:tc>
          <w:tcPr>
            <w:tcW w:w="24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18"/>
                <w:szCs w:val="18"/>
              </w:rPr>
              <w:t>Late Stage (3 and 4)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18"/>
                <w:szCs w:val="18"/>
              </w:rPr>
              <w:t>CA125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18"/>
                <w:szCs w:val="18"/>
              </w:rPr>
              <w:t>pGSN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 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55.1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21.6</w:t>
            </w:r>
            <w:r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 xml:space="preserve">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 </w:t>
            </w:r>
          </w:p>
          <w:p w:rsidR="00EB2867" w:rsidRDefault="00EB2867" w:rsidP="00E400DE">
            <w:pPr>
              <w:spacing w:after="0"/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100</w:t>
            </w:r>
            <w:r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 xml:space="preserve"> </w:t>
            </w:r>
          </w:p>
          <w:p w:rsidR="00EB2867" w:rsidRPr="00891C44" w:rsidRDefault="00EB2867" w:rsidP="00E400DE">
            <w:pPr>
              <w:spacing w:after="0"/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 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0.875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  <w:sz w:val="18"/>
                <w:szCs w:val="18"/>
              </w:rPr>
              <w:t>0.276</w:t>
            </w:r>
          </w:p>
        </w:tc>
      </w:tr>
    </w:tbl>
    <w:p w:rsidR="00EB2867" w:rsidRDefault="00EB2867" w:rsidP="00EB2867">
      <w:r w:rsidRPr="00554D3E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4E0590" wp14:editId="00384B98">
                <wp:simplePos x="0" y="0"/>
                <wp:positionH relativeFrom="column">
                  <wp:posOffset>-132715</wp:posOffset>
                </wp:positionH>
                <wp:positionV relativeFrom="paragraph">
                  <wp:posOffset>2251710</wp:posOffset>
                </wp:positionV>
                <wp:extent cx="6038850" cy="461645"/>
                <wp:effectExtent l="0" t="0" r="0" b="0"/>
                <wp:wrapNone/>
                <wp:docPr id="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8850" cy="4616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B2867" w:rsidRDefault="00EB2867" w:rsidP="00EB2867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</w:rPr>
                              <w:t>OVCA, ovarian cancer; CA125, cancer antigen 125; pGSN, plasma gelsolin. *Indicator of Stage 1 OVCA. ^Area under the curve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_x0000_s1031" style="position:absolute;margin-left:-10.45pt;margin-top:177.3pt;width:475.5pt;height:36.3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" filled="f" stroked="f">
                <v:textbox style="mso-fit-shape-to-text:t">
                  <w:txbxContent>
                    <w:p w:rsidR="00EB2867" w:rsidRDefault="00EB2867" w:rsidP="00EB2867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</w:rPr>
                        <w:t>OVCA, ovarian cancer; CA125, cancer antigen 125; pGSN, plasma gelsolin.</w:t>
                      </w:r>
                      <w:proofErr w:type="gramEnd"/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</w:rPr>
                        <w:t xml:space="preserve"> *Indicator of Stage 1 OVCA. ^Area under the curve</w:t>
                      </w:r>
                    </w:p>
                  </w:txbxContent>
                </v:textbox>
              </v:rect>
            </w:pict>
          </mc:Fallback>
        </mc:AlternateContent>
      </w:r>
    </w:p>
    <w:p w:rsidR="00EB2867" w:rsidRDefault="00EB2867" w:rsidP="00EB2867">
      <w:r>
        <w:br w:type="page"/>
      </w:r>
    </w:p>
    <w:p w:rsidR="00EB2867" w:rsidRDefault="00EB2867" w:rsidP="00EB2867">
      <w:r w:rsidRPr="00554D3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B8B760" wp14:editId="6B5F9758">
                <wp:simplePos x="0" y="0"/>
                <wp:positionH relativeFrom="column">
                  <wp:posOffset>-171450</wp:posOffset>
                </wp:positionH>
                <wp:positionV relativeFrom="paragraph">
                  <wp:posOffset>-19050</wp:posOffset>
                </wp:positionV>
                <wp:extent cx="5915025" cy="589112"/>
                <wp:effectExtent l="0" t="0" r="0" b="0"/>
                <wp:wrapNone/>
                <wp:docPr id="9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915025" cy="58911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B2867" w:rsidRDefault="00EB2867" w:rsidP="00EB286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eastAsia="+mj-ea" w:hAnsi="Calibri" w:cs="+mj-cs"/>
                                <w:b/>
                                <w:bCs/>
                                <w:color w:val="000000"/>
                                <w:kern w:val="24"/>
                              </w:rPr>
                              <w:t>Table 4. Univariate Cox regression analysis for disease-free and overall survival</w:t>
                            </w:r>
                          </w:p>
                        </w:txbxContent>
                      </wps:txbx>
                      <wps:bodyPr vert="horz" lIns="91440" tIns="45720" rIns="91440" bIns="45720" rtlCol="0" anchor="ctr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2" style="position:absolute;margin-left:-13.5pt;margin-top:-1.5pt;width:465.75pt;height:46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" filled="f" stroked="f">
                <v:path arrowok="t"/>
                <o:lock v:ext="edit" grouping="t"/>
                <v:textbox>
                  <w:txbxContent>
                    <w:p w:rsidR="00EB2867" w:rsidRDefault="00EB2867" w:rsidP="00EB286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Calibri" w:eastAsia="+mj-ea" w:hAnsi="Calibri" w:cs="+mj-cs"/>
                          <w:b/>
                          <w:bCs/>
                          <w:color w:val="000000"/>
                          <w:kern w:val="24"/>
                        </w:rPr>
                        <w:t>Table 4.</w:t>
                      </w:r>
                      <w:proofErr w:type="gramEnd"/>
                      <w:r>
                        <w:rPr>
                          <w:rFonts w:ascii="Calibri" w:eastAsia="+mj-ea" w:hAnsi="Calibri" w:cs="+mj-cs"/>
                          <w:b/>
                          <w:bCs/>
                          <w:color w:val="000000"/>
                          <w:kern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+mj-ea" w:hAnsi="Calibri" w:cs="+mj-cs"/>
                          <w:b/>
                          <w:bCs/>
                          <w:color w:val="000000"/>
                          <w:kern w:val="24"/>
                        </w:rPr>
                        <w:t>Univariate</w:t>
                      </w:r>
                      <w:proofErr w:type="spellEnd"/>
                      <w:r>
                        <w:rPr>
                          <w:rFonts w:ascii="Calibri" w:eastAsia="+mj-ea" w:hAnsi="Calibri" w:cs="+mj-cs"/>
                          <w:b/>
                          <w:bCs/>
                          <w:color w:val="000000"/>
                          <w:kern w:val="24"/>
                        </w:rPr>
                        <w:t xml:space="preserve"> Cox regression analysis for disease-free and overall survival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80" w:rightFromText="180" w:vertAnchor="text" w:horzAnchor="margin" w:tblpY="258"/>
        <w:tblW w:w="93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4"/>
        <w:gridCol w:w="1274"/>
        <w:gridCol w:w="1274"/>
        <w:gridCol w:w="1275"/>
        <w:gridCol w:w="1274"/>
        <w:gridCol w:w="1274"/>
        <w:gridCol w:w="1275"/>
      </w:tblGrid>
      <w:tr w:rsidR="00EB2867" w:rsidRPr="00554D3E" w:rsidTr="00E400DE">
        <w:trPr>
          <w:trHeight w:val="306"/>
        </w:trPr>
        <w:tc>
          <w:tcPr>
            <w:tcW w:w="932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 w:line="306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Univariate</w:t>
            </w:r>
          </w:p>
        </w:tc>
      </w:tr>
      <w:tr w:rsidR="00EB2867" w:rsidRPr="00554D3E" w:rsidTr="00E400DE">
        <w:trPr>
          <w:trHeight w:val="306"/>
        </w:trPr>
        <w:tc>
          <w:tcPr>
            <w:tcW w:w="167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 w:line="306" w:lineRule="atLeast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Variable</w:t>
            </w:r>
          </w:p>
        </w:tc>
        <w:tc>
          <w:tcPr>
            <w:tcW w:w="3823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 w:line="306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DFS</w:t>
            </w:r>
          </w:p>
        </w:tc>
        <w:tc>
          <w:tcPr>
            <w:tcW w:w="3823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 w:line="306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OS</w:t>
            </w:r>
          </w:p>
        </w:tc>
      </w:tr>
      <w:tr w:rsidR="00EB2867" w:rsidRPr="00554D3E" w:rsidTr="00E400DE">
        <w:trPr>
          <w:trHeight w:val="306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 w:line="306" w:lineRule="atLeast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 w:line="306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HR</w:t>
            </w: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  <w:position w:val="7"/>
                <w:vertAlign w:val="superscript"/>
              </w:rPr>
              <w:t>*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 w:line="306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95% CI</w:t>
            </w: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  <w:position w:val="7"/>
                <w:vertAlign w:val="superscript"/>
              </w:rPr>
              <w:t>^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 w:line="306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  <w:kern w:val="24"/>
              </w:rPr>
              <w:t>P-</w:t>
            </w: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value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 w:line="306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HR</w:t>
            </w: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  <w:position w:val="7"/>
                <w:vertAlign w:val="superscript"/>
              </w:rPr>
              <w:t>*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 w:line="306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95% CI</w:t>
            </w: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  <w:position w:val="7"/>
                <w:vertAlign w:val="superscript"/>
              </w:rPr>
              <w:t>^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 w:line="306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  <w:kern w:val="24"/>
              </w:rPr>
              <w:t>P</w:t>
            </w: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-value</w:t>
            </w:r>
          </w:p>
        </w:tc>
      </w:tr>
      <w:tr w:rsidR="00EB2867" w:rsidRPr="00554D3E" w:rsidTr="00E400DE">
        <w:trPr>
          <w:trHeight w:val="91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Age (years)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Arial Narrow" w:eastAsia="Calibri" w:hAnsi="Arial Narrow" w:cs="Times New Roman"/>
                <w:b/>
                <w:bCs/>
                <w:color w:val="000000"/>
                <w:kern w:val="24"/>
              </w:rPr>
              <w:t>≤</w:t>
            </w:r>
            <w:r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 xml:space="preserve">61 </w:t>
            </w:r>
            <w:proofErr w:type="spellStart"/>
            <w:r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vs</w:t>
            </w:r>
            <w:proofErr w:type="spellEnd"/>
            <w:r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 xml:space="preserve"> &gt;61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91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58</w:t>
            </w: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 xml:space="preserve"> – 1.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68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66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41 – 1</w:t>
            </w: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91</w:t>
            </w:r>
          </w:p>
        </w:tc>
      </w:tr>
      <w:tr w:rsidR="00EB2867" w:rsidRPr="00554D3E" w:rsidTr="00E400DE">
        <w:trPr>
          <w:trHeight w:val="91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Stage (FIGO)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Arial Narrow" w:eastAsia="Calibri" w:hAnsi="Arial Narrow" w:cs="Times New Roman"/>
                <w:b/>
                <w:bCs/>
                <w:color w:val="000000"/>
                <w:kern w:val="24"/>
              </w:rPr>
              <w:t xml:space="preserve">≤2 </w:t>
            </w:r>
            <w:proofErr w:type="spellStart"/>
            <w:r w:rsidRPr="00554D3E">
              <w:rPr>
                <w:rFonts w:ascii="Arial Narrow" w:eastAsia="Calibri" w:hAnsi="Arial Narrow" w:cs="Times New Roman"/>
                <w:b/>
                <w:bCs/>
                <w:color w:val="000000"/>
                <w:kern w:val="24"/>
              </w:rPr>
              <w:t>vs</w:t>
            </w:r>
            <w:proofErr w:type="spellEnd"/>
            <w:r w:rsidRPr="00554D3E">
              <w:rPr>
                <w:rFonts w:ascii="Arial Narrow" w:eastAsia="Calibri" w:hAnsi="Arial Narrow" w:cs="Times New Roman"/>
                <w:b/>
                <w:bCs/>
                <w:color w:val="000000"/>
                <w:kern w:val="24"/>
              </w:rPr>
              <w:t xml:space="preserve"> &gt;2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0.3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15</w:t>
            </w: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 xml:space="preserve"> – 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60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&lt;0.01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39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19</w:t>
            </w: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 xml:space="preserve"> – 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82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</w:rPr>
              <w:t>0.01</w:t>
            </w:r>
          </w:p>
        </w:tc>
      </w:tr>
      <w:tr w:rsidR="00EB2867" w:rsidRPr="00554D3E" w:rsidTr="00E400DE">
        <w:trPr>
          <w:trHeight w:val="91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Stage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Arial Narrow" w:eastAsia="Calibri" w:hAnsi="Arial Narrow" w:cs="Times New Roman"/>
                <w:b/>
                <w:bCs/>
                <w:color w:val="000000"/>
                <w:kern w:val="24"/>
              </w:rPr>
              <w:t xml:space="preserve">1 </w:t>
            </w:r>
            <w:proofErr w:type="spellStart"/>
            <w:r w:rsidRPr="00554D3E">
              <w:rPr>
                <w:rFonts w:ascii="Arial Narrow" w:eastAsia="Calibri" w:hAnsi="Arial Narrow" w:cs="Times New Roman"/>
                <w:b/>
                <w:bCs/>
                <w:color w:val="000000"/>
                <w:kern w:val="24"/>
              </w:rPr>
              <w:t>vs</w:t>
            </w:r>
            <w:proofErr w:type="spellEnd"/>
            <w:r w:rsidRPr="00554D3E">
              <w:rPr>
                <w:rFonts w:ascii="Arial Narrow" w:eastAsia="Calibri" w:hAnsi="Arial Narrow" w:cs="Times New Roman"/>
                <w:b/>
                <w:bCs/>
                <w:color w:val="000000"/>
                <w:kern w:val="24"/>
              </w:rPr>
              <w:t xml:space="preserve"> &gt;1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15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04</w:t>
            </w: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 xml:space="preserve"> – 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60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&lt;0.01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23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06</w:t>
            </w: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 xml:space="preserve"> – 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93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</w:rPr>
              <w:t>0.04</w:t>
            </w:r>
          </w:p>
        </w:tc>
      </w:tr>
      <w:tr w:rsidR="00EB2867" w:rsidRPr="00554D3E" w:rsidTr="00E400DE">
        <w:trPr>
          <w:trHeight w:val="91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RD (cm)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Arial Narrow" w:eastAsia="Calibri" w:hAnsi="Arial Narrow" w:cs="Times New Roman"/>
                <w:b/>
                <w:bCs/>
                <w:color w:val="000000"/>
                <w:kern w:val="24"/>
              </w:rPr>
              <w:t xml:space="preserve">≤1 </w:t>
            </w:r>
            <w:proofErr w:type="spellStart"/>
            <w:r w:rsidRPr="00554D3E">
              <w:rPr>
                <w:rFonts w:ascii="Arial Narrow" w:eastAsia="Calibri" w:hAnsi="Arial Narrow" w:cs="Times New Roman"/>
                <w:b/>
                <w:bCs/>
                <w:color w:val="000000"/>
                <w:kern w:val="24"/>
              </w:rPr>
              <w:t>vs</w:t>
            </w:r>
            <w:proofErr w:type="spellEnd"/>
            <w:r w:rsidRPr="00554D3E">
              <w:rPr>
                <w:rFonts w:ascii="Arial Narrow" w:eastAsia="Calibri" w:hAnsi="Arial Narrow" w:cs="Times New Roman"/>
                <w:b/>
                <w:bCs/>
                <w:color w:val="000000"/>
                <w:kern w:val="24"/>
              </w:rPr>
              <w:t xml:space="preserve"> &gt;1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31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19</w:t>
            </w: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 xml:space="preserve"> – 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53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&lt;0.01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</w:rPr>
              <w:t>1.54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</w:rPr>
              <w:t>1</w:t>
            </w: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13 – 2.10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&lt;0.01</w:t>
            </w:r>
          </w:p>
        </w:tc>
      </w:tr>
      <w:tr w:rsidR="00EB2867" w:rsidRPr="00554D3E" w:rsidTr="00E400DE">
        <w:trPr>
          <w:trHeight w:val="91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CA-125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 xml:space="preserve">Low </w:t>
            </w:r>
            <w:proofErr w:type="spellStart"/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vs</w:t>
            </w:r>
            <w:proofErr w:type="spellEnd"/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 xml:space="preserve"> high 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59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36 – 0.97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04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48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28</w:t>
            </w: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 xml:space="preserve"> – 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80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0.01</w:t>
            </w:r>
          </w:p>
        </w:tc>
      </w:tr>
      <w:tr w:rsidR="00EB2867" w:rsidRPr="00554D3E" w:rsidTr="00E400DE">
        <w:trPr>
          <w:trHeight w:val="917"/>
        </w:trPr>
        <w:tc>
          <w:tcPr>
            <w:tcW w:w="16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pGSN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 xml:space="preserve">Low </w:t>
            </w:r>
            <w:proofErr w:type="spellStart"/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vs</w:t>
            </w:r>
            <w:proofErr w:type="spellEnd"/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 xml:space="preserve"> high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1.81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1.05 – 3.12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0.03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1.94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1.08 – 3.48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0.03</w:t>
            </w:r>
          </w:p>
        </w:tc>
      </w:tr>
    </w:tbl>
    <w:p w:rsidR="00EB2867" w:rsidRDefault="00EB2867" w:rsidP="00EB2867">
      <w:r w:rsidRPr="00554D3E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FF3BC8" wp14:editId="12A53549">
                <wp:simplePos x="0" y="0"/>
                <wp:positionH relativeFrom="column">
                  <wp:posOffset>-104775</wp:posOffset>
                </wp:positionH>
                <wp:positionV relativeFrom="paragraph">
                  <wp:posOffset>4467860</wp:posOffset>
                </wp:positionV>
                <wp:extent cx="6062345" cy="1015365"/>
                <wp:effectExtent l="0" t="0" r="0" b="0"/>
                <wp:wrapNone/>
                <wp:docPr id="10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2345" cy="1015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B2867" w:rsidRDefault="00EB2867" w:rsidP="00EB2867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</w:rPr>
                              <w:t xml:space="preserve">HR, hazard ratio; DFS, disease free survival; OS, overall survival; CI, confidence interval; RD, residual disease; CA-125, cancer antigen 125; pGSN, plasma gelsolin; FIGO, International Federation of Gynecology and Obstetrics; </w:t>
                            </w: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</w:rPr>
                              <w:t>vs</w:t>
                            </w:r>
                            <w:proofErr w:type="spellEnd"/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</w:rPr>
                              <w:t xml:space="preserve">, versus. </w:t>
                            </w:r>
                          </w:p>
                          <w:p w:rsidR="00EB2867" w:rsidRDefault="00EB2867" w:rsidP="00EB2867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  <w:position w:val="7"/>
                                <w:vertAlign w:val="superscript"/>
                              </w:rPr>
                              <w:t>*</w:t>
                            </w: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</w:rPr>
                              <w:t xml:space="preserve">Estimated from Cox proportional hazard regression model. </w:t>
                            </w:r>
                          </w:p>
                          <w:p w:rsidR="00EB2867" w:rsidRDefault="00EB2867" w:rsidP="00EB2867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  <w:position w:val="7"/>
                                <w:vertAlign w:val="superscript"/>
                              </w:rPr>
                              <w:t>^</w:t>
                            </w: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</w:rPr>
                              <w:t>Confidence interval of the estimated HR.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3" style="position:absolute;margin-left:-8.25pt;margin-top:351.8pt;width:477.35pt;height:79.9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" filled="f" stroked="f">
                <v:textbox style="mso-fit-shape-to-text:t">
                  <w:txbxContent>
                    <w:p w:rsidR="00EB2867" w:rsidRDefault="00EB2867" w:rsidP="00EB2867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</w:rPr>
                        <w:t xml:space="preserve">HR, hazard ratio; DFS, disease free survival; OS, overall survival; CI, confidence interval; RD, residual disease; CA-125, cancer antigen 125; pGSN, plasma gelsolin; FIGO, International Federation of Gynecology and Obstetrics; </w:t>
                      </w:r>
                      <w:proofErr w:type="spellStart"/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</w:rPr>
                        <w:t>vs</w:t>
                      </w:r>
                      <w:proofErr w:type="spellEnd"/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</w:rPr>
                        <w:t xml:space="preserve">, versus. </w:t>
                      </w:r>
                    </w:p>
                    <w:p w:rsidR="00EB2867" w:rsidRDefault="00EB2867" w:rsidP="00EB2867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  <w:position w:val="7"/>
                          <w:vertAlign w:val="superscript"/>
                        </w:rPr>
                        <w:t>*</w:t>
                      </w:r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</w:rPr>
                        <w:t xml:space="preserve">Estimated from Cox proportional hazard regression model. </w:t>
                      </w:r>
                    </w:p>
                    <w:p w:rsidR="00EB2867" w:rsidRDefault="00EB2867" w:rsidP="00EB2867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  <w:position w:val="7"/>
                          <w:vertAlign w:val="superscript"/>
                        </w:rPr>
                        <w:t>^</w:t>
                      </w:r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</w:rPr>
                        <w:t>Confidence interval of the estimated HR.</w:t>
                      </w:r>
                    </w:p>
                  </w:txbxContent>
                </v:textbox>
              </v:rect>
            </w:pict>
          </mc:Fallback>
        </mc:AlternateContent>
      </w:r>
      <w:r>
        <w:br w:type="page"/>
      </w:r>
    </w:p>
    <w:p w:rsidR="00EB2867" w:rsidRDefault="00EB2867" w:rsidP="00EB2867">
      <w:r w:rsidRPr="00554D3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6086BE" wp14:editId="631DD0E8">
                <wp:simplePos x="0" y="0"/>
                <wp:positionH relativeFrom="column">
                  <wp:posOffset>-19050</wp:posOffset>
                </wp:positionH>
                <wp:positionV relativeFrom="paragraph">
                  <wp:posOffset>76200</wp:posOffset>
                </wp:positionV>
                <wp:extent cx="5915025" cy="561285"/>
                <wp:effectExtent l="0" t="0" r="0" b="0"/>
                <wp:wrapNone/>
                <wp:docPr id="11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915025" cy="5612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B2867" w:rsidRDefault="00EB2867" w:rsidP="00EB286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eastAsia="+mj-ea" w:hAnsi="Calibri" w:cs="+mj-cs"/>
                                <w:b/>
                                <w:bCs/>
                                <w:color w:val="000000"/>
                                <w:kern w:val="24"/>
                              </w:rPr>
                              <w:t>Table 5. Multivariate Cox regression analysis for disease-free and overall survival</w:t>
                            </w:r>
                          </w:p>
                        </w:txbxContent>
                      </wps:txbx>
                      <wps:bodyPr vert="horz" lIns="91440" tIns="45720" rIns="91440" bIns="45720" rtlCol="0" anchor="ctr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4" style="position:absolute;margin-left:-1.5pt;margin-top:6pt;width:465.75pt;height:44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" filled="f" stroked="f">
                <v:path arrowok="t"/>
                <o:lock v:ext="edit" grouping="t"/>
                <v:textbox>
                  <w:txbxContent>
                    <w:p w:rsidR="00EB2867" w:rsidRDefault="00EB2867" w:rsidP="00EB286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Calibri" w:eastAsia="+mj-ea" w:hAnsi="Calibri" w:cs="+mj-cs"/>
                          <w:b/>
                          <w:bCs/>
                          <w:color w:val="000000"/>
                          <w:kern w:val="24"/>
                        </w:rPr>
                        <w:t>Table 5.</w:t>
                      </w:r>
                      <w:proofErr w:type="gramEnd"/>
                      <w:r>
                        <w:rPr>
                          <w:rFonts w:ascii="Calibri" w:eastAsia="+mj-ea" w:hAnsi="Calibri" w:cs="+mj-cs"/>
                          <w:b/>
                          <w:bCs/>
                          <w:color w:val="000000"/>
                          <w:kern w:val="24"/>
                        </w:rPr>
                        <w:t xml:space="preserve"> Multivariate Cox regression analysis for disease-free and overall survival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80" w:rightFromText="180" w:vertAnchor="page" w:horzAnchor="margin" w:tblpY="2461"/>
        <w:tblW w:w="93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4"/>
        <w:gridCol w:w="1274"/>
        <w:gridCol w:w="1274"/>
        <w:gridCol w:w="1275"/>
        <w:gridCol w:w="1274"/>
        <w:gridCol w:w="1274"/>
        <w:gridCol w:w="1275"/>
      </w:tblGrid>
      <w:tr w:rsidR="00EB2867" w:rsidRPr="00554D3E" w:rsidTr="00E400DE">
        <w:trPr>
          <w:trHeight w:val="306"/>
        </w:trPr>
        <w:tc>
          <w:tcPr>
            <w:tcW w:w="932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 w:line="306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Multivariate Analysis</w:t>
            </w:r>
          </w:p>
        </w:tc>
      </w:tr>
      <w:tr w:rsidR="00EB2867" w:rsidRPr="00554D3E" w:rsidTr="00E400DE">
        <w:trPr>
          <w:trHeight w:val="306"/>
        </w:trPr>
        <w:tc>
          <w:tcPr>
            <w:tcW w:w="167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 w:line="306" w:lineRule="atLeast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Variable</w:t>
            </w:r>
          </w:p>
        </w:tc>
        <w:tc>
          <w:tcPr>
            <w:tcW w:w="3823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 w:line="306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DFS</w:t>
            </w:r>
          </w:p>
        </w:tc>
        <w:tc>
          <w:tcPr>
            <w:tcW w:w="3823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 w:line="306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OS</w:t>
            </w:r>
          </w:p>
        </w:tc>
      </w:tr>
      <w:tr w:rsidR="00EB2867" w:rsidRPr="00554D3E" w:rsidTr="00E400DE">
        <w:trPr>
          <w:trHeight w:val="306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 w:line="306" w:lineRule="atLeast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 w:line="306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HR</w:t>
            </w: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  <w:position w:val="7"/>
                <w:vertAlign w:val="superscript"/>
              </w:rPr>
              <w:t>*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 w:line="306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95% CI</w:t>
            </w: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  <w:position w:val="7"/>
                <w:vertAlign w:val="superscript"/>
              </w:rPr>
              <w:t>^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 w:line="306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  <w:kern w:val="24"/>
              </w:rPr>
              <w:t>P</w:t>
            </w: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-value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 w:line="306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HR</w:t>
            </w: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  <w:position w:val="7"/>
                <w:vertAlign w:val="superscript"/>
              </w:rPr>
              <w:t>*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 w:line="306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95% CI</w:t>
            </w: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  <w:position w:val="7"/>
                <w:vertAlign w:val="superscript"/>
              </w:rPr>
              <w:t>^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 w:line="306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  <w:kern w:val="24"/>
              </w:rPr>
              <w:t>P</w:t>
            </w: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-value</w:t>
            </w:r>
          </w:p>
        </w:tc>
      </w:tr>
      <w:tr w:rsidR="00EB2867" w:rsidRPr="00554D3E" w:rsidTr="00E400DE">
        <w:trPr>
          <w:trHeight w:val="91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Age (years)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Arial Narrow" w:eastAsia="Calibri" w:hAnsi="Arial Narrow" w:cs="Times New Roman"/>
                <w:b/>
                <w:bCs/>
                <w:color w:val="000000"/>
                <w:kern w:val="24"/>
              </w:rPr>
              <w:t>≤</w:t>
            </w: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6</w:t>
            </w:r>
            <w:r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 xml:space="preserve">1 </w:t>
            </w:r>
            <w:proofErr w:type="spellStart"/>
            <w:r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vs</w:t>
            </w:r>
            <w:proofErr w:type="spellEnd"/>
            <w:r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 xml:space="preserve"> &gt;61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76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47</w:t>
            </w: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 xml:space="preserve"> – 1.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29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0.50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0.29 – 0.86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0.01</w:t>
            </w:r>
          </w:p>
        </w:tc>
      </w:tr>
      <w:tr w:rsidR="00EB2867" w:rsidRPr="00554D3E" w:rsidTr="00E400DE">
        <w:trPr>
          <w:trHeight w:val="91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Stage (FIGO)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Arial Narrow" w:eastAsia="Calibri" w:hAnsi="Arial Narrow" w:cs="Times New Roman"/>
                <w:b/>
                <w:bCs/>
                <w:color w:val="000000"/>
                <w:kern w:val="24"/>
              </w:rPr>
              <w:t xml:space="preserve">≤2 </w:t>
            </w:r>
            <w:proofErr w:type="spellStart"/>
            <w:r w:rsidRPr="00554D3E">
              <w:rPr>
                <w:rFonts w:ascii="Arial Narrow" w:eastAsia="Calibri" w:hAnsi="Arial Narrow" w:cs="Times New Roman"/>
                <w:b/>
                <w:bCs/>
                <w:color w:val="000000"/>
                <w:kern w:val="24"/>
              </w:rPr>
              <w:t>vs</w:t>
            </w:r>
            <w:proofErr w:type="spellEnd"/>
            <w:r w:rsidRPr="00554D3E">
              <w:rPr>
                <w:rFonts w:ascii="Arial Narrow" w:eastAsia="Calibri" w:hAnsi="Arial Narrow" w:cs="Times New Roman"/>
                <w:b/>
                <w:bCs/>
                <w:color w:val="000000"/>
                <w:kern w:val="24"/>
              </w:rPr>
              <w:t xml:space="preserve"> &gt;2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63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27</w:t>
            </w: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 xml:space="preserve"> – 1.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47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29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63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25</w:t>
            </w: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 xml:space="preserve"> – 1.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57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32</w:t>
            </w:r>
          </w:p>
        </w:tc>
      </w:tr>
      <w:tr w:rsidR="00EB2867" w:rsidRPr="00554D3E" w:rsidTr="00E400DE">
        <w:trPr>
          <w:trHeight w:val="91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Stage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Arial Narrow" w:eastAsia="Calibri" w:hAnsi="Arial Narrow" w:cs="Times New Roman"/>
                <w:b/>
                <w:bCs/>
                <w:color w:val="000000"/>
                <w:kern w:val="24"/>
              </w:rPr>
              <w:t xml:space="preserve">1 </w:t>
            </w:r>
            <w:proofErr w:type="spellStart"/>
            <w:r w:rsidRPr="00554D3E">
              <w:rPr>
                <w:rFonts w:ascii="Arial Narrow" w:eastAsia="Calibri" w:hAnsi="Arial Narrow" w:cs="Times New Roman"/>
                <w:b/>
                <w:bCs/>
                <w:color w:val="000000"/>
                <w:kern w:val="24"/>
              </w:rPr>
              <w:t>vs</w:t>
            </w:r>
            <w:proofErr w:type="spellEnd"/>
            <w:r w:rsidRPr="00554D3E">
              <w:rPr>
                <w:rFonts w:ascii="Arial Narrow" w:eastAsia="Calibri" w:hAnsi="Arial Narrow" w:cs="Times New Roman"/>
                <w:b/>
                <w:bCs/>
                <w:color w:val="000000"/>
                <w:kern w:val="24"/>
              </w:rPr>
              <w:t xml:space="preserve"> &gt;1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40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08</w:t>
            </w: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 xml:space="preserve"> – 2.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27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</w:rPr>
              <w:t>0</w:t>
            </w: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78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15</w:t>
            </w: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 xml:space="preserve"> – 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4</w:t>
            </w: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76</w:t>
            </w:r>
          </w:p>
        </w:tc>
      </w:tr>
      <w:tr w:rsidR="00EB2867" w:rsidRPr="00554D3E" w:rsidTr="00E400DE">
        <w:trPr>
          <w:trHeight w:val="91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RD (cm)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Arial Narrow" w:eastAsia="Calibri" w:hAnsi="Arial Narrow" w:cs="Times New Roman"/>
                <w:b/>
                <w:bCs/>
                <w:color w:val="000000"/>
                <w:kern w:val="24"/>
              </w:rPr>
              <w:t xml:space="preserve">≤1 </w:t>
            </w:r>
            <w:proofErr w:type="spellStart"/>
            <w:r w:rsidRPr="00554D3E">
              <w:rPr>
                <w:rFonts w:ascii="Arial Narrow" w:eastAsia="Calibri" w:hAnsi="Arial Narrow" w:cs="Times New Roman"/>
                <w:b/>
                <w:bCs/>
                <w:color w:val="000000"/>
                <w:kern w:val="24"/>
              </w:rPr>
              <w:t>vs</w:t>
            </w:r>
            <w:proofErr w:type="spellEnd"/>
            <w:r w:rsidRPr="00554D3E">
              <w:rPr>
                <w:rFonts w:ascii="Arial Narrow" w:eastAsia="Calibri" w:hAnsi="Arial Narrow" w:cs="Times New Roman"/>
                <w:b/>
                <w:bCs/>
                <w:color w:val="000000"/>
                <w:kern w:val="24"/>
              </w:rPr>
              <w:t xml:space="preserve"> &gt;1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40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23</w:t>
            </w: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 xml:space="preserve"> – 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68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&lt;0.01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51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28</w:t>
            </w: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 xml:space="preserve"> – 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91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0.02</w:t>
            </w:r>
          </w:p>
        </w:tc>
      </w:tr>
      <w:tr w:rsidR="00EB2867" w:rsidRPr="00554D3E" w:rsidTr="00E400DE">
        <w:trPr>
          <w:trHeight w:val="91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CA-125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 xml:space="preserve">Low </w:t>
            </w:r>
            <w:proofErr w:type="spellStart"/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vs</w:t>
            </w:r>
            <w:proofErr w:type="spellEnd"/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 xml:space="preserve"> high 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68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41</w:t>
            </w: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 xml:space="preserve"> – 1.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13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47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27</w:t>
            </w: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 xml:space="preserve"> – 0.</w:t>
            </w:r>
            <w:r>
              <w:rPr>
                <w:rFonts w:ascii="Calibri" w:eastAsia="Calibri" w:hAnsi="Calibri" w:cs="Times New Roman"/>
                <w:color w:val="000000"/>
                <w:kern w:val="24"/>
              </w:rPr>
              <w:t>82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</w:rPr>
              <w:t>0.01</w:t>
            </w:r>
          </w:p>
        </w:tc>
      </w:tr>
      <w:tr w:rsidR="00EB2867" w:rsidRPr="00554D3E" w:rsidTr="00E400DE">
        <w:trPr>
          <w:trHeight w:val="917"/>
        </w:trPr>
        <w:tc>
          <w:tcPr>
            <w:tcW w:w="16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pGSN</w:t>
            </w:r>
          </w:p>
          <w:p w:rsidR="00EB2867" w:rsidRPr="00554D3E" w:rsidRDefault="00EB2867" w:rsidP="00E400DE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 xml:space="preserve">Low </w:t>
            </w:r>
            <w:proofErr w:type="spellStart"/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>vs</w:t>
            </w:r>
            <w:proofErr w:type="spellEnd"/>
            <w:r w:rsidRPr="00554D3E">
              <w:rPr>
                <w:rFonts w:ascii="Calibri" w:eastAsia="Calibri" w:hAnsi="Calibri" w:cs="Times New Roman"/>
                <w:b/>
                <w:bCs/>
                <w:color w:val="000000"/>
                <w:kern w:val="24"/>
              </w:rPr>
              <w:t xml:space="preserve"> high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2.00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0.99 – 4.05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0.05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2.10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0.94 – 4.33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 </w:t>
            </w:r>
          </w:p>
          <w:p w:rsidR="00EB2867" w:rsidRPr="00554D3E" w:rsidRDefault="00EB2867" w:rsidP="00E400DE">
            <w:pPr>
              <w:spacing w:after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54D3E">
              <w:rPr>
                <w:rFonts w:ascii="Calibri" w:eastAsia="Calibri" w:hAnsi="Calibri" w:cs="Times New Roman"/>
                <w:color w:val="000000"/>
                <w:kern w:val="24"/>
              </w:rPr>
              <w:t>0.07</w:t>
            </w:r>
          </w:p>
        </w:tc>
      </w:tr>
    </w:tbl>
    <w:p w:rsidR="00EB2867" w:rsidRDefault="00EB2867" w:rsidP="00EB2867">
      <w:r w:rsidRPr="00554D3E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682F7D" wp14:editId="2FF2BE94">
                <wp:simplePos x="0" y="0"/>
                <wp:positionH relativeFrom="column">
                  <wp:posOffset>-66675</wp:posOffset>
                </wp:positionH>
                <wp:positionV relativeFrom="paragraph">
                  <wp:posOffset>4572635</wp:posOffset>
                </wp:positionV>
                <wp:extent cx="5882053" cy="1015663"/>
                <wp:effectExtent l="0" t="0" r="0" b="0"/>
                <wp:wrapNone/>
                <wp:docPr id="12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053" cy="101566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B2867" w:rsidRDefault="00EB2867" w:rsidP="00EB2867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</w:rPr>
                              <w:t xml:space="preserve">HR, hazard ratio; DFS, disease free survival; OS, overall survival; CI, confidence interval; RD, residual disease; CA-125, cancer antigen 125; pGSN, plasma gelsolin; FIGO, International Federation of Gynecology and Obstetrics; </w:t>
                            </w: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</w:rPr>
                              <w:t>vs</w:t>
                            </w:r>
                            <w:proofErr w:type="spellEnd"/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</w:rPr>
                              <w:t xml:space="preserve">, versus. </w:t>
                            </w:r>
                          </w:p>
                          <w:p w:rsidR="00EB2867" w:rsidRDefault="00EB2867" w:rsidP="00EB2867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  <w:position w:val="7"/>
                                <w:vertAlign w:val="superscript"/>
                              </w:rPr>
                              <w:t>*</w:t>
                            </w: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</w:rPr>
                              <w:t xml:space="preserve">Estimated from Cox proportional hazard regression model. </w:t>
                            </w:r>
                          </w:p>
                          <w:p w:rsidR="00EB2867" w:rsidRDefault="00EB2867" w:rsidP="00EB2867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  <w:position w:val="7"/>
                                <w:vertAlign w:val="superscript"/>
                              </w:rPr>
                              <w:t>^</w:t>
                            </w: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</w:rPr>
                              <w:t>Confidence interval of the estimated HR.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5" style="position:absolute;margin-left:-5.25pt;margin-top:360.05pt;width:463.15pt;height:79.9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" filled="f" stroked="f">
                <v:textbox style="mso-fit-shape-to-text:t">
                  <w:txbxContent>
                    <w:p w:rsidR="00EB2867" w:rsidRDefault="00EB2867" w:rsidP="00EB2867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</w:rPr>
                        <w:t xml:space="preserve">HR, hazard ratio; DFS, disease free survival; OS, overall survival; CI, confidence interval; RD, residual disease; CA-125, cancer antigen 125; pGSN, plasma gelsolin; FIGO, International Federation of Gynecology and Obstetrics; </w:t>
                      </w:r>
                      <w:proofErr w:type="spellStart"/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</w:rPr>
                        <w:t>vs</w:t>
                      </w:r>
                      <w:proofErr w:type="spellEnd"/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</w:rPr>
                        <w:t xml:space="preserve">, versus. </w:t>
                      </w:r>
                    </w:p>
                    <w:p w:rsidR="00EB2867" w:rsidRDefault="00EB2867" w:rsidP="00EB2867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  <w:position w:val="7"/>
                          <w:vertAlign w:val="superscript"/>
                        </w:rPr>
                        <w:t>*</w:t>
                      </w:r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</w:rPr>
                        <w:t xml:space="preserve">Estimated from Cox proportional hazard regression model. </w:t>
                      </w:r>
                    </w:p>
                    <w:p w:rsidR="00EB2867" w:rsidRDefault="00EB2867" w:rsidP="00EB2867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  <w:position w:val="7"/>
                          <w:vertAlign w:val="superscript"/>
                        </w:rPr>
                        <w:t>^</w:t>
                      </w:r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</w:rPr>
                        <w:t>Confidence interval of the estimated HR.</w:t>
                      </w:r>
                    </w:p>
                  </w:txbxContent>
                </v:textbox>
              </v:rect>
            </w:pict>
          </mc:Fallback>
        </mc:AlternateContent>
      </w:r>
    </w:p>
    <w:p w:rsidR="00EB2867" w:rsidRDefault="00EB2867"/>
    <w:sectPr w:rsidR="00EB28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+mj-cs"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867"/>
    <w:rsid w:val="003613FD"/>
    <w:rsid w:val="003E04AC"/>
    <w:rsid w:val="005B0383"/>
    <w:rsid w:val="005D7B1D"/>
    <w:rsid w:val="006201F4"/>
    <w:rsid w:val="00880132"/>
    <w:rsid w:val="009D0600"/>
    <w:rsid w:val="00D04AFB"/>
    <w:rsid w:val="00E414E0"/>
    <w:rsid w:val="00E61A7F"/>
    <w:rsid w:val="00EB2867"/>
    <w:rsid w:val="00F3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8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B286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LightShading">
    <w:name w:val="Light Shading"/>
    <w:basedOn w:val="TableNormal"/>
    <w:uiPriority w:val="60"/>
    <w:rsid w:val="00EB286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8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B286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LightShading">
    <w:name w:val="Light Shading"/>
    <w:basedOn w:val="TableNormal"/>
    <w:uiPriority w:val="60"/>
    <w:rsid w:val="00EB286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tsang@ohri.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1221</TotalTime>
  <Pages>6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Ottawa Hospital</Company>
  <LinksUpToDate>false</LinksUpToDate>
  <CharactersWithSpaces>3381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Asare-Werehene, Meshach</dc:creator>
  <cp:lastModifiedBy>Asare-Werehene, Meshach</cp:lastModifiedBy>
  <cp:revision>10</cp:revision>
  <dcterms:created xsi:type="dcterms:W3CDTF">2019-08-12T16:00:00Z</dcterms:created>
  <dcterms:modified xsi:type="dcterms:W3CDTF">2019-08-14T13:14:00Z</dcterms:modified>
</cp:coreProperties>
</file>