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C8A4C3" w14:textId="77777777" w:rsidR="00856075" w:rsidRPr="00117559" w:rsidRDefault="00856075" w:rsidP="00856075">
      <w:pPr>
        <w:spacing w:line="360" w:lineRule="auto"/>
        <w:jc w:val="both"/>
        <w:rPr>
          <w:b/>
          <w:sz w:val="32"/>
          <w:szCs w:val="32"/>
        </w:rPr>
      </w:pPr>
      <w:proofErr w:type="gramStart"/>
      <w:r w:rsidRPr="00EF2D9E">
        <w:rPr>
          <w:b/>
          <w:sz w:val="32"/>
          <w:szCs w:val="32"/>
        </w:rPr>
        <w:t xml:space="preserve">Response of the temperate scleractinian coral </w:t>
      </w:r>
      <w:r w:rsidRPr="00EF2D9E">
        <w:rPr>
          <w:b/>
          <w:i/>
          <w:sz w:val="32"/>
          <w:szCs w:val="32"/>
        </w:rPr>
        <w:t>Cladocora caespitosa</w:t>
      </w:r>
      <w:r w:rsidRPr="00EF2D9E">
        <w:rPr>
          <w:b/>
          <w:sz w:val="32"/>
          <w:szCs w:val="32"/>
        </w:rPr>
        <w:t xml:space="preserve"> to high temperature and long-term nutrient enrichment.</w:t>
      </w:r>
      <w:proofErr w:type="gramEnd"/>
    </w:p>
    <w:p w14:paraId="3365AC00" w14:textId="77777777" w:rsidR="00751E85" w:rsidRPr="00856075" w:rsidRDefault="00751E85" w:rsidP="00856075">
      <w:pPr>
        <w:rPr>
          <w:rFonts w:ascii="Times" w:eastAsia="Times New Roman" w:hAnsi="Times" w:cs="Times New Roman"/>
          <w:sz w:val="20"/>
          <w:szCs w:val="20"/>
        </w:rPr>
      </w:pPr>
      <w:r w:rsidRPr="00117559">
        <w:t>Louis Hadjioannou</w:t>
      </w:r>
      <w:r w:rsidRPr="00117559">
        <w:rPr>
          <w:vertAlign w:val="superscript"/>
        </w:rPr>
        <w:t>1, 2*</w:t>
      </w:r>
      <w:r w:rsidRPr="00117559">
        <w:t xml:space="preserve">, Carlos Jimenez </w:t>
      </w:r>
      <w:r w:rsidRPr="00117559">
        <w:rPr>
          <w:vertAlign w:val="superscript"/>
        </w:rPr>
        <w:t>2</w:t>
      </w:r>
      <w:r w:rsidRPr="00533E22">
        <w:rPr>
          <w:vertAlign w:val="superscript"/>
        </w:rPr>
        <w:t xml:space="preserve">, </w:t>
      </w:r>
      <w:r>
        <w:rPr>
          <w:vertAlign w:val="superscript"/>
        </w:rPr>
        <w:t>3</w:t>
      </w:r>
      <w:r w:rsidRPr="00117559">
        <w:t xml:space="preserve">, Cecile </w:t>
      </w:r>
      <w:proofErr w:type="spellStart"/>
      <w:r w:rsidRPr="00117559">
        <w:t>Rottier</w:t>
      </w:r>
      <w:proofErr w:type="spellEnd"/>
      <w:r w:rsidRPr="00117559">
        <w:t xml:space="preserve"> </w:t>
      </w:r>
      <w:r>
        <w:rPr>
          <w:vertAlign w:val="superscript"/>
        </w:rPr>
        <w:t>4</w:t>
      </w:r>
      <w:r w:rsidRPr="00117559">
        <w:t>,</w:t>
      </w:r>
      <w:r>
        <w:t xml:space="preserve"> Spyros Sfenthourakis</w:t>
      </w:r>
      <w:r>
        <w:rPr>
          <w:vertAlign w:val="superscript"/>
        </w:rPr>
        <w:t>1</w:t>
      </w:r>
      <w:r>
        <w:t xml:space="preserve">, </w:t>
      </w:r>
      <w:r w:rsidRPr="00117559">
        <w:t xml:space="preserve">Christine </w:t>
      </w:r>
      <w:r w:rsidR="00856075" w:rsidRPr="00856075">
        <w:rPr>
          <w:rFonts w:eastAsia="Times New Roman" w:cs="Times New Roman"/>
          <w:color w:val="222222"/>
          <w:szCs w:val="24"/>
          <w:shd w:val="clear" w:color="auto" w:fill="FFFFFF"/>
        </w:rPr>
        <w:t>Ferrier-</w:t>
      </w:r>
      <w:proofErr w:type="spellStart"/>
      <w:r w:rsidR="00856075" w:rsidRPr="00856075">
        <w:rPr>
          <w:rFonts w:eastAsia="Times New Roman" w:cs="Times New Roman"/>
          <w:color w:val="222222"/>
          <w:szCs w:val="24"/>
          <w:shd w:val="clear" w:color="auto" w:fill="FFFFFF"/>
        </w:rPr>
        <w:t>Pagès</w:t>
      </w:r>
      <w:proofErr w:type="spellEnd"/>
      <w:r w:rsidR="00856075">
        <w:rPr>
          <w:rFonts w:eastAsia="Times New Roman" w:cs="Times New Roman"/>
          <w:color w:val="222222"/>
          <w:szCs w:val="24"/>
          <w:shd w:val="clear" w:color="auto" w:fill="FFFFFF"/>
        </w:rPr>
        <w:t xml:space="preserve"> </w:t>
      </w:r>
      <w:r>
        <w:rPr>
          <w:vertAlign w:val="superscript"/>
        </w:rPr>
        <w:t>4</w:t>
      </w:r>
    </w:p>
    <w:p w14:paraId="5E8449B3" w14:textId="77777777" w:rsidR="00751E85" w:rsidRPr="00775D5E" w:rsidRDefault="00751E85" w:rsidP="00751E85">
      <w:pPr>
        <w:pStyle w:val="NormalWeb"/>
        <w:spacing w:before="0" w:beforeAutospacing="0" w:after="0" w:afterAutospacing="0" w:line="360" w:lineRule="auto"/>
        <w:rPr>
          <w:vertAlign w:val="superscript"/>
        </w:rPr>
      </w:pPr>
      <w:r w:rsidRPr="00775D5E">
        <w:rPr>
          <w:vertAlign w:val="superscript"/>
        </w:rPr>
        <w:t>1</w:t>
      </w:r>
      <w:r w:rsidRPr="00775D5E">
        <w:t xml:space="preserve"> Department of Biological Sciences, University of Cyprus, Nicosia, Cyprus</w:t>
      </w:r>
    </w:p>
    <w:p w14:paraId="140C3FBB" w14:textId="77777777" w:rsidR="00751E85" w:rsidRPr="00533E22" w:rsidRDefault="00751E85" w:rsidP="00751E85">
      <w:pPr>
        <w:spacing w:before="0" w:after="0" w:line="360" w:lineRule="auto"/>
        <w:jc w:val="both"/>
      </w:pPr>
      <w:r w:rsidRPr="00533E22">
        <w:rPr>
          <w:vertAlign w:val="superscript"/>
        </w:rPr>
        <w:t>2</w:t>
      </w:r>
      <w:r w:rsidRPr="00533E22">
        <w:t xml:space="preserve"> </w:t>
      </w:r>
      <w:proofErr w:type="spellStart"/>
      <w:r w:rsidRPr="00533E22">
        <w:t>Enalia</w:t>
      </w:r>
      <w:proofErr w:type="spellEnd"/>
      <w:r w:rsidRPr="00533E22">
        <w:t xml:space="preserve"> </w:t>
      </w:r>
      <w:proofErr w:type="spellStart"/>
      <w:r w:rsidRPr="00533E22">
        <w:t>Physis</w:t>
      </w:r>
      <w:proofErr w:type="spellEnd"/>
      <w:r w:rsidRPr="00533E22">
        <w:t xml:space="preserve"> Environmental Research Centre, </w:t>
      </w:r>
      <w:r w:rsidRPr="001467D0">
        <w:rPr>
          <w:rFonts w:cs="Times New Roman"/>
          <w:szCs w:val="24"/>
        </w:rPr>
        <w:t xml:space="preserve">(ENALIA), </w:t>
      </w:r>
      <w:proofErr w:type="spellStart"/>
      <w:r w:rsidRPr="001467D0">
        <w:rPr>
          <w:rFonts w:cs="Times New Roman"/>
          <w:szCs w:val="24"/>
        </w:rPr>
        <w:t>Acropoleos</w:t>
      </w:r>
      <w:proofErr w:type="spellEnd"/>
      <w:r w:rsidRPr="001467D0">
        <w:rPr>
          <w:rFonts w:cs="Times New Roman"/>
          <w:szCs w:val="24"/>
        </w:rPr>
        <w:t xml:space="preserve"> 2, </w:t>
      </w:r>
      <w:proofErr w:type="spellStart"/>
      <w:r w:rsidRPr="001467D0">
        <w:rPr>
          <w:rFonts w:cs="Times New Roman"/>
          <w:szCs w:val="24"/>
        </w:rPr>
        <w:t>Aglantzia</w:t>
      </w:r>
      <w:proofErr w:type="spellEnd"/>
      <w:r w:rsidRPr="001467D0">
        <w:rPr>
          <w:rFonts w:cs="Times New Roman"/>
          <w:szCs w:val="24"/>
        </w:rPr>
        <w:t xml:space="preserve"> 2101, </w:t>
      </w:r>
      <w:r w:rsidRPr="00533E22">
        <w:t>Nicosia</w:t>
      </w:r>
      <w:r w:rsidRPr="001467D0">
        <w:rPr>
          <w:rFonts w:cs="Times New Roman"/>
          <w:szCs w:val="24"/>
        </w:rPr>
        <w:t>;</w:t>
      </w:r>
      <w:r w:rsidRPr="00533E22">
        <w:t xml:space="preserve"> Cyprus</w:t>
      </w:r>
    </w:p>
    <w:p w14:paraId="34F5AB65" w14:textId="77777777" w:rsidR="00751E85" w:rsidRDefault="00751E85" w:rsidP="00751E85">
      <w:pPr>
        <w:spacing w:line="360" w:lineRule="auto"/>
        <w:rPr>
          <w:rFonts w:cs="Times New Roman"/>
          <w:szCs w:val="24"/>
        </w:rPr>
      </w:pPr>
      <w:proofErr w:type="gramStart"/>
      <w:r w:rsidRPr="00EF19DA">
        <w:rPr>
          <w:rFonts w:cs="Times New Roman"/>
          <w:szCs w:val="24"/>
          <w:vertAlign w:val="superscript"/>
        </w:rPr>
        <w:t>3</w:t>
      </w:r>
      <w:r w:rsidRPr="00EF19DA">
        <w:rPr>
          <w:rFonts w:cs="Times New Roman"/>
          <w:szCs w:val="24"/>
        </w:rPr>
        <w:t xml:space="preserve"> </w:t>
      </w:r>
      <w:r w:rsidRPr="001467D0">
        <w:rPr>
          <w:rFonts w:cs="Times New Roman"/>
          <w:szCs w:val="24"/>
        </w:rPr>
        <w:t>Energy</w:t>
      </w:r>
      <w:proofErr w:type="gramEnd"/>
      <w:r w:rsidRPr="001467D0">
        <w:rPr>
          <w:rFonts w:cs="Times New Roman"/>
          <w:szCs w:val="24"/>
        </w:rPr>
        <w:t>, Environment and Water Research Cen</w:t>
      </w:r>
      <w:bookmarkStart w:id="0" w:name="_GoBack"/>
      <w:bookmarkEnd w:id="0"/>
      <w:r w:rsidRPr="001467D0">
        <w:rPr>
          <w:rFonts w:cs="Times New Roman"/>
          <w:szCs w:val="24"/>
        </w:rPr>
        <w:t>tre</w:t>
      </w:r>
      <w:r>
        <w:rPr>
          <w:rFonts w:cs="Times New Roman"/>
          <w:szCs w:val="24"/>
          <w:lang w:val="en-GB"/>
        </w:rPr>
        <w:t xml:space="preserve"> (EEWRC)</w:t>
      </w:r>
      <w:r w:rsidRPr="001467D0">
        <w:rPr>
          <w:rFonts w:cs="Times New Roman"/>
          <w:szCs w:val="24"/>
        </w:rPr>
        <w:t xml:space="preserve"> of </w:t>
      </w:r>
      <w:r>
        <w:rPr>
          <w:rFonts w:cs="Times New Roman"/>
          <w:szCs w:val="24"/>
          <w:lang w:val="en-GB"/>
        </w:rPr>
        <w:t>T</w:t>
      </w:r>
      <w:r w:rsidRPr="001467D0">
        <w:rPr>
          <w:rFonts w:cs="Times New Roman"/>
          <w:szCs w:val="24"/>
        </w:rPr>
        <w:t>he Cyprus Institute, Cyprus</w:t>
      </w:r>
    </w:p>
    <w:p w14:paraId="4FBD1FF3" w14:textId="77777777" w:rsidR="00751E85" w:rsidRPr="00751E85" w:rsidRDefault="00751E85" w:rsidP="00751E85">
      <w:pPr>
        <w:spacing w:line="360" w:lineRule="auto"/>
        <w:rPr>
          <w:rFonts w:eastAsia="Times New Roman" w:cs="Times New Roman"/>
          <w:szCs w:val="24"/>
        </w:rPr>
      </w:pPr>
      <w:r w:rsidRPr="007C6B6E">
        <w:rPr>
          <w:rFonts w:eastAsia="Times New Roman" w:cs="Times New Roman"/>
          <w:color w:val="020202"/>
          <w:szCs w:val="24"/>
          <w:shd w:val="clear" w:color="auto" w:fill="FFFFFF"/>
          <w:vertAlign w:val="superscript"/>
        </w:rPr>
        <w:t>4</w:t>
      </w:r>
      <w:r w:rsidRPr="00AC7E5C">
        <w:rPr>
          <w:color w:val="020202"/>
          <w:shd w:val="clear" w:color="auto" w:fill="FFFFFF"/>
        </w:rPr>
        <w:t xml:space="preserve"> </w:t>
      </w:r>
      <w:r w:rsidRPr="00775D5E">
        <w:rPr>
          <w:rFonts w:eastAsia="Times New Roman" w:cs="Times New Roman"/>
          <w:color w:val="020202"/>
          <w:szCs w:val="24"/>
          <w:shd w:val="clear" w:color="auto" w:fill="FFFFFF"/>
        </w:rPr>
        <w:t xml:space="preserve">Marine Department, </w:t>
      </w:r>
      <w:proofErr w:type="spellStart"/>
      <w:r w:rsidRPr="00775D5E">
        <w:rPr>
          <w:rFonts w:eastAsia="Times New Roman" w:cs="Times New Roman"/>
          <w:color w:val="020202"/>
          <w:szCs w:val="24"/>
          <w:shd w:val="clear" w:color="auto" w:fill="FFFFFF"/>
        </w:rPr>
        <w:t>Ecophysiology</w:t>
      </w:r>
      <w:proofErr w:type="spellEnd"/>
      <w:r>
        <w:rPr>
          <w:rFonts w:eastAsia="Times New Roman" w:cs="Times New Roman"/>
          <w:color w:val="020202"/>
          <w:szCs w:val="24"/>
          <w:shd w:val="clear" w:color="auto" w:fill="FFFFFF"/>
        </w:rPr>
        <w:t xml:space="preserve"> team</w:t>
      </w:r>
      <w:r w:rsidRPr="00775D5E">
        <w:rPr>
          <w:rFonts w:eastAsia="Times New Roman" w:cs="Times New Roman"/>
          <w:color w:val="020202"/>
          <w:szCs w:val="24"/>
          <w:shd w:val="clear" w:color="auto" w:fill="FFFFFF"/>
        </w:rPr>
        <w:t xml:space="preserve">, Centre </w:t>
      </w:r>
      <w:proofErr w:type="spellStart"/>
      <w:r w:rsidRPr="00775D5E">
        <w:rPr>
          <w:rFonts w:eastAsia="Times New Roman" w:cs="Times New Roman"/>
          <w:color w:val="020202"/>
          <w:szCs w:val="24"/>
          <w:shd w:val="clear" w:color="auto" w:fill="FFFFFF"/>
        </w:rPr>
        <w:t>Scientifique</w:t>
      </w:r>
      <w:proofErr w:type="spellEnd"/>
      <w:r w:rsidRPr="00775D5E">
        <w:rPr>
          <w:rFonts w:eastAsia="Times New Roman" w:cs="Times New Roman"/>
          <w:color w:val="020202"/>
          <w:szCs w:val="24"/>
          <w:shd w:val="clear" w:color="auto" w:fill="FFFFFF"/>
        </w:rPr>
        <w:t xml:space="preserve"> de Monaco, Monaco, </w:t>
      </w:r>
      <w:r>
        <w:rPr>
          <w:rFonts w:eastAsia="Times New Roman" w:cs="Times New Roman"/>
          <w:color w:val="020202"/>
          <w:szCs w:val="24"/>
          <w:shd w:val="clear" w:color="auto" w:fill="FFFFFF"/>
        </w:rPr>
        <w:t xml:space="preserve">98000 </w:t>
      </w:r>
      <w:r w:rsidRPr="00775D5E">
        <w:rPr>
          <w:rFonts w:eastAsia="Times New Roman" w:cs="Times New Roman"/>
          <w:color w:val="020202"/>
          <w:szCs w:val="24"/>
          <w:shd w:val="clear" w:color="auto" w:fill="FFFFFF"/>
        </w:rPr>
        <w:t>Monaco</w:t>
      </w:r>
    </w:p>
    <w:p w14:paraId="257F9A73" w14:textId="77777777" w:rsidR="00751E85" w:rsidRPr="00751E85" w:rsidRDefault="00751E85" w:rsidP="00751E85">
      <w:pPr>
        <w:spacing w:line="360" w:lineRule="auto"/>
        <w:rPr>
          <w:rFonts w:cs="Times New Roman"/>
          <w:b/>
        </w:rPr>
      </w:pPr>
      <w:r w:rsidRPr="00751E85">
        <w:rPr>
          <w:rFonts w:cs="Times New Roman"/>
          <w:b/>
        </w:rPr>
        <w:t>Supplementary material</w:t>
      </w:r>
    </w:p>
    <w:p w14:paraId="2B54FA35" w14:textId="77777777" w:rsidR="00751E85" w:rsidRDefault="00751E85" w:rsidP="00751E85">
      <w:pPr>
        <w:spacing w:line="360" w:lineRule="auto"/>
        <w:jc w:val="both"/>
        <w:rPr>
          <w:rFonts w:cs="Times New Roman"/>
        </w:rPr>
      </w:pPr>
      <w:r>
        <w:rPr>
          <w:noProof/>
        </w:rPr>
        <w:drawing>
          <wp:inline distT="0" distB="0" distL="0" distR="0" wp14:anchorId="4BDD2380" wp14:editId="7DA7BD8A">
            <wp:extent cx="5486400" cy="3183890"/>
            <wp:effectExtent l="0" t="0" r="0" b="0"/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760F8137" w14:textId="77777777" w:rsidR="00860CFA" w:rsidRPr="00751E85" w:rsidRDefault="00751E85" w:rsidP="00751E85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Figure S1. </w:t>
      </w:r>
      <w:proofErr w:type="gramStart"/>
      <w:r>
        <w:rPr>
          <w:rFonts w:cs="Times New Roman"/>
        </w:rPr>
        <w:t>Nutrient concentrations from coral sites.</w:t>
      </w:r>
      <w:proofErr w:type="gramEnd"/>
    </w:p>
    <w:sectPr w:rsidR="00860CFA" w:rsidRPr="00751E85" w:rsidSect="00860CF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E85"/>
    <w:rsid w:val="00751E85"/>
    <w:rsid w:val="00856075"/>
    <w:rsid w:val="00860CFA"/>
    <w:rsid w:val="00EF2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01C28C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E85"/>
    <w:pPr>
      <w:spacing w:before="120" w:after="240"/>
    </w:pPr>
    <w:rPr>
      <w:rFonts w:ascii="Times New Roman" w:eastAsiaTheme="minorHAnsi" w:hAnsi="Times New Roman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51E85"/>
    <w:pPr>
      <w:spacing w:before="0"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1E85"/>
    <w:rPr>
      <w:rFonts w:ascii="Lucida Grande" w:eastAsiaTheme="minorHAnsi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751E8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751E85"/>
    <w:pPr>
      <w:numPr>
        <w:ilvl w:val="0"/>
      </w:numPr>
      <w:spacing w:before="240"/>
    </w:pPr>
    <w:rPr>
      <w:rFonts w:ascii="Times New Roman" w:eastAsiaTheme="minorHAnsi" w:hAnsi="Times New Roman" w:cs="Times New Roman"/>
      <w:b/>
      <w:i w:val="0"/>
      <w:iCs w:val="0"/>
      <w:color w:val="auto"/>
      <w:spacing w:val="0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1E8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51E85"/>
    <w:rPr>
      <w:rFonts w:asciiTheme="majorHAnsi" w:eastAsiaTheme="majorEastAsia" w:hAnsiTheme="majorHAnsi" w:cstheme="majorBidi"/>
      <w:i/>
      <w:iCs/>
      <w:color w:val="4F81BD" w:themeColor="accent1"/>
      <w:spacing w:val="15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E85"/>
    <w:pPr>
      <w:spacing w:before="120" w:after="240"/>
    </w:pPr>
    <w:rPr>
      <w:rFonts w:ascii="Times New Roman" w:eastAsiaTheme="minorHAnsi" w:hAnsi="Times New Roman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51E85"/>
    <w:pPr>
      <w:spacing w:before="0"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1E85"/>
    <w:rPr>
      <w:rFonts w:ascii="Lucida Grande" w:eastAsiaTheme="minorHAnsi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751E8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751E85"/>
    <w:pPr>
      <w:numPr>
        <w:ilvl w:val="0"/>
      </w:numPr>
      <w:spacing w:before="240"/>
    </w:pPr>
    <w:rPr>
      <w:rFonts w:ascii="Times New Roman" w:eastAsiaTheme="minorHAnsi" w:hAnsi="Times New Roman" w:cs="Times New Roman"/>
      <w:b/>
      <w:i w:val="0"/>
      <w:iCs w:val="0"/>
      <w:color w:val="auto"/>
      <w:spacing w:val="0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1E8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51E85"/>
    <w:rPr>
      <w:rFonts w:asciiTheme="majorHAnsi" w:eastAsiaTheme="majorEastAsia" w:hAnsiTheme="majorHAnsi" w:cstheme="majorBidi"/>
      <w:i/>
      <w:iCs/>
      <w:color w:val="4F81BD" w:themeColor="accent1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402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chart" Target="charts/chart1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SSD:Users:LouisHadjioannou%201:Desktop:Experiments%20at%20CSM:Nutrients:Nutrient%20analyses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Sheet4!$P$3</c:f>
              <c:strCache>
                <c:ptCount val="1"/>
                <c:pt idx="0">
                  <c:v>Kryo Nero</c:v>
                </c:pt>
              </c:strCache>
            </c:strRef>
          </c:tx>
          <c:spPr>
            <a:solidFill>
              <a:schemeClr val="bg1">
                <a:lumMod val="85000"/>
              </a:schemeClr>
            </a:solidFill>
          </c:spPr>
          <c:invertIfNegative val="0"/>
          <c:errBars>
            <c:errBarType val="both"/>
            <c:errValType val="cust"/>
            <c:noEndCap val="0"/>
            <c:plus>
              <c:numRef>
                <c:f>Sheet4!$Q$6:$T$6</c:f>
                <c:numCache>
                  <c:formatCode>General</c:formatCode>
                  <c:ptCount val="4"/>
                  <c:pt idx="0">
                    <c:v>5.83986301209198</c:v>
                  </c:pt>
                  <c:pt idx="1">
                    <c:v>83.54759122799411</c:v>
                  </c:pt>
                  <c:pt idx="2">
                    <c:v>8.64963477946797</c:v>
                  </c:pt>
                  <c:pt idx="3">
                    <c:v>16.18551541011002</c:v>
                  </c:pt>
                </c:numCache>
              </c:numRef>
            </c:plus>
            <c:minus>
              <c:numRef>
                <c:f>Sheet4!$Q$6:$T$6</c:f>
                <c:numCache>
                  <c:formatCode>General</c:formatCode>
                  <c:ptCount val="4"/>
                  <c:pt idx="0">
                    <c:v>5.83986301209198</c:v>
                  </c:pt>
                  <c:pt idx="1">
                    <c:v>83.54759122799411</c:v>
                  </c:pt>
                  <c:pt idx="2">
                    <c:v>8.64963477946797</c:v>
                  </c:pt>
                  <c:pt idx="3">
                    <c:v>16.18551541011002</c:v>
                  </c:pt>
                </c:numCache>
              </c:numRef>
            </c:minus>
          </c:errBars>
          <c:cat>
            <c:strRef>
              <c:f>Sheet4!$Q$2:$T$2</c:f>
              <c:strCache>
                <c:ptCount val="4"/>
                <c:pt idx="0">
                  <c:v>NO2-</c:v>
                </c:pt>
                <c:pt idx="1">
                  <c:v>NO3-</c:v>
                </c:pt>
                <c:pt idx="2">
                  <c:v>PO4-</c:v>
                </c:pt>
                <c:pt idx="3">
                  <c:v>NH4+ </c:v>
                </c:pt>
              </c:strCache>
            </c:strRef>
          </c:cat>
          <c:val>
            <c:numRef>
              <c:f>Sheet4!$Q$3:$T$3</c:f>
              <c:numCache>
                <c:formatCode>0.00</c:formatCode>
                <c:ptCount val="4"/>
                <c:pt idx="0">
                  <c:v>8.15</c:v>
                </c:pt>
                <c:pt idx="1">
                  <c:v>73.83333333333294</c:v>
                </c:pt>
                <c:pt idx="2">
                  <c:v>11.93333333333333</c:v>
                </c:pt>
                <c:pt idx="3">
                  <c:v>13.13333333333333</c:v>
                </c:pt>
              </c:numCache>
            </c:numRef>
          </c:val>
        </c:ser>
        <c:ser>
          <c:idx val="1"/>
          <c:order val="1"/>
          <c:tx>
            <c:strRef>
              <c:f>Sheet4!$P$4</c:f>
              <c:strCache>
                <c:ptCount val="1"/>
                <c:pt idx="0">
                  <c:v>Liopetri</c:v>
                </c:pt>
              </c:strCache>
            </c:strRef>
          </c:tx>
          <c:spPr>
            <a:solidFill>
              <a:schemeClr val="tx1">
                <a:lumMod val="65000"/>
                <a:lumOff val="35000"/>
              </a:schemeClr>
            </a:solidFill>
          </c:spPr>
          <c:invertIfNegative val="0"/>
          <c:errBars>
            <c:errBarType val="both"/>
            <c:errValType val="cust"/>
            <c:noEndCap val="0"/>
            <c:plus>
              <c:numRef>
                <c:f>Sheet4!$Q$7:$T$7</c:f>
                <c:numCache>
                  <c:formatCode>General</c:formatCode>
                  <c:ptCount val="4"/>
                  <c:pt idx="0">
                    <c:v>0.195918347326665</c:v>
                  </c:pt>
                  <c:pt idx="1">
                    <c:v>826.0547816028615</c:v>
                  </c:pt>
                  <c:pt idx="2">
                    <c:v>5.70088660500522</c:v>
                  </c:pt>
                  <c:pt idx="3">
                    <c:v>14.28743349638987</c:v>
                  </c:pt>
                </c:numCache>
              </c:numRef>
            </c:plus>
            <c:minus>
              <c:numRef>
                <c:f>Sheet4!$Q$7:$T$7</c:f>
                <c:numCache>
                  <c:formatCode>General</c:formatCode>
                  <c:ptCount val="4"/>
                  <c:pt idx="0">
                    <c:v>0.195918347326665</c:v>
                  </c:pt>
                  <c:pt idx="1">
                    <c:v>826.0547816028615</c:v>
                  </c:pt>
                  <c:pt idx="2">
                    <c:v>5.70088660500522</c:v>
                  </c:pt>
                  <c:pt idx="3">
                    <c:v>14.28743349638987</c:v>
                  </c:pt>
                </c:numCache>
              </c:numRef>
            </c:minus>
          </c:errBars>
          <c:cat>
            <c:strRef>
              <c:f>Sheet4!$Q$2:$T$2</c:f>
              <c:strCache>
                <c:ptCount val="4"/>
                <c:pt idx="0">
                  <c:v>NO2-</c:v>
                </c:pt>
                <c:pt idx="1">
                  <c:v>NO3-</c:v>
                </c:pt>
                <c:pt idx="2">
                  <c:v>PO4-</c:v>
                </c:pt>
                <c:pt idx="3">
                  <c:v>NH4+ </c:v>
                </c:pt>
              </c:strCache>
            </c:strRef>
          </c:cat>
          <c:val>
            <c:numRef>
              <c:f>Sheet4!$Q$4:$T$4</c:f>
              <c:numCache>
                <c:formatCode>0.00</c:formatCode>
                <c:ptCount val="4"/>
                <c:pt idx="0">
                  <c:v>5.333333333333333</c:v>
                </c:pt>
                <c:pt idx="1">
                  <c:v>1232.083333333333</c:v>
                </c:pt>
                <c:pt idx="2">
                  <c:v>24.08333333333307</c:v>
                </c:pt>
                <c:pt idx="3">
                  <c:v>92.33333333333296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2032544872"/>
        <c:axId val="-2030901720"/>
      </c:barChart>
      <c:catAx>
        <c:axId val="-2032544872"/>
        <c:scaling>
          <c:orientation val="minMax"/>
        </c:scaling>
        <c:delete val="0"/>
        <c:axPos val="b"/>
        <c:majorTickMark val="out"/>
        <c:minorTickMark val="none"/>
        <c:tickLblPos val="nextTo"/>
        <c:crossAx val="-2030901720"/>
        <c:crosses val="autoZero"/>
        <c:auto val="1"/>
        <c:lblAlgn val="ctr"/>
        <c:lblOffset val="100"/>
        <c:noMultiLvlLbl val="0"/>
      </c:catAx>
      <c:valAx>
        <c:axId val="-2030901720"/>
        <c:scaling>
          <c:logBase val="10.0"/>
          <c:orientation val="minMax"/>
          <c:max val="2000.0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l-GR"/>
                  <a:t>μg/L</a:t>
                </a:r>
                <a:endParaRPr lang="en-US"/>
              </a:p>
            </c:rich>
          </c:tx>
          <c:layout/>
          <c:overlay val="0"/>
        </c:title>
        <c:numFmt formatCode="0.00" sourceLinked="1"/>
        <c:majorTickMark val="out"/>
        <c:minorTickMark val="none"/>
        <c:tickLblPos val="nextTo"/>
        <c:crossAx val="-2032544872"/>
        <c:crosses val="autoZero"/>
        <c:crossBetween val="between"/>
      </c:valAx>
    </c:plotArea>
    <c:legend>
      <c:legendPos val="r"/>
      <c:layout/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>
          <a:latin typeface="Times New Roman"/>
          <a:cs typeface="Times New Roman"/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571</Characters>
  <Application>Microsoft Macintosh Word</Application>
  <DocSecurity>0</DocSecurity>
  <Lines>4</Lines>
  <Paragraphs>1</Paragraphs>
  <ScaleCrop>false</ScaleCrop>
  <Company/>
  <LinksUpToDate>false</LinksUpToDate>
  <CharactersWithSpaces>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 Hadjioannou</dc:creator>
  <cp:keywords/>
  <dc:description/>
  <cp:lastModifiedBy>Louis Hadjioannou</cp:lastModifiedBy>
  <cp:revision>3</cp:revision>
  <dcterms:created xsi:type="dcterms:W3CDTF">2019-01-09T20:38:00Z</dcterms:created>
  <dcterms:modified xsi:type="dcterms:W3CDTF">2019-09-22T09:11:00Z</dcterms:modified>
</cp:coreProperties>
</file>