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85ABB" w:rsidRPr="004E297B" w:rsidRDefault="00985ABB" w:rsidP="00985ABB">
      <w:pPr>
        <w:pStyle w:val="Heading1"/>
        <w:spacing w:line="240" w:lineRule="auto"/>
        <w:ind w:firstLine="0"/>
        <w:rPr>
          <w:rFonts w:ascii="Times" w:hAnsi="Times" w:cs="Times"/>
        </w:rPr>
      </w:pPr>
      <w:r>
        <w:rPr>
          <w:rFonts w:ascii="Times" w:hAnsi="Times" w:cs="Times"/>
        </w:rPr>
        <w:t xml:space="preserve">Supplementary Figure </w:t>
      </w:r>
    </w:p>
    <w:p w:rsidR="00985ABB" w:rsidRDefault="00985ABB" w:rsidP="00985ABB">
      <w:pPr>
        <w:spacing w:line="240" w:lineRule="auto"/>
        <w:ind w:firstLine="0"/>
        <w:rPr>
          <w:rFonts w:ascii="Times" w:hAnsi="Times" w:cs="Times"/>
          <w:lang w:eastAsia="zh-CN"/>
        </w:rPr>
      </w:pPr>
    </w:p>
    <w:p w:rsidR="00985ABB" w:rsidRDefault="00985ABB" w:rsidP="00985ABB">
      <w:pPr>
        <w:spacing w:line="240" w:lineRule="auto"/>
        <w:ind w:firstLine="0"/>
        <w:rPr>
          <w:rFonts w:ascii="Times" w:hAnsi="Times" w:cs="Times"/>
          <w:b/>
        </w:rPr>
      </w:pPr>
      <w:r w:rsidRPr="00870229">
        <w:rPr>
          <w:rFonts w:ascii="Times" w:hAnsi="Times" w:cs="Times"/>
          <w:b/>
        </w:rPr>
        <w:t>Figure S1</w:t>
      </w:r>
    </w:p>
    <w:p w:rsidR="00985ABB" w:rsidRDefault="00985ABB" w:rsidP="00985ABB">
      <w:pPr>
        <w:spacing w:line="240" w:lineRule="auto"/>
        <w:ind w:firstLine="0"/>
        <w:rPr>
          <w:rFonts w:ascii="Times" w:hAnsi="Times" w:cs="Times"/>
          <w:b/>
          <w:lang w:eastAsia="zh-CN"/>
        </w:rPr>
      </w:pPr>
      <w:r w:rsidRPr="004E297B">
        <w:rPr>
          <w:rFonts w:ascii="Times" w:eastAsia="Calibri" w:hAnsi="Times" w:cs="Times"/>
          <w:noProof/>
          <w:sz w:val="22"/>
          <w:szCs w:val="22"/>
        </w:rPr>
        <w:drawing>
          <wp:inline distT="0" distB="0" distL="0" distR="0" wp14:anchorId="36739AEB" wp14:editId="0C0B05FC">
            <wp:extent cx="5943600" cy="3352165"/>
            <wp:effectExtent l="0" t="0" r="0" b="63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943600" cy="3352165"/>
                    </a:xfrm>
                    <a:prstGeom prst="rect">
                      <a:avLst/>
                    </a:prstGeom>
                  </pic:spPr>
                </pic:pic>
              </a:graphicData>
            </a:graphic>
          </wp:inline>
        </w:drawing>
      </w:r>
    </w:p>
    <w:p w:rsidR="00985ABB" w:rsidRDefault="00985ABB" w:rsidP="00985ABB">
      <w:pPr>
        <w:spacing w:line="240" w:lineRule="auto"/>
        <w:ind w:firstLine="0"/>
        <w:rPr>
          <w:rFonts w:ascii="Times" w:hAnsi="Times" w:cs="Times"/>
          <w:b/>
          <w:lang w:eastAsia="zh-CN"/>
        </w:rPr>
      </w:pPr>
    </w:p>
    <w:p w:rsidR="00985ABB" w:rsidRPr="004E297B" w:rsidRDefault="00985ABB" w:rsidP="00985ABB">
      <w:pPr>
        <w:ind w:firstLine="0"/>
        <w:rPr>
          <w:rFonts w:ascii="Times" w:hAnsi="Times" w:cs="Times"/>
          <w:color w:val="000000"/>
          <w:lang w:eastAsia="zh-CN"/>
        </w:rPr>
      </w:pPr>
      <w:r w:rsidRPr="00904FD5">
        <w:rPr>
          <w:rFonts w:ascii="Times New Roman" w:eastAsia="Calibri" w:hAnsi="Times New Roman" w:cs="Times New Roman"/>
          <w:b/>
          <w:bCs/>
          <w:color w:val="000000"/>
          <w:lang w:eastAsia="zh-CN"/>
        </w:rPr>
        <w:t xml:space="preserve">Figure S1. Optimization of spectral collection parameters. </w:t>
      </w:r>
      <w:r w:rsidRPr="00904FD5">
        <w:rPr>
          <w:rFonts w:ascii="Times New Roman" w:eastAsia="Calibri" w:hAnsi="Times New Roman" w:cs="Times New Roman"/>
          <w:color w:val="000000"/>
          <w:lang w:eastAsia="zh-CN"/>
        </w:rPr>
        <w:t xml:space="preserve"> </w:t>
      </w:r>
    </w:p>
    <w:p w:rsidR="00985ABB" w:rsidRPr="004E297B" w:rsidRDefault="00985ABB" w:rsidP="00985ABB">
      <w:pPr>
        <w:ind w:firstLine="0"/>
        <w:rPr>
          <w:rFonts w:ascii="Times" w:hAnsi="Times" w:cs="Times"/>
          <w:color w:val="000000"/>
          <w:lang w:eastAsia="zh-CN"/>
        </w:rPr>
      </w:pPr>
      <w:r w:rsidRPr="004E297B">
        <w:rPr>
          <w:rFonts w:ascii="Times" w:hAnsi="Times" w:cs="Times"/>
          <w:color w:val="000000"/>
          <w:lang w:eastAsia="zh-CN"/>
        </w:rPr>
        <w:t>To estimate how rapidly we might proceed with multiple scans of fragile tissue samples, at the beginning of t</w:t>
      </w:r>
      <w:r w:rsidR="00290BCE">
        <w:rPr>
          <w:rFonts w:ascii="Times" w:hAnsi="Times" w:cs="Times"/>
          <w:color w:val="000000"/>
          <w:lang w:eastAsia="zh-CN"/>
        </w:rPr>
        <w:t xml:space="preserve">he </w:t>
      </w:r>
      <w:bookmarkStart w:id="0" w:name="_GoBack"/>
      <w:bookmarkEnd w:id="0"/>
      <w:r w:rsidRPr="004E297B">
        <w:rPr>
          <w:rFonts w:ascii="Times" w:hAnsi="Times" w:cs="Times"/>
          <w:color w:val="000000"/>
          <w:lang w:eastAsia="zh-CN"/>
        </w:rPr>
        <w:t xml:space="preserve">experiment we evaluated the signal-to-noise characteristics of the 785 nm system for collection times ranging from 3 to 90 seconds (see supplementary Figure S1). The signal-to-noise ratio (SNR) of a spectral signature is most often defined as the ratio of the variance of the signal relative to the variance of the noise, </w:t>
      </w:r>
    </w:p>
    <w:p w:rsidR="00985ABB" w:rsidRPr="004E297B" w:rsidRDefault="00985ABB" w:rsidP="00985ABB">
      <w:pPr>
        <w:pStyle w:val="Caption"/>
        <w:jc w:val="center"/>
        <w:rPr>
          <w:rFonts w:ascii="Times" w:hAnsi="Times" w:cs="Times"/>
          <w:sz w:val="24"/>
          <w:szCs w:val="24"/>
        </w:rPr>
      </w:pPr>
      <m:oMath>
        <m:r>
          <w:rPr>
            <w:rFonts w:ascii="Cambria Math" w:hAnsi="Cambria Math" w:cs="Times"/>
            <w:color w:val="auto"/>
            <w:sz w:val="24"/>
            <w:szCs w:val="24"/>
          </w:rPr>
          <m:t xml:space="preserve">SNR= </m:t>
        </m:r>
        <m:f>
          <m:fPr>
            <m:ctrlPr>
              <w:rPr>
                <w:rFonts w:ascii="Cambria Math" w:hAnsi="Cambria Math" w:cs="Times"/>
                <w:iCs w:val="0"/>
                <w:color w:val="auto"/>
                <w:sz w:val="24"/>
                <w:szCs w:val="24"/>
              </w:rPr>
            </m:ctrlPr>
          </m:fPr>
          <m:num>
            <m:sSubSup>
              <m:sSubSupPr>
                <m:ctrlPr>
                  <w:rPr>
                    <w:rFonts w:ascii="Cambria Math" w:hAnsi="Cambria Math" w:cs="Times"/>
                    <w:iCs w:val="0"/>
                    <w:color w:val="auto"/>
                    <w:sz w:val="24"/>
                    <w:szCs w:val="24"/>
                  </w:rPr>
                </m:ctrlPr>
              </m:sSubSupPr>
              <m:e>
                <m:r>
                  <w:rPr>
                    <w:rFonts w:ascii="Cambria Math" w:hAnsi="Cambria Math" w:cs="Times"/>
                    <w:color w:val="auto"/>
                    <w:sz w:val="24"/>
                    <w:szCs w:val="24"/>
                  </w:rPr>
                  <m:t>σ</m:t>
                </m:r>
              </m:e>
              <m:sub>
                <m:r>
                  <w:rPr>
                    <w:rFonts w:ascii="Cambria Math" w:hAnsi="Cambria Math" w:cs="Times"/>
                    <w:color w:val="auto"/>
                    <w:sz w:val="24"/>
                    <w:szCs w:val="24"/>
                  </w:rPr>
                  <m:t>signal</m:t>
                </m:r>
              </m:sub>
              <m:sup>
                <m:r>
                  <w:rPr>
                    <w:rFonts w:ascii="Cambria Math" w:hAnsi="Cambria Math" w:cs="Times"/>
                    <w:color w:val="auto"/>
                    <w:sz w:val="24"/>
                    <w:szCs w:val="24"/>
                  </w:rPr>
                  <m:t>2</m:t>
                </m:r>
              </m:sup>
            </m:sSubSup>
          </m:num>
          <m:den>
            <m:sSubSup>
              <m:sSubSupPr>
                <m:ctrlPr>
                  <w:rPr>
                    <w:rFonts w:ascii="Cambria Math" w:hAnsi="Cambria Math" w:cs="Times"/>
                    <w:iCs w:val="0"/>
                    <w:color w:val="auto"/>
                    <w:sz w:val="24"/>
                    <w:szCs w:val="24"/>
                  </w:rPr>
                </m:ctrlPr>
              </m:sSubSupPr>
              <m:e>
                <m:r>
                  <w:rPr>
                    <w:rFonts w:ascii="Cambria Math" w:hAnsi="Cambria Math" w:cs="Times"/>
                    <w:color w:val="auto"/>
                    <w:sz w:val="24"/>
                    <w:szCs w:val="24"/>
                  </w:rPr>
                  <m:t>σ</m:t>
                </m:r>
              </m:e>
              <m:sub>
                <m:r>
                  <w:rPr>
                    <w:rFonts w:ascii="Cambria Math" w:hAnsi="Cambria Math" w:cs="Times"/>
                    <w:color w:val="auto"/>
                    <w:sz w:val="24"/>
                    <w:szCs w:val="24"/>
                  </w:rPr>
                  <m:t>noise</m:t>
                </m:r>
              </m:sub>
              <m:sup>
                <m:r>
                  <w:rPr>
                    <w:rFonts w:ascii="Cambria Math" w:hAnsi="Cambria Math" w:cs="Times"/>
                    <w:color w:val="auto"/>
                    <w:sz w:val="24"/>
                    <w:szCs w:val="24"/>
                  </w:rPr>
                  <m:t>2</m:t>
                </m:r>
              </m:sup>
            </m:sSubSup>
          </m:den>
        </m:f>
      </m:oMath>
      <w:r w:rsidRPr="004E297B">
        <w:rPr>
          <w:rFonts w:ascii="Times" w:eastAsiaTheme="minorEastAsia" w:hAnsi="Times" w:cs="Times"/>
          <w:color w:val="auto"/>
          <w:sz w:val="24"/>
          <w:szCs w:val="24"/>
        </w:rPr>
        <w:t xml:space="preserve">           </w:t>
      </w:r>
      <w:r w:rsidRPr="004E297B">
        <w:rPr>
          <w:rFonts w:ascii="Times" w:eastAsiaTheme="minorEastAsia" w:hAnsi="Times" w:cs="Times"/>
          <w:i w:val="0"/>
          <w:color w:val="auto"/>
          <w:sz w:val="24"/>
          <w:szCs w:val="24"/>
        </w:rPr>
        <w:t>(</w:t>
      </w:r>
      <w:r w:rsidRPr="004E297B">
        <w:rPr>
          <w:rFonts w:ascii="Times" w:eastAsiaTheme="minorEastAsia" w:hAnsi="Times" w:cs="Times"/>
          <w:i w:val="0"/>
          <w:color w:val="auto"/>
          <w:sz w:val="24"/>
          <w:szCs w:val="24"/>
        </w:rPr>
        <w:fldChar w:fldCharType="begin"/>
      </w:r>
      <w:r w:rsidRPr="004E297B">
        <w:rPr>
          <w:rFonts w:ascii="Times" w:eastAsiaTheme="minorEastAsia" w:hAnsi="Times" w:cs="Times"/>
          <w:i w:val="0"/>
          <w:color w:val="auto"/>
          <w:sz w:val="24"/>
          <w:szCs w:val="24"/>
        </w:rPr>
        <w:instrText xml:space="preserve"> SEQ Equation \* ARABIC </w:instrText>
      </w:r>
      <w:r w:rsidRPr="004E297B">
        <w:rPr>
          <w:rFonts w:ascii="Times" w:eastAsiaTheme="minorEastAsia" w:hAnsi="Times" w:cs="Times"/>
          <w:i w:val="0"/>
          <w:color w:val="auto"/>
          <w:sz w:val="24"/>
          <w:szCs w:val="24"/>
        </w:rPr>
        <w:fldChar w:fldCharType="separate"/>
      </w:r>
      <w:r w:rsidRPr="004E297B">
        <w:rPr>
          <w:rFonts w:ascii="Times" w:eastAsiaTheme="minorEastAsia" w:hAnsi="Times" w:cs="Times"/>
          <w:i w:val="0"/>
          <w:noProof/>
          <w:color w:val="auto"/>
          <w:sz w:val="24"/>
          <w:szCs w:val="24"/>
        </w:rPr>
        <w:t>1</w:t>
      </w:r>
      <w:r w:rsidRPr="004E297B">
        <w:rPr>
          <w:rFonts w:ascii="Times" w:eastAsiaTheme="minorEastAsia" w:hAnsi="Times" w:cs="Times"/>
          <w:i w:val="0"/>
          <w:color w:val="auto"/>
          <w:sz w:val="24"/>
          <w:szCs w:val="24"/>
        </w:rPr>
        <w:fldChar w:fldCharType="end"/>
      </w:r>
      <w:r w:rsidRPr="004E297B">
        <w:rPr>
          <w:rFonts w:ascii="Times" w:eastAsiaTheme="minorEastAsia" w:hAnsi="Times" w:cs="Times"/>
          <w:i w:val="0"/>
          <w:color w:val="auto"/>
          <w:sz w:val="24"/>
          <w:szCs w:val="24"/>
        </w:rPr>
        <w:t>)</w:t>
      </w:r>
    </w:p>
    <w:p w:rsidR="00985ABB" w:rsidRPr="004E297B" w:rsidRDefault="00985ABB" w:rsidP="00985ABB">
      <w:pPr>
        <w:ind w:firstLine="0"/>
        <w:rPr>
          <w:rFonts w:ascii="Times" w:hAnsi="Times" w:cs="Times"/>
          <w:color w:val="000000"/>
          <w:lang w:eastAsia="zh-CN"/>
        </w:rPr>
      </w:pPr>
      <w:r w:rsidRPr="004E297B">
        <w:rPr>
          <w:rFonts w:ascii="Times" w:hAnsi="Times" w:cs="Times"/>
          <w:color w:val="000000"/>
          <w:lang w:eastAsia="zh-CN"/>
        </w:rPr>
        <w:t>where</w:t>
      </w:r>
      <w:r w:rsidRPr="004E297B">
        <w:rPr>
          <w:rFonts w:ascii="Times" w:hAnsi="Times" w:cs="Times"/>
          <w:b/>
          <w:bCs/>
          <w:i/>
          <w:iCs/>
          <w:color w:val="000000"/>
          <w:lang w:eastAsia="zh-CN"/>
        </w:rPr>
        <w:t xml:space="preserve"> σ</w:t>
      </w:r>
      <w:r w:rsidRPr="004E297B">
        <w:rPr>
          <w:rFonts w:ascii="Times" w:hAnsi="Times" w:cs="Times"/>
          <w:color w:val="000000"/>
          <w:lang w:eastAsia="zh-CN"/>
        </w:rPr>
        <w:t xml:space="preserve"> denotes the standard deviation. To select sample exposure time, five spectra were acquired with 100 </w:t>
      </w:r>
      <w:proofErr w:type="spellStart"/>
      <w:r w:rsidRPr="004E297B">
        <w:rPr>
          <w:rFonts w:ascii="Times" w:hAnsi="Times" w:cs="Times"/>
          <w:color w:val="000000"/>
          <w:lang w:eastAsia="zh-CN"/>
        </w:rPr>
        <w:t>mW</w:t>
      </w:r>
      <w:proofErr w:type="spellEnd"/>
      <w:r w:rsidRPr="004E297B">
        <w:rPr>
          <w:rFonts w:ascii="Times" w:hAnsi="Times" w:cs="Times"/>
          <w:color w:val="000000"/>
          <w:lang w:eastAsia="zh-CN"/>
        </w:rPr>
        <w:t xml:space="preserve"> power for 3, 15, 30, 60, and 90 seconds from a region of healthy tissue (labelled 1-5 in Fig. 6A and 6B). Figure S1 shows the resulting spectra acquired for each of these exposure times in two formats. Fig. S1A depicts the raw spectra in counts per second (cps). Fig. S1B, depicts the SNR for each spectrum as a centered running estimate of signal variance (n=11 </w:t>
      </w:r>
      <w:r w:rsidRPr="004E297B">
        <w:rPr>
          <w:rFonts w:ascii="Times" w:hAnsi="Times" w:cs="Times"/>
          <w:color w:val="000000"/>
          <w:lang w:eastAsia="zh-CN"/>
        </w:rPr>
        <w:lastRenderedPageBreak/>
        <w:t>spectral bins) is divided by the noise variance estimated using the feature-barren region from 1900 to 2600 cm</w:t>
      </w:r>
      <w:r w:rsidRPr="004E297B">
        <w:rPr>
          <w:rFonts w:ascii="Times" w:hAnsi="Times" w:cs="Times"/>
          <w:color w:val="000000"/>
          <w:vertAlign w:val="superscript"/>
          <w:lang w:eastAsia="zh-CN"/>
        </w:rPr>
        <w:t>-1</w:t>
      </w:r>
      <w:r w:rsidRPr="004E297B">
        <w:rPr>
          <w:rFonts w:ascii="Times" w:hAnsi="Times" w:cs="Times"/>
          <w:color w:val="000000"/>
          <w:lang w:eastAsia="zh-CN"/>
        </w:rPr>
        <w:t>. The inset shows that the change in SNR as a function of collection time ranges from a ratio of 2.9 for 3 seconds laser exposure to a maximum ratio of 639 for 90 seconds. To ensure detection of subtle shifts in spectral signatures while transiting tumor margins, we chose the conservative 90 seconds data acquisition time.</w:t>
      </w:r>
    </w:p>
    <w:p w:rsidR="00985ABB" w:rsidRPr="004E297B" w:rsidRDefault="00985ABB" w:rsidP="00985ABB">
      <w:pPr>
        <w:spacing w:after="160"/>
        <w:ind w:firstLine="0"/>
        <w:jc w:val="both"/>
        <w:outlineLvl w:val="0"/>
        <w:rPr>
          <w:rFonts w:ascii="Times" w:eastAsia="Calibri" w:hAnsi="Times" w:cs="Times"/>
          <w:color w:val="000000"/>
          <w:lang w:eastAsia="zh-CN"/>
        </w:rPr>
      </w:pPr>
    </w:p>
    <w:p w:rsidR="00985ABB" w:rsidRPr="00870229" w:rsidRDefault="00985ABB" w:rsidP="00985ABB">
      <w:pPr>
        <w:spacing w:line="240" w:lineRule="auto"/>
        <w:ind w:firstLine="0"/>
        <w:rPr>
          <w:rFonts w:ascii="Times" w:hAnsi="Times" w:cs="Times"/>
          <w:b/>
          <w:lang w:eastAsia="zh-CN"/>
        </w:rPr>
      </w:pPr>
    </w:p>
    <w:p w:rsidR="00985ABB" w:rsidRDefault="00985ABB"/>
    <w:sectPr w:rsidR="00985A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5ABB"/>
    <w:rsid w:val="00290BCE"/>
    <w:rsid w:val="00985A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AC58C"/>
  <w15:chartTrackingRefBased/>
  <w15:docId w15:val="{3BFB0976-FB7C-43EB-9A3C-7DD7C1136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85ABB"/>
    <w:pPr>
      <w:spacing w:after="0" w:line="480" w:lineRule="auto"/>
      <w:ind w:firstLine="720"/>
    </w:pPr>
    <w:rPr>
      <w:sz w:val="24"/>
      <w:szCs w:val="24"/>
    </w:rPr>
  </w:style>
  <w:style w:type="paragraph" w:styleId="Heading1">
    <w:name w:val="heading 1"/>
    <w:basedOn w:val="Normal"/>
    <w:next w:val="Normal"/>
    <w:link w:val="Heading1Char"/>
    <w:autoRedefine/>
    <w:uiPriority w:val="9"/>
    <w:qFormat/>
    <w:rsid w:val="00985ABB"/>
    <w:pPr>
      <w:outlineLvl w:val="0"/>
    </w:pPr>
    <w:rPr>
      <w:rFonts w:ascii="Times New Roman" w:hAnsi="Times New Roman" w:cs="Times New Roman"/>
      <w:b/>
      <w:bCs/>
      <w:color w:val="00000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5ABB"/>
    <w:rPr>
      <w:rFonts w:ascii="Times New Roman" w:hAnsi="Times New Roman" w:cs="Times New Roman"/>
      <w:b/>
      <w:bCs/>
      <w:color w:val="000000"/>
      <w:sz w:val="24"/>
      <w:szCs w:val="24"/>
      <w:lang w:eastAsia="zh-CN"/>
    </w:rPr>
  </w:style>
  <w:style w:type="paragraph" w:styleId="Caption">
    <w:name w:val="caption"/>
    <w:basedOn w:val="Normal"/>
    <w:next w:val="Normal"/>
    <w:uiPriority w:val="35"/>
    <w:unhideWhenUsed/>
    <w:qFormat/>
    <w:rsid w:val="00985ABB"/>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228</Words>
  <Characters>1306</Characters>
  <Application>Microsoft Office Word</Application>
  <DocSecurity>0</DocSecurity>
  <Lines>10</Lines>
  <Paragraphs>3</Paragraphs>
  <ScaleCrop>false</ScaleCrop>
  <Company/>
  <LinksUpToDate>false</LinksUpToDate>
  <CharactersWithSpaces>1531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Ragini Kothari</dc:creator>
  <cp:keywords/>
  <dc:description/>
  <cp:lastModifiedBy>Ragini Kothari</cp:lastModifiedBy>
  <cp:revision>2</cp:revision>
  <dcterms:created xsi:type="dcterms:W3CDTF">2019-09-13T18:19:00Z</dcterms:created>
  <dcterms:modified xsi:type="dcterms:W3CDTF">2019-09-13T18:20:00Z</dcterms:modified>
</cp:coreProperties>
</file>