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80197" w:rsidRPr="00880197" w:rsidRDefault="00880197" w:rsidP="0080065E">
      <w:pPr>
        <w:spacing w:line="480" w:lineRule="auto"/>
        <w:jc w:val="both"/>
        <w:rPr>
          <w:b/>
          <w:bCs/>
        </w:rPr>
      </w:pPr>
      <w:r w:rsidRPr="00880197">
        <w:rPr>
          <w:b/>
          <w:bCs/>
        </w:rPr>
        <w:t>Supplementary Information</w:t>
      </w:r>
    </w:p>
    <w:p w:rsidR="00880197" w:rsidRPr="00880197" w:rsidRDefault="00880197" w:rsidP="0080065E">
      <w:pPr>
        <w:spacing w:line="480" w:lineRule="auto"/>
        <w:jc w:val="both"/>
        <w:rPr>
          <w:b/>
          <w:bCs/>
        </w:rPr>
      </w:pPr>
      <w:r w:rsidRPr="00880197">
        <w:rPr>
          <w:b/>
          <w:bCs/>
        </w:rPr>
        <w:t xml:space="preserve">Article in </w:t>
      </w:r>
      <w:r w:rsidRPr="00880197">
        <w:rPr>
          <w:b/>
          <w:bCs/>
          <w:i/>
          <w:iCs/>
        </w:rPr>
        <w:t>Scientific Reports</w:t>
      </w:r>
    </w:p>
    <w:p w:rsidR="00880197" w:rsidRPr="005B7133" w:rsidRDefault="005B7133" w:rsidP="006332A5">
      <w:pPr>
        <w:spacing w:line="360" w:lineRule="auto"/>
        <w:jc w:val="both"/>
        <w:rPr>
          <w:b/>
          <w:bCs/>
        </w:rPr>
      </w:pPr>
      <w:r w:rsidRPr="005B7133">
        <w:rPr>
          <w:b/>
          <w:bCs/>
        </w:rPr>
        <w:t>Accuracy of proton magnetic resonance for diagnosing non-alcoholic steatohepatitis: a meta-analysis</w:t>
      </w:r>
    </w:p>
    <w:p w:rsidR="00880197" w:rsidRPr="00052146" w:rsidRDefault="008B6F42" w:rsidP="00414AF9">
      <w:pPr>
        <w:spacing w:line="360" w:lineRule="auto"/>
        <w:jc w:val="both"/>
      </w:pPr>
      <w:r w:rsidRPr="00052146">
        <w:t>Tae-Hoon Kim, Chang-Won Jeong, Hong Young Jun, ChungSub Lee, SiHyeong Noh, Ji Eon Kim, SeungJin Kim, and Kwon-Ha Yoon</w:t>
      </w:r>
    </w:p>
    <w:p w:rsidR="00880197" w:rsidRDefault="00880197" w:rsidP="00E662F1">
      <w:pPr>
        <w:spacing w:line="360" w:lineRule="auto"/>
        <w:jc w:val="both"/>
        <w:rPr>
          <w:b/>
          <w:bCs/>
        </w:rPr>
      </w:pPr>
    </w:p>
    <w:p w:rsidR="00E662F1" w:rsidRDefault="0012096F" w:rsidP="00E662F1">
      <w:pPr>
        <w:spacing w:line="360" w:lineRule="auto"/>
        <w:jc w:val="both"/>
      </w:pPr>
      <w:r>
        <w:rPr>
          <w:b/>
          <w:bCs/>
        </w:rPr>
        <w:t xml:space="preserve">Supplementary </w:t>
      </w:r>
      <w:r w:rsidR="00E662F1">
        <w:rPr>
          <w:b/>
          <w:bCs/>
        </w:rPr>
        <w:t xml:space="preserve">Figure S1: </w:t>
      </w:r>
      <w:r w:rsidR="00E662F1">
        <w:t>A forest chart showing the overall effect size of the Sensitivity obtained by the pooling of effect sizes reported in the individual studies.</w:t>
      </w:r>
    </w:p>
    <w:p w:rsidR="009A2D08" w:rsidRDefault="00E662F1" w:rsidP="00E662F1">
      <w:pPr>
        <w:pStyle w:val="11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A7C6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 wp14:anchorId="73026ED0" wp14:editId="3F62043E">
            <wp:extent cx="4163057" cy="3019425"/>
            <wp:effectExtent l="0" t="0" r="952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2" cy="303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A2D08" w:rsidRDefault="009A2D08">
      <w:pPr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064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2827"/>
        <w:gridCol w:w="1560"/>
        <w:gridCol w:w="1559"/>
        <w:gridCol w:w="1984"/>
        <w:gridCol w:w="1134"/>
      </w:tblGrid>
      <w:tr w:rsidR="009A2D08" w:rsidTr="00C927A0">
        <w:tc>
          <w:tcPr>
            <w:tcW w:w="28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Study</w:t>
            </w:r>
          </w:p>
        </w:tc>
        <w:tc>
          <w:tcPr>
            <w:tcW w:w="15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Sample size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Proportion (%)</w:t>
            </w:r>
          </w:p>
        </w:tc>
        <w:tc>
          <w:tcPr>
            <w:tcW w:w="19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HTML"/>
                <w:rFonts w:ascii="Arial" w:eastAsia="Times New Roman" w:hAnsi="Arial" w:cs="Arial"/>
                <w:color w:val="000000"/>
                <w:sz w:val="20"/>
                <w:szCs w:val="20"/>
              </w:rPr>
              <w:t>95% CI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hideMark/>
          </w:tcPr>
          <w:p w:rsidR="009A2D08" w:rsidRDefault="008D1C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 Weight</w:t>
            </w:r>
          </w:p>
        </w:tc>
      </w:tr>
      <w:tr w:rsidR="009A2D08" w:rsidTr="00C927A0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Bastati, 2014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97.143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85.083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99.928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9A2D08" w:rsidRDefault="00E308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12</w:t>
            </w:r>
            <w:r w:rsidR="008D1C45"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.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</w:tr>
      <w:tr w:rsidR="00DA7C62" w:rsidTr="00C927A0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Chen, 2011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94.444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81.336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99.320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DA7C62" w:rsidRDefault="00E30894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12</w:t>
            </w:r>
            <w:r w:rsidR="00DA7C62"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.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95</w:t>
            </w:r>
          </w:p>
        </w:tc>
      </w:tr>
      <w:tr w:rsidR="00DA7C62" w:rsidTr="00C927A0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Gallego-Duran, 2016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86.364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72.649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94.827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DA7C62" w:rsidRDefault="00E30894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</w:t>
            </w:r>
            <w:r w:rsidR="00DA7C62"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5.8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DA7C62" w:rsidTr="00C927A0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Kim, 2017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100.000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71.509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100.000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DA7C62" w:rsidRDefault="00E30894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3</w:t>
            </w:r>
            <w:r w:rsidR="00DA7C62"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.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96</w:t>
            </w:r>
          </w:p>
        </w:tc>
      </w:tr>
      <w:tr w:rsidR="00DA7C62" w:rsidTr="00C927A0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Smits, 2016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76.923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46.187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94.962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DA7C62" w:rsidRDefault="00E30894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4</w:t>
            </w:r>
            <w:r w:rsidR="00DA7C62"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.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</w:t>
            </w:r>
            <w:r w:rsidR="00DA7C62"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DA7C62" w:rsidTr="00C927A0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Tomita, 2008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90.000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55.498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99.747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DA7C62" w:rsidRDefault="00E30894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3</w:t>
            </w:r>
            <w:r w:rsidR="00DA7C62"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.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</w:tr>
      <w:tr w:rsidR="00DA7C62" w:rsidTr="00C927A0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Vongsuvanh, 2012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69.767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61.064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77.539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DA7C62" w:rsidRDefault="00E30894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46</w:t>
            </w:r>
            <w:r w:rsidR="00DA7C62"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.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</w:tr>
      <w:tr w:rsidR="00DA7C62" w:rsidTr="00C927A0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Total (fixed effects)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278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82.345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77.412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86.590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DA7C62" w:rsidRDefault="00E30894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100</w:t>
            </w:r>
            <w:r w:rsidR="00DA7C62"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DA7C62" w:rsidTr="00C927A0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Total (random effects)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278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87.409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DA7C62" w:rsidRDefault="00DA7C62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76.469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95.279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DA7C62" w:rsidRDefault="00E30894" w:rsidP="00DA7C6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100</w:t>
            </w:r>
            <w:r w:rsidR="00DA7C62"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</w:tbl>
    <w:p w:rsidR="009A2D08" w:rsidRDefault="008D1C45">
      <w:pPr>
        <w:pStyle w:val="2"/>
        <w:rPr>
          <w:rFonts w:ascii="Arial" w:eastAsia="Times New Roman" w:hAnsi="Arial" w:cs="Arial"/>
          <w:sz w:val="20"/>
          <w:szCs w:val="20"/>
        </w:rPr>
      </w:pPr>
      <w:r>
        <w:rPr>
          <w:rStyle w:val="normal1"/>
          <w:rFonts w:eastAsia="Times New Roman"/>
        </w:rPr>
        <w:t>Test for heterogeneity</w:t>
      </w:r>
    </w:p>
    <w:tbl>
      <w:tblPr>
        <w:tblW w:w="9064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1950"/>
        <w:gridCol w:w="7114"/>
      </w:tblGrid>
      <w:tr w:rsidR="009A2D08" w:rsidTr="00C927A0">
        <w:tc>
          <w:tcPr>
            <w:tcW w:w="1950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Q</w:t>
            </w:r>
          </w:p>
        </w:tc>
        <w:tc>
          <w:tcPr>
            <w:tcW w:w="7114" w:type="dxa"/>
            <w:tcBorders>
              <w:top w:val="single" w:sz="6" w:space="0" w:color="A0A0A0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28.6961</w:t>
            </w:r>
          </w:p>
        </w:tc>
      </w:tr>
      <w:tr w:rsidR="009A2D08" w:rsidTr="00C927A0">
        <w:tc>
          <w:tcPr>
            <w:tcW w:w="0" w:type="auto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HTML"/>
                <w:rFonts w:ascii="Arial" w:eastAsia="Times New Roman" w:hAnsi="Arial" w:cs="Arial"/>
                <w:color w:val="000000"/>
                <w:sz w:val="20"/>
                <w:szCs w:val="20"/>
              </w:rPr>
              <w:t>DF</w:t>
            </w:r>
          </w:p>
        </w:tc>
        <w:tc>
          <w:tcPr>
            <w:tcW w:w="711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9A2D08" w:rsidTr="00C927A0">
        <w:tc>
          <w:tcPr>
            <w:tcW w:w="0" w:type="auto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Significance level</w:t>
            </w:r>
          </w:p>
        </w:tc>
        <w:tc>
          <w:tcPr>
            <w:tcW w:w="711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P = 0.0001</w:t>
            </w:r>
          </w:p>
        </w:tc>
      </w:tr>
      <w:tr w:rsidR="009A2D08" w:rsidTr="00C927A0">
        <w:tc>
          <w:tcPr>
            <w:tcW w:w="1950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I</w:t>
            </w:r>
            <w:r>
              <w:rPr>
                <w:rStyle w:val="normal1"/>
                <w:rFonts w:eastAsia="Times New Roman"/>
                <w:vertAlign w:val="superscript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(inconsistency)</w:t>
            </w:r>
          </w:p>
        </w:tc>
        <w:tc>
          <w:tcPr>
            <w:tcW w:w="711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79.09</w:t>
            </w:r>
            <w:r>
              <w:rPr>
                <w:rStyle w:val="normal1"/>
                <w:rFonts w:eastAsia="Times New Roman"/>
              </w:rPr>
              <w:t> %</w:t>
            </w:r>
          </w:p>
        </w:tc>
      </w:tr>
      <w:tr w:rsidR="009A2D08" w:rsidTr="00C927A0">
        <w:tc>
          <w:tcPr>
            <w:tcW w:w="1950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95% CI for I</w:t>
            </w:r>
            <w:r>
              <w:rPr>
                <w:rStyle w:val="normal1"/>
                <w:rFonts w:eastAsia="Times New Roman"/>
                <w:vertAlign w:val="superscript"/>
              </w:rPr>
              <w:t>2</w:t>
            </w:r>
          </w:p>
        </w:tc>
        <w:tc>
          <w:tcPr>
            <w:tcW w:w="711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A2D08" w:rsidRDefault="008D1C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57.04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89.82</w:t>
            </w:r>
          </w:p>
        </w:tc>
      </w:tr>
    </w:tbl>
    <w:p w:rsidR="005C5C78" w:rsidRDefault="005C5C78">
      <w:pPr>
        <w:rPr>
          <w:rFonts w:eastAsia="Times New Roman"/>
        </w:rPr>
      </w:pPr>
      <w:r>
        <w:rPr>
          <w:rFonts w:eastAsia="Times New Roman"/>
        </w:rPr>
        <w:br w:type="page"/>
      </w:r>
    </w:p>
    <w:p w:rsidR="005C5C78" w:rsidRDefault="0012096F" w:rsidP="005C5C78">
      <w:pPr>
        <w:spacing w:line="360" w:lineRule="auto"/>
        <w:jc w:val="both"/>
      </w:pPr>
      <w:bookmarkStart w:id="0" w:name="_GoBack"/>
      <w:bookmarkEnd w:id="0"/>
      <w:r>
        <w:rPr>
          <w:b/>
          <w:bCs/>
        </w:rPr>
        <w:lastRenderedPageBreak/>
        <w:t xml:space="preserve">Supplementary </w:t>
      </w:r>
      <w:r w:rsidR="005C5C78">
        <w:rPr>
          <w:b/>
          <w:bCs/>
        </w:rPr>
        <w:t>Figure S</w:t>
      </w:r>
      <w:r w:rsidR="00256BFF">
        <w:rPr>
          <w:b/>
          <w:bCs/>
        </w:rPr>
        <w:t>2</w:t>
      </w:r>
      <w:r w:rsidR="005C5C78">
        <w:rPr>
          <w:b/>
          <w:bCs/>
        </w:rPr>
        <w:t xml:space="preserve">: </w:t>
      </w:r>
      <w:r w:rsidR="005C5C78">
        <w:t>A forest chart showing the overall effect size of the S</w:t>
      </w:r>
      <w:r w:rsidR="00E8497A">
        <w:rPr>
          <w:rFonts w:hint="eastAsia"/>
        </w:rPr>
        <w:t>p</w:t>
      </w:r>
      <w:r w:rsidR="00E8497A">
        <w:t>ecificity</w:t>
      </w:r>
      <w:r w:rsidR="005C5C78">
        <w:t xml:space="preserve"> obtained by the pooling of effect sizes reported in the individual studies.</w:t>
      </w:r>
    </w:p>
    <w:p w:rsidR="00263A92" w:rsidRDefault="00263A92" w:rsidP="005C5C78">
      <w:pPr>
        <w:spacing w:line="360" w:lineRule="auto"/>
        <w:jc w:val="both"/>
      </w:pPr>
    </w:p>
    <w:p w:rsidR="007B701B" w:rsidRDefault="00263A92" w:rsidP="00263A92">
      <w:pPr>
        <w:spacing w:line="360" w:lineRule="auto"/>
        <w:jc w:val="center"/>
      </w:pPr>
      <w:r w:rsidRPr="007B701B">
        <w:rPr>
          <w:rFonts w:eastAsia="Times New Roman"/>
          <w:noProof/>
        </w:rPr>
        <w:drawing>
          <wp:inline distT="0" distB="0" distL="0" distR="0" wp14:anchorId="105406B6">
            <wp:extent cx="4169529" cy="3047365"/>
            <wp:effectExtent l="0" t="0" r="2540" b="63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33" cy="306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B701B" w:rsidRDefault="007B701B" w:rsidP="00263A92">
      <w:pPr>
        <w:jc w:val="center"/>
      </w:pPr>
    </w:p>
    <w:p w:rsidR="00C927A0" w:rsidRDefault="00C927A0" w:rsidP="00C927A0">
      <w:pPr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8923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2827"/>
        <w:gridCol w:w="1418"/>
        <w:gridCol w:w="1559"/>
        <w:gridCol w:w="1985"/>
        <w:gridCol w:w="1134"/>
      </w:tblGrid>
      <w:tr w:rsidR="00C927A0" w:rsidTr="00E728E7">
        <w:tc>
          <w:tcPr>
            <w:tcW w:w="28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Study</w:t>
            </w:r>
          </w:p>
        </w:tc>
        <w:tc>
          <w:tcPr>
            <w:tcW w:w="1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Sample size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Proportion (%)</w:t>
            </w:r>
          </w:p>
        </w:tc>
        <w:tc>
          <w:tcPr>
            <w:tcW w:w="198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HTML"/>
                <w:rFonts w:ascii="Arial" w:eastAsia="Times New Roman" w:hAnsi="Arial" w:cs="Arial"/>
                <w:color w:val="000000"/>
                <w:sz w:val="20"/>
                <w:szCs w:val="20"/>
              </w:rPr>
              <w:t>95% CI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hideMark/>
          </w:tcPr>
          <w:p w:rsidR="00C927A0" w:rsidRDefault="00C927A0" w:rsidP="003957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 Weight</w:t>
            </w:r>
          </w:p>
        </w:tc>
      </w:tr>
      <w:tr w:rsidR="00696426" w:rsidTr="00E728E7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Bastati, 2014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63.043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47.548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76.793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22.22</w:t>
            </w:r>
          </w:p>
        </w:tc>
      </w:tr>
      <w:tr w:rsidR="00696426" w:rsidTr="00E728E7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Chen, 2011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72.727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49.778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89.271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10.63</w:t>
            </w:r>
          </w:p>
        </w:tc>
      </w:tr>
      <w:tr w:rsidR="00696426" w:rsidTr="00E728E7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Gallego-Duran, 2016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60.465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44.410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75.023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20.77</w:t>
            </w:r>
          </w:p>
        </w:tc>
      </w:tr>
      <w:tr w:rsidR="00696426" w:rsidTr="00E728E7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Kim, 2017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100.000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78.198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100.000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7.25</w:t>
            </w:r>
          </w:p>
        </w:tc>
      </w:tr>
      <w:tr w:rsidR="00696426" w:rsidTr="00E728E7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Smits, 2016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90.909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58.722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99.770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5.31</w:t>
            </w:r>
          </w:p>
        </w:tc>
      </w:tr>
      <w:tr w:rsidR="00696426" w:rsidTr="00E728E7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Tomita, 2008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77.778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39.991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97.186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4.35</w:t>
            </w:r>
          </w:p>
        </w:tc>
      </w:tr>
      <w:tr w:rsidR="00696426" w:rsidTr="00E728E7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Vongsuvanh, 2012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65.574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52.305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77.274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29.47</w:t>
            </w:r>
          </w:p>
        </w:tc>
      </w:tr>
      <w:tr w:rsidR="00696426" w:rsidTr="00E728E7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Total (fixed effects)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207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69.885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63.259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75.951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</w:tr>
      <w:tr w:rsidR="00696426" w:rsidTr="00E728E7">
        <w:tc>
          <w:tcPr>
            <w:tcW w:w="2827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Total (random effects)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207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74.282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62.373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84.596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hideMark/>
          </w:tcPr>
          <w:p w:rsidR="00696426" w:rsidRDefault="00696426" w:rsidP="0069642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</w:tr>
    </w:tbl>
    <w:p w:rsidR="00C927A0" w:rsidRDefault="00C927A0" w:rsidP="00C927A0">
      <w:pPr>
        <w:pStyle w:val="2"/>
        <w:rPr>
          <w:rFonts w:ascii="Arial" w:eastAsia="Times New Roman" w:hAnsi="Arial" w:cs="Arial"/>
          <w:sz w:val="20"/>
          <w:szCs w:val="20"/>
        </w:rPr>
      </w:pPr>
      <w:r>
        <w:rPr>
          <w:rStyle w:val="normal1"/>
          <w:rFonts w:eastAsia="Times New Roman"/>
        </w:rPr>
        <w:t>Test for heterogeneity</w:t>
      </w:r>
    </w:p>
    <w:tbl>
      <w:tblPr>
        <w:tblW w:w="8923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1950"/>
        <w:gridCol w:w="6973"/>
      </w:tblGrid>
      <w:tr w:rsidR="00C927A0" w:rsidTr="00E728E7">
        <w:tc>
          <w:tcPr>
            <w:tcW w:w="1950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Q</w:t>
            </w:r>
          </w:p>
        </w:tc>
        <w:tc>
          <w:tcPr>
            <w:tcW w:w="6973" w:type="dxa"/>
            <w:tcBorders>
              <w:top w:val="single" w:sz="6" w:space="0" w:color="A0A0A0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19.2863</w:t>
            </w:r>
          </w:p>
        </w:tc>
      </w:tr>
      <w:tr w:rsidR="00C927A0" w:rsidTr="00E728E7">
        <w:tc>
          <w:tcPr>
            <w:tcW w:w="0" w:type="auto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HTML"/>
                <w:rFonts w:ascii="Arial" w:eastAsia="Times New Roman" w:hAnsi="Arial" w:cs="Arial"/>
                <w:color w:val="000000"/>
                <w:sz w:val="20"/>
                <w:szCs w:val="20"/>
              </w:rPr>
              <w:t>DF</w:t>
            </w:r>
          </w:p>
        </w:tc>
        <w:tc>
          <w:tcPr>
            <w:tcW w:w="6973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C927A0" w:rsidTr="00E728E7">
        <w:tc>
          <w:tcPr>
            <w:tcW w:w="0" w:type="auto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Significance level</w:t>
            </w:r>
          </w:p>
        </w:tc>
        <w:tc>
          <w:tcPr>
            <w:tcW w:w="6973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P = 0.0037</w:t>
            </w:r>
          </w:p>
        </w:tc>
      </w:tr>
      <w:tr w:rsidR="00C927A0" w:rsidTr="00E728E7">
        <w:tc>
          <w:tcPr>
            <w:tcW w:w="1950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I</w:t>
            </w:r>
            <w:r>
              <w:rPr>
                <w:rStyle w:val="normal1"/>
                <w:rFonts w:eastAsia="Times New Roman"/>
                <w:vertAlign w:val="superscript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(inconsistency)</w:t>
            </w:r>
          </w:p>
        </w:tc>
        <w:tc>
          <w:tcPr>
            <w:tcW w:w="6973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68.89</w:t>
            </w:r>
            <w:r>
              <w:rPr>
                <w:rStyle w:val="normal1"/>
                <w:rFonts w:eastAsia="Times New Roman"/>
              </w:rPr>
              <w:t> %</w:t>
            </w:r>
          </w:p>
        </w:tc>
      </w:tr>
      <w:tr w:rsidR="00C927A0" w:rsidTr="00E728E7">
        <w:tc>
          <w:tcPr>
            <w:tcW w:w="1950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ormal1"/>
                <w:rFonts w:eastAsia="Times New Roman"/>
              </w:rPr>
              <w:t>95% CI for I</w:t>
            </w:r>
            <w:r>
              <w:rPr>
                <w:rStyle w:val="normal1"/>
                <w:rFonts w:eastAsia="Times New Roman"/>
                <w:vertAlign w:val="superscript"/>
              </w:rPr>
              <w:t>2</w:t>
            </w:r>
          </w:p>
        </w:tc>
        <w:tc>
          <w:tcPr>
            <w:tcW w:w="6973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927A0" w:rsidRDefault="00C927A0" w:rsidP="003957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31.40</w:t>
            </w:r>
            <w:r>
              <w:rPr>
                <w:rStyle w:val="normal1"/>
                <w:rFonts w:eastAsia="Times New Roman"/>
              </w:rPr>
              <w:t> to </w:t>
            </w:r>
            <w:r>
              <w:rPr>
                <w:rStyle w:val="result"/>
                <w:rFonts w:ascii="Arial" w:eastAsia="Times New Roman" w:hAnsi="Arial" w:cs="Arial"/>
                <w:sz w:val="20"/>
                <w:szCs w:val="20"/>
              </w:rPr>
              <w:t>85.89</w:t>
            </w:r>
          </w:p>
        </w:tc>
      </w:tr>
    </w:tbl>
    <w:p w:rsidR="00C927A0" w:rsidRDefault="00C927A0" w:rsidP="00263A92">
      <w:pPr>
        <w:jc w:val="center"/>
      </w:pPr>
    </w:p>
    <w:p w:rsidR="00C927A0" w:rsidRDefault="00C927A0" w:rsidP="00BA121C"/>
    <w:sectPr w:rsidR="00C927A0" w:rsidSect="00123F2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89E" w:rsidRDefault="0052589E">
      <w:r>
        <w:separator/>
      </w:r>
    </w:p>
  </w:endnote>
  <w:endnote w:type="continuationSeparator" w:id="0">
    <w:p w:rsidR="0052589E" w:rsidRDefault="0052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89E" w:rsidRDefault="0052589E">
      <w:r>
        <w:separator/>
      </w:r>
    </w:p>
  </w:footnote>
  <w:footnote w:type="continuationSeparator" w:id="0">
    <w:p w:rsidR="0052589E" w:rsidRDefault="00525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9C"/>
    <w:rsid w:val="00052146"/>
    <w:rsid w:val="001004D0"/>
    <w:rsid w:val="0012096F"/>
    <w:rsid w:val="00123F2C"/>
    <w:rsid w:val="00212707"/>
    <w:rsid w:val="00256BFF"/>
    <w:rsid w:val="00263A92"/>
    <w:rsid w:val="00273EF4"/>
    <w:rsid w:val="002A3631"/>
    <w:rsid w:val="003A195D"/>
    <w:rsid w:val="00414AF9"/>
    <w:rsid w:val="00472854"/>
    <w:rsid w:val="0052589E"/>
    <w:rsid w:val="005B7133"/>
    <w:rsid w:val="005C5C78"/>
    <w:rsid w:val="00613FCA"/>
    <w:rsid w:val="006332A5"/>
    <w:rsid w:val="00696426"/>
    <w:rsid w:val="006D13B2"/>
    <w:rsid w:val="0071674E"/>
    <w:rsid w:val="007B701B"/>
    <w:rsid w:val="0080065E"/>
    <w:rsid w:val="00815235"/>
    <w:rsid w:val="00880197"/>
    <w:rsid w:val="008B6F42"/>
    <w:rsid w:val="008C488C"/>
    <w:rsid w:val="008D1C45"/>
    <w:rsid w:val="00985F1E"/>
    <w:rsid w:val="009A2D08"/>
    <w:rsid w:val="00A07998"/>
    <w:rsid w:val="00A6492A"/>
    <w:rsid w:val="00BA121C"/>
    <w:rsid w:val="00C927A0"/>
    <w:rsid w:val="00D72548"/>
    <w:rsid w:val="00D812AE"/>
    <w:rsid w:val="00DA7C62"/>
    <w:rsid w:val="00DE1FDF"/>
    <w:rsid w:val="00E30894"/>
    <w:rsid w:val="00E662F1"/>
    <w:rsid w:val="00E728E7"/>
    <w:rsid w:val="00E8497A"/>
    <w:rsid w:val="00F02A9C"/>
    <w:rsid w:val="00F3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F774EC"/>
  <w15:chartTrackingRefBased/>
  <w15:docId w15:val="{3F36EE62-D77B-4DDF-A81B-D165E66B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20" w:after="120"/>
      <w:ind w:left="120"/>
      <w:outlineLvl w:val="0"/>
    </w:pPr>
    <w:rPr>
      <w:b/>
      <w:bCs/>
      <w:kern w:val="36"/>
      <w:sz w:val="26"/>
      <w:szCs w:val="26"/>
    </w:rPr>
  </w:style>
  <w:style w:type="paragraph" w:styleId="2">
    <w:name w:val="heading 2"/>
    <w:basedOn w:val="a"/>
    <w:link w:val="2Char"/>
    <w:uiPriority w:val="9"/>
    <w:qFormat/>
    <w:pPr>
      <w:ind w:left="120"/>
      <w:outlineLvl w:val="1"/>
    </w:pPr>
    <w:rPr>
      <w:b/>
      <w:bCs/>
    </w:rPr>
  </w:style>
  <w:style w:type="paragraph" w:styleId="3">
    <w:name w:val="heading 3"/>
    <w:basedOn w:val="a"/>
    <w:link w:val="3Char"/>
    <w:uiPriority w:val="9"/>
    <w:qFormat/>
    <w:pPr>
      <w:ind w:left="12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character" w:customStyle="1" w:styleId="3Char">
    <w:name w:val="제목 3 Char"/>
    <w:basedOn w:val="a0"/>
    <w:link w:val="3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rPr>
      <w:rFonts w:ascii="Arial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Pr>
      <w:rFonts w:ascii="Arial" w:hAnsi="Arial" w:cs="Arial"/>
      <w:sz w:val="20"/>
      <w:szCs w:val="20"/>
    </w:rPr>
  </w:style>
  <w:style w:type="paragraph" w:styleId="a6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locked/>
    <w:rPr>
      <w:sz w:val="24"/>
      <w:szCs w:val="24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locked/>
    <w:rPr>
      <w:sz w:val="24"/>
      <w:szCs w:val="24"/>
    </w:rPr>
  </w:style>
  <w:style w:type="paragraph" w:customStyle="1" w:styleId="bordered">
    <w:name w:val="bordered"/>
    <w:basedOn w:val="a"/>
    <w:uiPriority w:val="99"/>
    <w:semiHidden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</w:pPr>
    <w:rPr>
      <w:rFonts w:ascii="Arial" w:hAnsi="Arial" w:cs="Arial"/>
      <w:sz w:val="20"/>
      <w:szCs w:val="20"/>
    </w:rPr>
  </w:style>
  <w:style w:type="paragraph" w:customStyle="1" w:styleId="10">
    <w:name w:val="표준1"/>
    <w:basedOn w:val="a"/>
    <w:uiPriority w:val="99"/>
    <w:semiHidden/>
    <w:rPr>
      <w:rFonts w:ascii="Arial" w:hAnsi="Arial" w:cs="Arial"/>
      <w:sz w:val="20"/>
      <w:szCs w:val="20"/>
    </w:rPr>
  </w:style>
  <w:style w:type="paragraph" w:customStyle="1" w:styleId="small">
    <w:name w:val="small"/>
    <w:basedOn w:val="a"/>
    <w:uiPriority w:val="99"/>
    <w:semiHidden/>
    <w:rPr>
      <w:rFonts w:ascii="Arial" w:hAnsi="Arial" w:cs="Arial"/>
      <w:sz w:val="20"/>
      <w:szCs w:val="20"/>
    </w:rPr>
  </w:style>
  <w:style w:type="paragraph" w:customStyle="1" w:styleId="italic">
    <w:name w:val="italic"/>
    <w:basedOn w:val="a"/>
    <w:uiPriority w:val="99"/>
    <w:semiHidden/>
    <w:rPr>
      <w:rFonts w:ascii="Times" w:hAnsi="Times" w:cs="Times"/>
      <w:i/>
      <w:iCs/>
      <w:sz w:val="20"/>
      <w:szCs w:val="20"/>
    </w:rPr>
  </w:style>
  <w:style w:type="paragraph" w:customStyle="1" w:styleId="nobreak">
    <w:name w:val="nobreak"/>
    <w:basedOn w:val="a"/>
    <w:uiPriority w:val="99"/>
    <w:semiHidden/>
    <w:rPr>
      <w:rFonts w:ascii="Arial" w:hAnsi="Arial" w:cs="Arial"/>
      <w:sz w:val="20"/>
      <w:szCs w:val="20"/>
    </w:rPr>
  </w:style>
  <w:style w:type="paragraph" w:customStyle="1" w:styleId="hidden">
    <w:name w:val="hidden"/>
    <w:basedOn w:val="a"/>
    <w:uiPriority w:val="99"/>
    <w:semiHidden/>
    <w:rPr>
      <w:rFonts w:ascii="Arial" w:hAnsi="Arial" w:cs="Arial"/>
      <w:vanish/>
      <w:sz w:val="20"/>
      <w:szCs w:val="20"/>
    </w:rPr>
  </w:style>
  <w:style w:type="paragraph" w:customStyle="1" w:styleId="indent">
    <w:name w:val="indent"/>
    <w:basedOn w:val="a"/>
    <w:uiPriority w:val="99"/>
    <w:semiHidden/>
    <w:pPr>
      <w:ind w:left="120"/>
    </w:pPr>
    <w:rPr>
      <w:rFonts w:ascii="Arial" w:hAnsi="Arial" w:cs="Arial"/>
      <w:sz w:val="20"/>
      <w:szCs w:val="20"/>
    </w:rPr>
  </w:style>
  <w:style w:type="paragraph" w:customStyle="1" w:styleId="blue">
    <w:name w:val="blue"/>
    <w:basedOn w:val="a"/>
    <w:uiPriority w:val="99"/>
    <w:semiHidden/>
    <w:rPr>
      <w:rFonts w:ascii="Arial" w:hAnsi="Arial" w:cs="Arial"/>
      <w:color w:val="0000FF"/>
      <w:sz w:val="20"/>
      <w:szCs w:val="20"/>
    </w:rPr>
  </w:style>
  <w:style w:type="paragraph" w:customStyle="1" w:styleId="red">
    <w:name w:val="red"/>
    <w:basedOn w:val="a"/>
    <w:uiPriority w:val="99"/>
    <w:semiHidden/>
    <w:rPr>
      <w:rFonts w:ascii="Arial" w:hAnsi="Arial" w:cs="Arial"/>
      <w:color w:val="FF0000"/>
      <w:sz w:val="20"/>
      <w:szCs w:val="20"/>
    </w:rPr>
  </w:style>
  <w:style w:type="paragraph" w:customStyle="1" w:styleId="green">
    <w:name w:val="green"/>
    <w:basedOn w:val="a"/>
    <w:uiPriority w:val="99"/>
    <w:semiHidden/>
    <w:rPr>
      <w:rFonts w:ascii="Arial" w:hAnsi="Arial" w:cs="Arial"/>
      <w:color w:val="008000"/>
      <w:sz w:val="20"/>
      <w:szCs w:val="20"/>
    </w:rPr>
  </w:style>
  <w:style w:type="paragraph" w:customStyle="1" w:styleId="11">
    <w:name w:val="머리글1"/>
    <w:basedOn w:val="a"/>
    <w:uiPriority w:val="99"/>
    <w:semiHidden/>
    <w:pPr>
      <w:spacing w:after="180"/>
    </w:pPr>
    <w:rPr>
      <w:rFonts w:ascii="Arial" w:hAnsi="Arial" w:cs="Arial"/>
      <w:b/>
      <w:bCs/>
      <w:sz w:val="22"/>
      <w:szCs w:val="22"/>
    </w:rPr>
  </w:style>
  <w:style w:type="paragraph" w:customStyle="1" w:styleId="thll">
    <w:name w:val="thll"/>
    <w:basedOn w:val="a"/>
    <w:uiPriority w:val="99"/>
    <w:semiHidden/>
    <w:pPr>
      <w:pBdr>
        <w:bottom w:val="dotted" w:sz="6" w:space="0" w:color="A0A0A0"/>
        <w:right w:val="single" w:sz="6" w:space="0" w:color="A0A0A0"/>
      </w:pBdr>
    </w:pPr>
    <w:rPr>
      <w:rFonts w:ascii="Arial" w:hAnsi="Arial" w:cs="Arial"/>
      <w:sz w:val="20"/>
      <w:szCs w:val="20"/>
    </w:rPr>
  </w:style>
  <w:style w:type="paragraph" w:customStyle="1" w:styleId="thtl">
    <w:name w:val="thtl"/>
    <w:basedOn w:val="a"/>
    <w:uiPriority w:val="99"/>
    <w:semiHidden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</w:pPr>
    <w:rPr>
      <w:rFonts w:ascii="Arial" w:hAnsi="Arial" w:cs="Arial"/>
      <w:sz w:val="20"/>
      <w:szCs w:val="20"/>
    </w:rPr>
  </w:style>
  <w:style w:type="paragraph" w:customStyle="1" w:styleId="thtc">
    <w:name w:val="thtc"/>
    <w:basedOn w:val="a"/>
    <w:uiPriority w:val="99"/>
    <w:semiHidden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jc w:val="center"/>
    </w:pPr>
    <w:rPr>
      <w:rFonts w:ascii="Arial" w:hAnsi="Arial" w:cs="Arial"/>
      <w:sz w:val="20"/>
      <w:szCs w:val="20"/>
    </w:rPr>
  </w:style>
  <w:style w:type="paragraph" w:customStyle="1" w:styleId="thtr">
    <w:name w:val="thtr"/>
    <w:basedOn w:val="a"/>
    <w:uiPriority w:val="99"/>
    <w:semiHidden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jc w:val="right"/>
    </w:pPr>
    <w:rPr>
      <w:rFonts w:ascii="Arial" w:hAnsi="Arial" w:cs="Arial"/>
      <w:sz w:val="20"/>
      <w:szCs w:val="20"/>
    </w:rPr>
  </w:style>
  <w:style w:type="paragraph" w:customStyle="1" w:styleId="topsolidline">
    <w:name w:val="topsolidline"/>
    <w:basedOn w:val="a"/>
    <w:uiPriority w:val="99"/>
    <w:semiHidden/>
    <w:pPr>
      <w:pBdr>
        <w:top w:val="single" w:sz="6" w:space="0" w:color="A0A0A0"/>
        <w:bottom w:val="dotted" w:sz="6" w:space="0" w:color="A0A0A0"/>
        <w:right w:val="dotted" w:sz="6" w:space="0" w:color="A0A0A0"/>
      </w:pBdr>
    </w:pPr>
    <w:rPr>
      <w:rFonts w:ascii="Arial" w:hAnsi="Arial" w:cs="Arial"/>
      <w:sz w:val="20"/>
      <w:szCs w:val="20"/>
    </w:rPr>
  </w:style>
  <w:style w:type="paragraph" w:customStyle="1" w:styleId="l">
    <w:name w:val="l"/>
    <w:basedOn w:val="a"/>
    <w:uiPriority w:val="99"/>
    <w:semiHidden/>
    <w:pPr>
      <w:pBdr>
        <w:bottom w:val="dotted" w:sz="6" w:space="0" w:color="A0A0A0"/>
        <w:right w:val="dotted" w:sz="6" w:space="0" w:color="A0A0A0"/>
      </w:pBdr>
    </w:pPr>
    <w:rPr>
      <w:rFonts w:ascii="Arial" w:hAnsi="Arial" w:cs="Arial"/>
      <w:sz w:val="20"/>
      <w:szCs w:val="20"/>
    </w:rPr>
  </w:style>
  <w:style w:type="paragraph" w:customStyle="1" w:styleId="r">
    <w:name w:val="r"/>
    <w:basedOn w:val="a"/>
    <w:uiPriority w:val="99"/>
    <w:semiHidden/>
    <w:pPr>
      <w:pBdr>
        <w:bottom w:val="dotted" w:sz="6" w:space="0" w:color="A0A0A0"/>
        <w:right w:val="dotted" w:sz="6" w:space="0" w:color="A0A0A0"/>
      </w:pBdr>
      <w:jc w:val="right"/>
    </w:pPr>
    <w:rPr>
      <w:rFonts w:ascii="Arial" w:hAnsi="Arial" w:cs="Arial"/>
      <w:sz w:val="20"/>
      <w:szCs w:val="20"/>
    </w:rPr>
  </w:style>
  <w:style w:type="paragraph" w:customStyle="1" w:styleId="rc">
    <w:name w:val="rc"/>
    <w:basedOn w:val="a"/>
    <w:uiPriority w:val="99"/>
    <w:semiHidden/>
    <w:pPr>
      <w:pBdr>
        <w:bottom w:val="dotted" w:sz="6" w:space="0" w:color="A0A0A0"/>
      </w:pBdr>
      <w:jc w:val="right"/>
    </w:pPr>
    <w:rPr>
      <w:rFonts w:ascii="Arial" w:hAnsi="Arial" w:cs="Arial"/>
      <w:sz w:val="20"/>
      <w:szCs w:val="20"/>
    </w:rPr>
  </w:style>
  <w:style w:type="paragraph" w:customStyle="1" w:styleId="c">
    <w:name w:val="c"/>
    <w:basedOn w:val="a"/>
    <w:uiPriority w:val="99"/>
    <w:semiHidden/>
    <w:pPr>
      <w:pBdr>
        <w:bottom w:val="dotted" w:sz="6" w:space="0" w:color="A0A0A0"/>
        <w:right w:val="dotted" w:sz="6" w:space="0" w:color="A0A0A0"/>
      </w:pBdr>
      <w:jc w:val="center"/>
    </w:pPr>
    <w:rPr>
      <w:rFonts w:ascii="Arial" w:hAnsi="Arial" w:cs="Arial"/>
      <w:sz w:val="20"/>
      <w:szCs w:val="20"/>
    </w:rPr>
  </w:style>
  <w:style w:type="character" w:customStyle="1" w:styleId="normal1">
    <w:name w:val="normal1"/>
    <w:basedOn w:val="a0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a0"/>
    <w:rPr>
      <w:color w:val="000080"/>
    </w:rPr>
  </w:style>
  <w:style w:type="character" w:customStyle="1" w:styleId="warning">
    <w:name w:val="warning"/>
    <w:basedOn w:val="a0"/>
    <w:rPr>
      <w:color w:val="FF0000"/>
    </w:rPr>
  </w:style>
  <w:style w:type="character" w:styleId="HTML">
    <w:name w:val="HTML Acronym"/>
    <w:basedOn w:val="a0"/>
    <w:uiPriority w:val="99"/>
    <w:semiHidden/>
    <w:unhideWhenUsed/>
  </w:style>
  <w:style w:type="paragraph" w:customStyle="1" w:styleId="20">
    <w:name w:val="머리글2"/>
    <w:basedOn w:val="a"/>
    <w:uiPriority w:val="99"/>
    <w:semiHidden/>
    <w:rsid w:val="007B701B"/>
    <w:pPr>
      <w:spacing w:after="18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8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Meta-analysis: proportion</vt:lpstr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Meta-analysis: proportion</dc:title>
  <dc:subject/>
  <dc:creator>김태훈</dc:creator>
  <cp:keywords/>
  <dc:description/>
  <cp:lastModifiedBy>김태훈</cp:lastModifiedBy>
  <cp:revision>37</cp:revision>
  <dcterms:created xsi:type="dcterms:W3CDTF">2019-06-20T08:47:00Z</dcterms:created>
  <dcterms:modified xsi:type="dcterms:W3CDTF">2019-06-28T13:18:00Z</dcterms:modified>
</cp:coreProperties>
</file>