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7E6A3" w14:textId="77777777" w:rsidR="00BB058A" w:rsidRPr="00EF440E" w:rsidRDefault="00BB058A" w:rsidP="00BB058A">
      <w:pPr>
        <w:jc w:val="center"/>
        <w:outlineLvl w:val="0"/>
        <w:rPr>
          <w:rFonts w:ascii="Times New Roman" w:hAnsi="Times New Roman" w:cs="Times New Roman"/>
          <w:b/>
          <w:sz w:val="24"/>
          <w:szCs w:val="24"/>
        </w:rPr>
      </w:pPr>
      <w:proofErr w:type="spellStart"/>
      <w:r w:rsidRPr="00EF440E">
        <w:rPr>
          <w:rFonts w:ascii="Times New Roman" w:hAnsi="Times New Roman" w:cs="Times New Roman"/>
          <w:b/>
          <w:sz w:val="24"/>
          <w:szCs w:val="24"/>
        </w:rPr>
        <w:t>Resistin</w:t>
      </w:r>
      <w:proofErr w:type="spellEnd"/>
      <w:r w:rsidRPr="00EF440E">
        <w:rPr>
          <w:rFonts w:ascii="Times New Roman" w:hAnsi="Times New Roman" w:cs="Times New Roman"/>
          <w:b/>
          <w:sz w:val="24"/>
          <w:szCs w:val="24"/>
        </w:rPr>
        <w:t xml:space="preserve"> expression in human monocytes is controlled by two linked promoter SNPs mediating NFKB p50/p50 binding and C-methylation  </w:t>
      </w:r>
    </w:p>
    <w:p w14:paraId="6987F6C5" w14:textId="77777777" w:rsidR="00BB058A" w:rsidRPr="00952F2C" w:rsidRDefault="00BB058A" w:rsidP="00BB058A">
      <w:pPr>
        <w:pStyle w:val="PlainText"/>
        <w:spacing w:line="480" w:lineRule="auto"/>
        <w:jc w:val="both"/>
        <w:rPr>
          <w:rFonts w:ascii="Times New Roman" w:hAnsi="Times New Roman" w:cs="Times New Roman"/>
          <w:sz w:val="24"/>
          <w:szCs w:val="24"/>
        </w:rPr>
      </w:pPr>
      <w:r w:rsidRPr="00952F2C">
        <w:rPr>
          <w:rFonts w:ascii="Times New Roman" w:hAnsi="Times New Roman" w:cs="Times New Roman"/>
          <w:color w:val="000000" w:themeColor="text1"/>
          <w:sz w:val="24"/>
          <w:szCs w:val="24"/>
        </w:rPr>
        <w:t>Dilip Kumar</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Bernett Lee</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Kia Joo Puan</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Wendy Lee</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Boris San Luis</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xml:space="preserve">, </w:t>
      </w:r>
      <w:proofErr w:type="spellStart"/>
      <w:r w:rsidRPr="00952F2C">
        <w:rPr>
          <w:rFonts w:ascii="Times New Roman" w:hAnsi="Times New Roman" w:cs="Times New Roman"/>
          <w:color w:val="000000" w:themeColor="text1"/>
          <w:sz w:val="24"/>
          <w:szCs w:val="24"/>
        </w:rPr>
        <w:t>Nurhashikin</w:t>
      </w:r>
      <w:proofErr w:type="spellEnd"/>
      <w:r w:rsidRPr="00952F2C">
        <w:rPr>
          <w:rFonts w:ascii="Times New Roman" w:hAnsi="Times New Roman" w:cs="Times New Roman"/>
          <w:color w:val="000000" w:themeColor="text1"/>
          <w:sz w:val="24"/>
          <w:szCs w:val="24"/>
        </w:rPr>
        <w:t xml:space="preserve"> Yusof</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color w:val="000000" w:themeColor="text1"/>
          <w:sz w:val="24"/>
          <w:szCs w:val="24"/>
        </w:rPr>
        <w:t>, Anand Kumar Andiappan</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sz w:val="24"/>
          <w:szCs w:val="24"/>
        </w:rPr>
        <w:t xml:space="preserve">, </w:t>
      </w:r>
      <w:r w:rsidRPr="00952F2C">
        <w:rPr>
          <w:rFonts w:ascii="Times New Roman" w:hAnsi="Times New Roman" w:cs="Times New Roman"/>
          <w:color w:val="000000"/>
          <w:sz w:val="24"/>
          <w:szCs w:val="24"/>
          <w:lang w:val="en"/>
        </w:rPr>
        <w:t>Ricardo Del Rosario</w:t>
      </w:r>
      <w:r w:rsidRPr="00952F2C" w:rsidDel="00A25A55">
        <w:rPr>
          <w:rFonts w:ascii="Times New Roman" w:hAnsi="Times New Roman" w:cs="Times New Roman"/>
          <w:sz w:val="24"/>
          <w:szCs w:val="24"/>
        </w:rPr>
        <w:t xml:space="preserve"> </w:t>
      </w:r>
      <w:r w:rsidRPr="00952F2C">
        <w:rPr>
          <w:rFonts w:ascii="Times New Roman" w:hAnsi="Times New Roman" w:cs="Times New Roman"/>
          <w:sz w:val="24"/>
          <w:szCs w:val="24"/>
          <w:vertAlign w:val="superscript"/>
        </w:rPr>
        <w:t>3, 5</w:t>
      </w:r>
      <w:r w:rsidRPr="00952F2C">
        <w:rPr>
          <w:rFonts w:ascii="Times New Roman" w:hAnsi="Times New Roman" w:cs="Times New Roman"/>
          <w:sz w:val="24"/>
          <w:szCs w:val="24"/>
        </w:rPr>
        <w:t xml:space="preserve"> Jeremie Poschmann</w:t>
      </w:r>
      <w:r w:rsidRPr="00952F2C">
        <w:rPr>
          <w:rFonts w:ascii="Times New Roman" w:hAnsi="Times New Roman" w:cs="Times New Roman"/>
          <w:sz w:val="24"/>
          <w:szCs w:val="24"/>
          <w:vertAlign w:val="superscript"/>
          <w:lang w:val="en-US"/>
        </w:rPr>
        <w:t>3,6</w:t>
      </w:r>
      <w:r w:rsidRPr="00952F2C">
        <w:rPr>
          <w:rFonts w:ascii="Times New Roman" w:hAnsi="Times New Roman" w:cs="Times New Roman"/>
          <w:sz w:val="24"/>
          <w:szCs w:val="24"/>
        </w:rPr>
        <w:t xml:space="preserve">, </w:t>
      </w:r>
      <w:proofErr w:type="spellStart"/>
      <w:r w:rsidRPr="00952F2C">
        <w:rPr>
          <w:rFonts w:ascii="Times New Roman" w:hAnsi="Times New Roman" w:cs="Times New Roman"/>
          <w:sz w:val="24"/>
          <w:szCs w:val="24"/>
          <w:lang w:val="en-US"/>
        </w:rPr>
        <w:t>Pavanish</w:t>
      </w:r>
      <w:proofErr w:type="spellEnd"/>
      <w:r w:rsidRPr="00952F2C">
        <w:rPr>
          <w:rFonts w:ascii="Times New Roman" w:hAnsi="Times New Roman" w:cs="Times New Roman"/>
          <w:sz w:val="24"/>
          <w:szCs w:val="24"/>
          <w:lang w:val="en-US"/>
        </w:rPr>
        <w:t xml:space="preserve"> Kumar</w:t>
      </w:r>
      <w:r w:rsidRPr="00952F2C">
        <w:rPr>
          <w:rFonts w:ascii="Times New Roman" w:hAnsi="Times New Roman" w:cs="Times New Roman"/>
          <w:sz w:val="24"/>
          <w:szCs w:val="24"/>
          <w:vertAlign w:val="superscript"/>
          <w:lang w:val="en-US"/>
        </w:rPr>
        <w:t>1</w:t>
      </w:r>
      <w:r w:rsidRPr="00952F2C">
        <w:rPr>
          <w:rFonts w:ascii="Times New Roman" w:hAnsi="Times New Roman" w:cs="Times New Roman"/>
          <w:sz w:val="24"/>
          <w:szCs w:val="24"/>
          <w:lang w:val="en-US"/>
        </w:rPr>
        <w:t xml:space="preserve">, </w:t>
      </w:r>
      <w:r w:rsidRPr="00952F2C">
        <w:rPr>
          <w:rFonts w:ascii="Times New Roman" w:hAnsi="Times New Roman" w:cs="Times New Roman"/>
          <w:sz w:val="24"/>
          <w:szCs w:val="24"/>
        </w:rPr>
        <w:t xml:space="preserve">Gennaro </w:t>
      </w:r>
      <w:proofErr w:type="spellStart"/>
      <w:r w:rsidRPr="00952F2C">
        <w:rPr>
          <w:rFonts w:ascii="Times New Roman" w:hAnsi="Times New Roman" w:cs="Times New Roman"/>
          <w:sz w:val="24"/>
          <w:szCs w:val="24"/>
        </w:rPr>
        <w:t>DeLibero</w:t>
      </w:r>
      <w:proofErr w:type="spellEnd"/>
      <w:r w:rsidRPr="00952F2C">
        <w:rPr>
          <w:rFonts w:ascii="Times New Roman" w:hAnsi="Times New Roman" w:cs="Times New Roman"/>
          <w:sz w:val="24"/>
          <w:szCs w:val="24"/>
          <w:vertAlign w:val="superscript"/>
          <w:lang w:val="en-US"/>
        </w:rPr>
        <w:t>1, 4</w:t>
      </w:r>
      <w:r w:rsidRPr="00952F2C">
        <w:rPr>
          <w:rFonts w:ascii="Times New Roman" w:hAnsi="Times New Roman" w:cs="Times New Roman"/>
          <w:sz w:val="24"/>
          <w:szCs w:val="24"/>
        </w:rPr>
        <w:t>, Amit Singhal</w:t>
      </w:r>
      <w:r w:rsidRPr="00952F2C">
        <w:rPr>
          <w:rFonts w:ascii="Times New Roman" w:hAnsi="Times New Roman" w:cs="Times New Roman"/>
          <w:sz w:val="24"/>
          <w:szCs w:val="24"/>
          <w:vertAlign w:val="superscript"/>
          <w:lang w:val="en-US"/>
        </w:rPr>
        <w:t>1</w:t>
      </w:r>
      <w:r w:rsidRPr="00952F2C">
        <w:rPr>
          <w:rFonts w:ascii="Times New Roman" w:hAnsi="Times New Roman" w:cs="Times New Roman"/>
          <w:sz w:val="24"/>
          <w:szCs w:val="24"/>
        </w:rPr>
        <w:t xml:space="preserve">, Shyam </w:t>
      </w:r>
      <w:proofErr w:type="spellStart"/>
      <w:r w:rsidRPr="00952F2C">
        <w:rPr>
          <w:rFonts w:ascii="Times New Roman" w:hAnsi="Times New Roman" w:cs="Times New Roman"/>
          <w:sz w:val="24"/>
          <w:szCs w:val="24"/>
        </w:rPr>
        <w:t>Prabhakar</w:t>
      </w:r>
      <w:proofErr w:type="spellEnd"/>
      <w:r w:rsidRPr="00952F2C">
        <w:rPr>
          <w:rFonts w:ascii="Times New Roman" w:hAnsi="Times New Roman" w:cs="Times New Roman"/>
          <w:sz w:val="24"/>
          <w:szCs w:val="24"/>
          <w:vertAlign w:val="superscript"/>
          <w:lang w:val="en-US"/>
        </w:rPr>
        <w:t>3</w:t>
      </w:r>
      <w:r w:rsidRPr="00952F2C">
        <w:rPr>
          <w:rFonts w:ascii="Times New Roman" w:hAnsi="Times New Roman" w:cs="Times New Roman"/>
          <w:color w:val="000000" w:themeColor="text1"/>
          <w:sz w:val="24"/>
          <w:szCs w:val="24"/>
        </w:rPr>
        <w:t>, Wang De Yun</w:t>
      </w:r>
      <w:r w:rsidRPr="00952F2C">
        <w:rPr>
          <w:rFonts w:ascii="Times New Roman" w:hAnsi="Times New Roman" w:cs="Times New Roman"/>
          <w:color w:val="000000" w:themeColor="text1"/>
          <w:sz w:val="24"/>
          <w:szCs w:val="24"/>
          <w:vertAlign w:val="superscript"/>
        </w:rPr>
        <w:t>2</w:t>
      </w:r>
      <w:r w:rsidRPr="00952F2C">
        <w:rPr>
          <w:rFonts w:ascii="Times New Roman" w:hAnsi="Times New Roman" w:cs="Times New Roman"/>
          <w:color w:val="000000" w:themeColor="text1"/>
          <w:sz w:val="24"/>
          <w:szCs w:val="24"/>
        </w:rPr>
        <w:t>, Michael Poidinger</w:t>
      </w:r>
      <w:r w:rsidRPr="00952F2C">
        <w:rPr>
          <w:rFonts w:ascii="Times New Roman" w:hAnsi="Times New Roman" w:cs="Times New Roman"/>
          <w:color w:val="000000" w:themeColor="text1"/>
          <w:sz w:val="24"/>
          <w:szCs w:val="24"/>
          <w:vertAlign w:val="superscript"/>
        </w:rPr>
        <w:t>1</w:t>
      </w:r>
      <w:r w:rsidRPr="00952F2C">
        <w:rPr>
          <w:rFonts w:ascii="Times New Roman" w:hAnsi="Times New Roman" w:cs="Times New Roman"/>
          <w:sz w:val="24"/>
          <w:szCs w:val="24"/>
        </w:rPr>
        <w:t xml:space="preserve">,  </w:t>
      </w:r>
      <w:r w:rsidRPr="00952F2C">
        <w:rPr>
          <w:rFonts w:ascii="Times New Roman" w:hAnsi="Times New Roman" w:cs="Times New Roman"/>
          <w:color w:val="000000" w:themeColor="text1"/>
          <w:sz w:val="24"/>
          <w:szCs w:val="24"/>
        </w:rPr>
        <w:t>Olaf Rötzschke</w:t>
      </w:r>
      <w:r w:rsidRPr="00952F2C">
        <w:rPr>
          <w:rFonts w:ascii="Times New Roman" w:hAnsi="Times New Roman" w:cs="Times New Roman"/>
          <w:color w:val="000000" w:themeColor="text1"/>
          <w:sz w:val="24"/>
          <w:szCs w:val="24"/>
          <w:vertAlign w:val="superscript"/>
        </w:rPr>
        <w:t>1</w:t>
      </w:r>
    </w:p>
    <w:p w14:paraId="2012D190" w14:textId="77777777" w:rsidR="00BB058A" w:rsidRDefault="00BB058A" w:rsidP="000637AB">
      <w:pPr>
        <w:spacing w:after="0" w:line="480" w:lineRule="auto"/>
        <w:rPr>
          <w:rFonts w:ascii="Times New Roman" w:hAnsi="Times New Roman" w:cs="Times New Roman"/>
          <w:sz w:val="24"/>
          <w:vertAlign w:val="superscript"/>
        </w:rPr>
      </w:pPr>
      <w:r w:rsidRPr="00394BC0">
        <w:rPr>
          <w:rFonts w:ascii="Times New Roman" w:hAnsi="Times New Roman" w:cs="Times New Roman"/>
          <w:sz w:val="24"/>
          <w:szCs w:val="24"/>
          <w:vertAlign w:val="superscript"/>
        </w:rPr>
        <w:t>1</w:t>
      </w:r>
      <w:r w:rsidRPr="00394BC0">
        <w:rPr>
          <w:rFonts w:ascii="Times New Roman" w:hAnsi="Times New Roman" w:cs="Times New Roman"/>
          <w:sz w:val="24"/>
          <w:szCs w:val="24"/>
        </w:rPr>
        <w:t>Singapore Immunology Network (SIgN), A*STAR (Agency for Science, Technology   and Research), Singapore</w:t>
      </w:r>
      <w:r>
        <w:rPr>
          <w:rFonts w:ascii="Times New Roman" w:hAnsi="Times New Roman" w:cs="Times New Roman"/>
          <w:sz w:val="24"/>
          <w:szCs w:val="24"/>
        </w:rPr>
        <w:t xml:space="preserve">; </w:t>
      </w:r>
      <w:r w:rsidRPr="00394BC0">
        <w:rPr>
          <w:rFonts w:ascii="Times New Roman" w:hAnsi="Times New Roman" w:cs="Times New Roman"/>
          <w:sz w:val="24"/>
          <w:szCs w:val="24"/>
          <w:vertAlign w:val="superscript"/>
        </w:rPr>
        <w:t>2</w:t>
      </w:r>
      <w:r w:rsidRPr="00394BC0">
        <w:rPr>
          <w:rFonts w:ascii="Times New Roman" w:hAnsi="Times New Roman" w:cs="Times New Roman"/>
          <w:sz w:val="24"/>
          <w:szCs w:val="24"/>
        </w:rPr>
        <w:t>Department of Otolaryngology, National University of Singapore</w:t>
      </w:r>
      <w:r>
        <w:rPr>
          <w:rFonts w:ascii="Times New Roman" w:hAnsi="Times New Roman" w:cs="Times New Roman"/>
          <w:sz w:val="24"/>
          <w:szCs w:val="24"/>
        </w:rPr>
        <w:t xml:space="preserve">; </w:t>
      </w:r>
      <w:r w:rsidRPr="00394BC0">
        <w:rPr>
          <w:rFonts w:ascii="Times New Roman" w:hAnsi="Times New Roman" w:cs="Times New Roman"/>
          <w:sz w:val="24"/>
          <w:vertAlign w:val="superscript"/>
        </w:rPr>
        <w:t>3</w:t>
      </w:r>
      <w:r w:rsidRPr="00394BC0">
        <w:rPr>
          <w:rFonts w:ascii="Times New Roman" w:hAnsi="Times New Roman" w:cs="Times New Roman"/>
          <w:sz w:val="24"/>
        </w:rPr>
        <w:t>Genome Institute of Singapore (GIS), Agency for Science, Technology and Research of Singapore (A*STAR), Singapore</w:t>
      </w:r>
      <w:r>
        <w:rPr>
          <w:rFonts w:ascii="Times New Roman" w:hAnsi="Times New Roman" w:cs="Times New Roman"/>
          <w:sz w:val="24"/>
        </w:rPr>
        <w:t>;</w:t>
      </w:r>
      <w:r>
        <w:rPr>
          <w:rFonts w:ascii="Times New Roman" w:hAnsi="Times New Roman" w:cs="Times New Roman"/>
          <w:sz w:val="24"/>
          <w:vertAlign w:val="superscript"/>
        </w:rPr>
        <w:t xml:space="preserve"> 4</w:t>
      </w:r>
      <w:r w:rsidRPr="00AB753F">
        <w:rPr>
          <w:rFonts w:ascii="Times New Roman" w:hAnsi="Times New Roman" w:cs="Times New Roman"/>
          <w:sz w:val="24"/>
        </w:rPr>
        <w:t xml:space="preserve"> Department of </w:t>
      </w:r>
      <w:r>
        <w:rPr>
          <w:rFonts w:ascii="Times New Roman" w:hAnsi="Times New Roman" w:cs="Times New Roman"/>
          <w:sz w:val="24"/>
        </w:rPr>
        <w:t>B</w:t>
      </w:r>
      <w:r w:rsidRPr="00AB753F">
        <w:rPr>
          <w:rFonts w:ascii="Times New Roman" w:hAnsi="Times New Roman" w:cs="Times New Roman"/>
          <w:sz w:val="24"/>
        </w:rPr>
        <w:t>iomedicine, University of Basel, Basel, Switzerland</w:t>
      </w:r>
      <w:r>
        <w:rPr>
          <w:rFonts w:ascii="Times New Roman" w:hAnsi="Times New Roman" w:cs="Times New Roman"/>
          <w:sz w:val="24"/>
        </w:rPr>
        <w:t>;</w:t>
      </w:r>
      <w:r w:rsidRPr="00AB753F" w:rsidDel="006B059A">
        <w:rPr>
          <w:rFonts w:ascii="Times New Roman" w:hAnsi="Times New Roman" w:cs="Times New Roman"/>
          <w:sz w:val="24"/>
        </w:rPr>
        <w:t xml:space="preserve"> </w:t>
      </w:r>
      <w:r>
        <w:rPr>
          <w:rFonts w:ascii="Times New Roman" w:hAnsi="Times New Roman" w:cs="Times New Roman"/>
          <w:color w:val="000000" w:themeColor="text1"/>
          <w:sz w:val="24"/>
          <w:szCs w:val="24"/>
          <w:vertAlign w:val="superscript"/>
        </w:rPr>
        <w:t>5</w:t>
      </w:r>
      <w:r w:rsidRPr="003D3C3F">
        <w:rPr>
          <w:rFonts w:ascii="Times New Roman" w:hAnsi="Times New Roman" w:cs="Times New Roman"/>
          <w:color w:val="000000" w:themeColor="text1"/>
          <w:sz w:val="24"/>
          <w:szCs w:val="24"/>
        </w:rPr>
        <w:t xml:space="preserve">Stanley </w:t>
      </w:r>
      <w:proofErr w:type="spellStart"/>
      <w:r w:rsidRPr="003D3C3F">
        <w:rPr>
          <w:rFonts w:ascii="Times New Roman" w:hAnsi="Times New Roman" w:cs="Times New Roman"/>
          <w:color w:val="000000" w:themeColor="text1"/>
          <w:sz w:val="24"/>
          <w:szCs w:val="24"/>
        </w:rPr>
        <w:t>Center</w:t>
      </w:r>
      <w:proofErr w:type="spellEnd"/>
      <w:r w:rsidRPr="003D3C3F">
        <w:rPr>
          <w:rFonts w:ascii="Times New Roman" w:hAnsi="Times New Roman" w:cs="Times New Roman"/>
          <w:color w:val="000000" w:themeColor="text1"/>
          <w:sz w:val="24"/>
          <w:szCs w:val="24"/>
        </w:rPr>
        <w:t xml:space="preserve"> for Psychiatric Research, Broad Institute of MIT and Harvard, 75 Ames St., Cambridge MA 02142, USA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vertAlign w:val="superscript"/>
        </w:rPr>
        <w:t>6</w:t>
      </w:r>
      <w:r w:rsidRPr="00FB2CE7">
        <w:rPr>
          <w:rFonts w:ascii="Times New Roman" w:hAnsi="Times New Roman" w:cs="Times New Roman"/>
          <w:sz w:val="24"/>
          <w:szCs w:val="24"/>
        </w:rPr>
        <w:t xml:space="preserve">Centre de </w:t>
      </w:r>
      <w:proofErr w:type="spellStart"/>
      <w:r w:rsidRPr="00FB2CE7">
        <w:rPr>
          <w:rFonts w:ascii="Times New Roman" w:hAnsi="Times New Roman" w:cs="Times New Roman"/>
          <w:sz w:val="24"/>
          <w:szCs w:val="24"/>
        </w:rPr>
        <w:t>Recherche</w:t>
      </w:r>
      <w:proofErr w:type="spellEnd"/>
      <w:r w:rsidRPr="00FB2CE7">
        <w:rPr>
          <w:rFonts w:ascii="Times New Roman" w:hAnsi="Times New Roman" w:cs="Times New Roman"/>
          <w:sz w:val="24"/>
          <w:szCs w:val="24"/>
        </w:rPr>
        <w:t xml:space="preserve"> </w:t>
      </w:r>
      <w:proofErr w:type="spellStart"/>
      <w:r w:rsidRPr="00FB2CE7">
        <w:rPr>
          <w:rFonts w:ascii="Times New Roman" w:hAnsi="Times New Roman" w:cs="Times New Roman"/>
          <w:sz w:val="24"/>
          <w:szCs w:val="24"/>
        </w:rPr>
        <w:t>en</w:t>
      </w:r>
      <w:proofErr w:type="spellEnd"/>
      <w:r w:rsidRPr="00FB2CE7">
        <w:rPr>
          <w:rFonts w:ascii="Times New Roman" w:hAnsi="Times New Roman" w:cs="Times New Roman"/>
          <w:sz w:val="24"/>
          <w:szCs w:val="24"/>
        </w:rPr>
        <w:t xml:space="preserve"> Transplantation et </w:t>
      </w:r>
      <w:proofErr w:type="spellStart"/>
      <w:r w:rsidRPr="00FB2CE7">
        <w:rPr>
          <w:rFonts w:ascii="Times New Roman" w:hAnsi="Times New Roman" w:cs="Times New Roman"/>
          <w:sz w:val="24"/>
          <w:szCs w:val="24"/>
        </w:rPr>
        <w:t>Immunologie</w:t>
      </w:r>
      <w:proofErr w:type="spellEnd"/>
      <w:r w:rsidRPr="00FB2CE7">
        <w:rPr>
          <w:rFonts w:ascii="Times New Roman" w:hAnsi="Times New Roman" w:cs="Times New Roman"/>
          <w:sz w:val="24"/>
          <w:szCs w:val="24"/>
        </w:rPr>
        <w:t xml:space="preserve">, </w:t>
      </w:r>
      <w:proofErr w:type="spellStart"/>
      <w:r w:rsidRPr="00FB2CE7">
        <w:rPr>
          <w:rFonts w:ascii="Times New Roman" w:hAnsi="Times New Roman" w:cs="Times New Roman"/>
          <w:sz w:val="24"/>
          <w:szCs w:val="24"/>
        </w:rPr>
        <w:t>Université</w:t>
      </w:r>
      <w:proofErr w:type="spellEnd"/>
      <w:r w:rsidRPr="00FB2CE7">
        <w:rPr>
          <w:rFonts w:ascii="Times New Roman" w:hAnsi="Times New Roman" w:cs="Times New Roman"/>
          <w:sz w:val="24"/>
          <w:szCs w:val="24"/>
        </w:rPr>
        <w:t xml:space="preserve"> de Nantes, France</w:t>
      </w:r>
      <w:r>
        <w:rPr>
          <w:rFonts w:ascii="Times New Roman" w:hAnsi="Times New Roman" w:cs="Times New Roman"/>
          <w:sz w:val="24"/>
          <w:szCs w:val="24"/>
        </w:rPr>
        <w:t>.</w:t>
      </w:r>
    </w:p>
    <w:p w14:paraId="5E360C14" w14:textId="77777777" w:rsidR="00583156" w:rsidRDefault="00583156" w:rsidP="000637AB">
      <w:pPr>
        <w:spacing w:after="0" w:line="480" w:lineRule="auto"/>
        <w:jc w:val="both"/>
        <w:rPr>
          <w:rFonts w:ascii="Times New Roman" w:hAnsi="Times New Roman" w:cs="Times New Roman"/>
          <w:sz w:val="24"/>
        </w:rPr>
      </w:pPr>
    </w:p>
    <w:p w14:paraId="0CFE4DAB" w14:textId="77777777" w:rsidR="00BB058A" w:rsidRPr="00564EAF" w:rsidRDefault="00BB058A" w:rsidP="000637AB">
      <w:pPr>
        <w:spacing w:after="0" w:line="480" w:lineRule="auto"/>
        <w:jc w:val="both"/>
        <w:rPr>
          <w:rFonts w:ascii="Times New Roman" w:hAnsi="Times New Roman" w:cs="Times New Roman"/>
          <w:sz w:val="24"/>
        </w:rPr>
      </w:pPr>
      <w:r w:rsidRPr="00564EAF">
        <w:rPr>
          <w:rFonts w:ascii="Times New Roman" w:hAnsi="Times New Roman" w:cs="Times New Roman"/>
          <w:sz w:val="24"/>
        </w:rPr>
        <w:t>Corresponding authors:</w:t>
      </w:r>
    </w:p>
    <w:p w14:paraId="12F6501F" w14:textId="77777777" w:rsidR="00BB058A" w:rsidRPr="00564EAF" w:rsidRDefault="00BB058A" w:rsidP="003F1282">
      <w:pPr>
        <w:spacing w:after="0" w:line="480" w:lineRule="auto"/>
        <w:jc w:val="both"/>
        <w:rPr>
          <w:rFonts w:ascii="Times New Roman" w:hAnsi="Times New Roman" w:cs="Times New Roman"/>
          <w:sz w:val="24"/>
        </w:rPr>
      </w:pPr>
      <w:r w:rsidRPr="00564EAF">
        <w:rPr>
          <w:rFonts w:ascii="Times New Roman" w:hAnsi="Times New Roman" w:cs="Times New Roman"/>
          <w:sz w:val="24"/>
        </w:rPr>
        <w:t xml:space="preserve">Olaf </w:t>
      </w:r>
      <w:proofErr w:type="spellStart"/>
      <w:r w:rsidRPr="00564EAF">
        <w:rPr>
          <w:rFonts w:ascii="Times New Roman" w:hAnsi="Times New Roman" w:cs="Times New Roman"/>
          <w:sz w:val="24"/>
        </w:rPr>
        <w:t>Rötzschke</w:t>
      </w:r>
      <w:proofErr w:type="spellEnd"/>
      <w:r w:rsidRPr="00564EAF">
        <w:rPr>
          <w:rFonts w:ascii="Times New Roman" w:hAnsi="Times New Roman" w:cs="Times New Roman"/>
          <w:sz w:val="24"/>
        </w:rPr>
        <w:t>, Ph.D.</w:t>
      </w:r>
    </w:p>
    <w:p w14:paraId="0E6C752E" w14:textId="77777777" w:rsidR="00BB058A" w:rsidRPr="00564EAF" w:rsidRDefault="00BB058A" w:rsidP="003F1282">
      <w:pPr>
        <w:spacing w:after="0" w:line="480" w:lineRule="auto"/>
        <w:jc w:val="both"/>
        <w:rPr>
          <w:rFonts w:ascii="Times New Roman" w:hAnsi="Times New Roman" w:cs="Times New Roman"/>
          <w:sz w:val="24"/>
        </w:rPr>
      </w:pPr>
      <w:r w:rsidRPr="00564EAF">
        <w:rPr>
          <w:rFonts w:ascii="Times New Roman" w:hAnsi="Times New Roman" w:cs="Times New Roman"/>
          <w:sz w:val="24"/>
        </w:rPr>
        <w:t>Singapore Immunology Network (SIgN)</w:t>
      </w:r>
    </w:p>
    <w:p w14:paraId="71D816DC" w14:textId="77777777" w:rsidR="00BB058A" w:rsidRDefault="00BB058A" w:rsidP="003F1282">
      <w:pPr>
        <w:spacing w:after="0" w:line="480" w:lineRule="auto"/>
        <w:jc w:val="both"/>
        <w:rPr>
          <w:rFonts w:ascii="Times New Roman" w:hAnsi="Times New Roman" w:cs="Times New Roman"/>
          <w:sz w:val="24"/>
        </w:rPr>
      </w:pPr>
      <w:r w:rsidRPr="00564EAF">
        <w:rPr>
          <w:rFonts w:ascii="Times New Roman" w:hAnsi="Times New Roman" w:cs="Times New Roman"/>
          <w:sz w:val="24"/>
        </w:rPr>
        <w:t>8A Biomedical Grove #04-06</w:t>
      </w:r>
      <w:r>
        <w:rPr>
          <w:rFonts w:ascii="Times New Roman" w:hAnsi="Times New Roman" w:cs="Times New Roman"/>
          <w:sz w:val="24"/>
        </w:rPr>
        <w:t xml:space="preserve">, </w:t>
      </w:r>
      <w:r w:rsidRPr="00564EAF">
        <w:rPr>
          <w:rFonts w:ascii="Times New Roman" w:hAnsi="Times New Roman" w:cs="Times New Roman"/>
          <w:sz w:val="24"/>
        </w:rPr>
        <w:t>Singapore 138648</w:t>
      </w:r>
    </w:p>
    <w:p w14:paraId="09F1FC1F" w14:textId="77777777" w:rsidR="00BB058A" w:rsidRDefault="00BB058A" w:rsidP="003F1282">
      <w:pPr>
        <w:spacing w:after="0" w:line="480" w:lineRule="auto"/>
        <w:jc w:val="both"/>
        <w:rPr>
          <w:rFonts w:ascii="Times New Roman" w:hAnsi="Times New Roman" w:cs="Times New Roman"/>
          <w:sz w:val="24"/>
        </w:rPr>
      </w:pPr>
      <w:r>
        <w:rPr>
          <w:rFonts w:ascii="Times New Roman" w:hAnsi="Times New Roman" w:cs="Times New Roman"/>
          <w:sz w:val="24"/>
        </w:rPr>
        <w:t>olaf_rotzschke@immunol.a-star.edu.sg</w:t>
      </w:r>
    </w:p>
    <w:p w14:paraId="304D528C" w14:textId="77777777" w:rsidR="003F1282" w:rsidRDefault="003F1282" w:rsidP="003F1282">
      <w:pPr>
        <w:spacing w:after="0" w:line="480" w:lineRule="auto"/>
        <w:jc w:val="both"/>
        <w:rPr>
          <w:rFonts w:ascii="Times New Roman" w:hAnsi="Times New Roman" w:cs="Times New Roman"/>
          <w:sz w:val="24"/>
        </w:rPr>
      </w:pPr>
    </w:p>
    <w:p w14:paraId="2361F107" w14:textId="77777777" w:rsidR="00BB058A" w:rsidRPr="00E1470A" w:rsidRDefault="00BB058A" w:rsidP="003F1282">
      <w:pPr>
        <w:spacing w:after="0" w:line="480" w:lineRule="auto"/>
        <w:jc w:val="both"/>
        <w:rPr>
          <w:rFonts w:ascii="Times New Roman" w:hAnsi="Times New Roman" w:cs="Times New Roman"/>
          <w:sz w:val="24"/>
          <w:szCs w:val="24"/>
        </w:rPr>
      </w:pPr>
      <w:r>
        <w:rPr>
          <w:rFonts w:ascii="Times New Roman" w:hAnsi="Times New Roman" w:cs="Times New Roman"/>
          <w:sz w:val="24"/>
        </w:rPr>
        <w:t xml:space="preserve"> </w:t>
      </w:r>
      <w:r>
        <w:rPr>
          <w:rFonts w:ascii="Times New Roman" w:hAnsi="Times New Roman" w:cs="Times New Roman"/>
          <w:sz w:val="24"/>
          <w:szCs w:val="24"/>
        </w:rPr>
        <w:t>Dilip Kumar</w:t>
      </w:r>
      <w:r w:rsidRPr="00E1470A">
        <w:rPr>
          <w:rFonts w:ascii="Times New Roman" w:hAnsi="Times New Roman" w:cs="Times New Roman"/>
          <w:sz w:val="24"/>
          <w:szCs w:val="24"/>
        </w:rPr>
        <w:t>, Ph.D.</w:t>
      </w:r>
    </w:p>
    <w:p w14:paraId="7F68631E" w14:textId="77777777" w:rsidR="00BB058A" w:rsidRPr="00E1470A" w:rsidRDefault="00BB058A" w:rsidP="003F1282">
      <w:pPr>
        <w:spacing w:after="0" w:line="480" w:lineRule="auto"/>
        <w:rPr>
          <w:rFonts w:ascii="Times New Roman" w:hAnsi="Times New Roman" w:cs="Times New Roman"/>
          <w:sz w:val="24"/>
          <w:szCs w:val="24"/>
        </w:rPr>
      </w:pPr>
      <w:r w:rsidRPr="00E1470A">
        <w:rPr>
          <w:rFonts w:ascii="Times New Roman" w:hAnsi="Times New Roman" w:cs="Times New Roman"/>
          <w:sz w:val="24"/>
          <w:szCs w:val="24"/>
        </w:rPr>
        <w:t>Singapore Immunology Network (SIgN)</w:t>
      </w:r>
    </w:p>
    <w:p w14:paraId="62AF8456" w14:textId="77777777" w:rsidR="00BB058A" w:rsidRDefault="00BB058A" w:rsidP="003F1282">
      <w:pPr>
        <w:spacing w:after="0" w:line="480" w:lineRule="auto"/>
        <w:rPr>
          <w:rFonts w:ascii="Times New Roman" w:hAnsi="Times New Roman" w:cs="Times New Roman"/>
          <w:sz w:val="24"/>
          <w:szCs w:val="24"/>
        </w:rPr>
      </w:pPr>
      <w:r w:rsidRPr="00E1470A">
        <w:rPr>
          <w:rFonts w:ascii="Times New Roman" w:hAnsi="Times New Roman" w:cs="Times New Roman"/>
          <w:sz w:val="24"/>
          <w:szCs w:val="24"/>
        </w:rPr>
        <w:t>8A Biomedical Grove #04-06</w:t>
      </w:r>
      <w:r>
        <w:rPr>
          <w:rFonts w:ascii="Times New Roman" w:hAnsi="Times New Roman" w:cs="Times New Roman"/>
          <w:sz w:val="24"/>
          <w:szCs w:val="24"/>
        </w:rPr>
        <w:t xml:space="preserve">, </w:t>
      </w:r>
      <w:r w:rsidRPr="00E1470A">
        <w:rPr>
          <w:rFonts w:ascii="Times New Roman" w:hAnsi="Times New Roman" w:cs="Times New Roman"/>
          <w:sz w:val="24"/>
          <w:szCs w:val="24"/>
        </w:rPr>
        <w:t>Singapore 138648</w:t>
      </w:r>
    </w:p>
    <w:p w14:paraId="0274BCA0" w14:textId="77777777" w:rsidR="00BB058A" w:rsidRDefault="00BB058A" w:rsidP="003F1282">
      <w:pPr>
        <w:spacing w:after="0" w:line="480" w:lineRule="auto"/>
        <w:rPr>
          <w:rFonts w:ascii="Times New Roman" w:hAnsi="Times New Roman" w:cs="Times New Roman"/>
          <w:color w:val="000000" w:themeColor="text1"/>
          <w:sz w:val="24"/>
          <w:szCs w:val="24"/>
        </w:rPr>
      </w:pPr>
      <w:r w:rsidRPr="000F34AE">
        <w:rPr>
          <w:rStyle w:val="Hyperlink"/>
          <w:rFonts w:ascii="Times New Roman" w:hAnsi="Times New Roman" w:cs="Times New Roman"/>
          <w:color w:val="000000" w:themeColor="text1"/>
          <w:sz w:val="24"/>
          <w:szCs w:val="24"/>
        </w:rPr>
        <w:t>dilip_kumar@immunol.a-star.edu.sg</w:t>
      </w:r>
      <w:r w:rsidRPr="000F34AE">
        <w:rPr>
          <w:rFonts w:ascii="Times New Roman" w:hAnsi="Times New Roman" w:cs="Times New Roman"/>
          <w:color w:val="000000" w:themeColor="text1"/>
          <w:sz w:val="24"/>
          <w:szCs w:val="24"/>
        </w:rPr>
        <w:t xml:space="preserve"> </w:t>
      </w:r>
    </w:p>
    <w:p w14:paraId="5374F062" w14:textId="77777777" w:rsidR="000E796A" w:rsidRDefault="000E796A" w:rsidP="006C0D38">
      <w:pPr>
        <w:spacing w:line="360" w:lineRule="auto"/>
        <w:rPr>
          <w:rFonts w:ascii="Times New Roman" w:hAnsi="Times New Roman" w:cs="Times New Roman"/>
          <w:color w:val="000000" w:themeColor="text1"/>
          <w:sz w:val="24"/>
          <w:szCs w:val="24"/>
        </w:rPr>
      </w:pPr>
    </w:p>
    <w:p w14:paraId="296A4DBC" w14:textId="77777777" w:rsidR="000637AB" w:rsidRDefault="000637AB" w:rsidP="006C0D38">
      <w:pPr>
        <w:spacing w:line="360" w:lineRule="auto"/>
        <w:rPr>
          <w:rFonts w:ascii="Times New Roman" w:hAnsi="Times New Roman" w:cs="Times New Roman"/>
          <w:color w:val="000000" w:themeColor="text1"/>
          <w:sz w:val="24"/>
          <w:szCs w:val="24"/>
        </w:rPr>
      </w:pPr>
    </w:p>
    <w:p w14:paraId="79046F3C" w14:textId="4F32443A" w:rsidR="001D7B23" w:rsidRDefault="00343937" w:rsidP="00BB058A">
      <w:pPr>
        <w:spacing w:line="480" w:lineRule="auto"/>
        <w:rPr>
          <w:rFonts w:ascii="Times New Roman" w:hAnsi="Times New Roman" w:cs="Times New Roman"/>
          <w:b/>
          <w:color w:val="000000" w:themeColor="text1"/>
          <w:sz w:val="24"/>
          <w:szCs w:val="24"/>
        </w:rPr>
      </w:pPr>
      <w:r>
        <w:rPr>
          <w:noProof/>
        </w:rPr>
        <w:lastRenderedPageBreak/>
        <w:pict w14:anchorId="7955C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 style="position:absolute;margin-left:12.25pt;margin-top:37.9pt;width:426.8pt;height:82.2pt;z-index:251666432;mso-wrap-edited:f;mso-width-percent:0;mso-height-percent:0;mso-position-horizontal-relative:text;mso-position-vertical-relative:text;mso-width-percent:0;mso-height-percent:0" wrapcoords="-41 0 -41 21218 21600 21218 21600 0 -41 0">
            <v:imagedata r:id="rId8" o:title=""/>
            <w10:wrap type="tight"/>
          </v:shape>
          <o:OLEObject Type="Embed" ProgID="Excel.Sheet.12" ShapeID="_x0000_s1031" DrawAspect="Content" ObjectID="_1616616174" r:id="rId9"/>
        </w:pict>
      </w:r>
      <w:r w:rsidR="00722E65">
        <w:rPr>
          <w:rFonts w:ascii="Times New Roman" w:hAnsi="Times New Roman" w:cs="Times New Roman"/>
          <w:b/>
          <w:color w:val="000000" w:themeColor="text1"/>
          <w:sz w:val="24"/>
          <w:szCs w:val="24"/>
        </w:rPr>
        <w:t>Supplementary t</w:t>
      </w:r>
      <w:r w:rsidR="007E21C0" w:rsidRPr="007E21C0">
        <w:rPr>
          <w:rFonts w:ascii="Times New Roman" w:hAnsi="Times New Roman" w:cs="Times New Roman"/>
          <w:b/>
          <w:color w:val="000000" w:themeColor="text1"/>
          <w:sz w:val="24"/>
          <w:szCs w:val="24"/>
        </w:rPr>
        <w:t>ables</w:t>
      </w:r>
    </w:p>
    <w:p w14:paraId="11F87B92" w14:textId="01F82B59" w:rsidR="00DB1F8E" w:rsidRDefault="00343937">
      <w:r>
        <w:rPr>
          <w:noProof/>
        </w:rPr>
        <w:pict w14:anchorId="65C302DE">
          <v:shape id="_x0000_s1030" type="#_x0000_t75" alt="" style="position:absolute;margin-left:43.75pt;margin-top:17.4pt;width:363.75pt;height:78pt;z-index:251668480;mso-wrap-edited:f;mso-width-percent:0;mso-height-percent:0;mso-position-horizontal-relative:text;mso-position-vertical-relative:text;mso-width-percent:0;mso-height-percent:0" wrapcoords="-45 0 -45 21185 21600 21185 21600 0 -45 0">
            <v:imagedata r:id="rId10" o:title=""/>
            <w10:wrap type="tight"/>
          </v:shape>
          <o:OLEObject Type="Embed" ProgID="Excel.Sheet.12" ShapeID="_x0000_s1030" DrawAspect="Content" ObjectID="_1616616175" r:id="rId11"/>
        </w:pict>
      </w:r>
    </w:p>
    <w:p w14:paraId="04A953DA" w14:textId="7B082173" w:rsidR="001D7B23" w:rsidRDefault="001D7B23"/>
    <w:p w14:paraId="6F02946E" w14:textId="77777777" w:rsidR="006B6D43" w:rsidRDefault="006B6D43"/>
    <w:p w14:paraId="51052FAE" w14:textId="77777777" w:rsidR="00DB1F8E" w:rsidRDefault="00DB1F8E" w:rsidP="004C1ADF"/>
    <w:p w14:paraId="27D0C59E" w14:textId="65ED5DCD" w:rsidR="00343937" w:rsidRDefault="00343937" w:rsidP="004C1ADF">
      <w:r>
        <w:rPr>
          <w:noProof/>
        </w:rPr>
        <w:pict w14:anchorId="32664881">
          <v:shape id="_x0000_s1029" type="#_x0000_t75" alt="" style="position:absolute;margin-left:-34.25pt;margin-top:22.9pt;width:519.55pt;height:95.7pt;z-index:251670528;mso-wrap-edited:f;mso-width-percent:0;mso-height-percent:0;mso-position-horizontal-relative:text;mso-position-vertical-relative:text;mso-width-percent:0;mso-height-percent:0" wrapcoords="-39 0 -39 21218 21600 21218 21600 0 -39 0">
            <v:imagedata r:id="rId12" o:title=""/>
            <w10:wrap type="tight"/>
          </v:shape>
          <o:OLEObject Type="Embed" ProgID="Excel.Sheet.12" ShapeID="_x0000_s1029" DrawAspect="Content" ObjectID="_1616616176" r:id="rId13"/>
        </w:pict>
      </w:r>
    </w:p>
    <w:p w14:paraId="4028CFC7" w14:textId="3BF94C35" w:rsidR="001D7B23" w:rsidRDefault="001D7B23" w:rsidP="001D7B23">
      <w:pPr>
        <w:jc w:val="center"/>
      </w:pPr>
    </w:p>
    <w:p w14:paraId="4FA28BD7" w14:textId="702FDC86" w:rsidR="002E48DA" w:rsidRDefault="00A55495" w:rsidP="001D7B23">
      <w:pPr>
        <w:jc w:val="center"/>
      </w:pPr>
      <w:r>
        <w:rPr>
          <w:noProof/>
        </w:rPr>
        <w:pict w14:anchorId="05D05ADB">
          <v:shape id="_x0000_s1028" type="#_x0000_t75" alt="" style="position:absolute;left:0;text-align:left;margin-left:14.15pt;margin-top:4.8pt;width:437.15pt;height:288.45pt;z-index:-251657216;mso-wrap-edited:f;mso-width-percent:0;mso-height-percent:0;mso-position-horizontal-relative:text;mso-position-vertical-relative:text;mso-width-percent:0;mso-height-percent:0" wrapcoords="-42 0 -42 21486 21600 21486 21600 0 -42 0">
            <v:imagedata r:id="rId14" o:title=""/>
            <w10:wrap type="tight"/>
          </v:shape>
          <o:OLEObject Type="Embed" ProgID="Excel.Sheet.12" ShapeID="_x0000_s1028" DrawAspect="Content" ObjectID="_1616616177" r:id="rId15"/>
        </w:pict>
      </w:r>
    </w:p>
    <w:p w14:paraId="0CC4CBC9" w14:textId="006AC73A" w:rsidR="002E48DA" w:rsidRDefault="00A55495" w:rsidP="001D7B23">
      <w:pPr>
        <w:jc w:val="center"/>
      </w:pPr>
      <w:r>
        <w:rPr>
          <w:noProof/>
        </w:rPr>
        <w:lastRenderedPageBreak/>
        <w:pict w14:anchorId="659F6A52">
          <v:shape id="_x0000_s1034" type="#_x0000_t75" style="position:absolute;left:0;text-align:left;margin-left:-23.75pt;margin-top:.1pt;width:498.5pt;height:375.2pt;z-index:251675648;mso-position-horizontal-relative:text;mso-position-vertical-relative:text" wrapcoords="-33 0 -33 21516 21600 21516 21600 0 -33 0">
            <v:imagedata r:id="rId16" o:title=""/>
            <w10:wrap type="tight"/>
          </v:shape>
          <o:OLEObject Type="Embed" ProgID="Excel.Sheet.12" ShapeID="_x0000_s1034" DrawAspect="Content" ObjectID="_1616616178" r:id="rId17"/>
        </w:pict>
      </w:r>
    </w:p>
    <w:p w14:paraId="74CA8FFE" w14:textId="7285A133" w:rsidR="002E48DA" w:rsidRDefault="00A55495" w:rsidP="003070C8">
      <w:pPr>
        <w:jc w:val="center"/>
      </w:pPr>
      <w:r>
        <w:rPr>
          <w:noProof/>
        </w:rPr>
        <w:pict w14:anchorId="1B7DCAAB">
          <v:shape id="_x0000_s1026" type="#_x0000_t75" alt="" style="position:absolute;left:0;text-align:left;margin-left:-32.85pt;margin-top:14.75pt;width:517.05pt;height:132.95pt;z-index:-251653120;mso-position-horizontal-relative:text;mso-position-vertical-relative:text" wrapcoords="-31 0 -31 21356 21600 21356 21600 0 -31 0">
            <v:imagedata r:id="rId18" o:title=""/>
            <w10:wrap type="tight"/>
          </v:shape>
          <o:OLEObject Type="Embed" ProgID="Excel.Sheet.12" ShapeID="_x0000_s1026" DrawAspect="Content" ObjectID="_1616616179" r:id="rId19"/>
        </w:pict>
      </w:r>
    </w:p>
    <w:p w14:paraId="1A030966" w14:textId="4B400827" w:rsidR="002E48DA" w:rsidRDefault="002E48DA" w:rsidP="001D7B23">
      <w:pPr>
        <w:jc w:val="center"/>
      </w:pPr>
    </w:p>
    <w:p w14:paraId="7E3B2969" w14:textId="77777777" w:rsidR="008C6348" w:rsidRDefault="008C6348" w:rsidP="001D7B23">
      <w:pPr>
        <w:jc w:val="center"/>
      </w:pPr>
    </w:p>
    <w:p w14:paraId="018C46EE" w14:textId="07332ABF" w:rsidR="002E48DA" w:rsidRDefault="002E48DA" w:rsidP="001D7B23">
      <w:pPr>
        <w:jc w:val="center"/>
      </w:pPr>
    </w:p>
    <w:p w14:paraId="299782E5" w14:textId="77777777" w:rsidR="00C94D7E" w:rsidRDefault="00C94D7E" w:rsidP="001D7B23">
      <w:pPr>
        <w:jc w:val="center"/>
      </w:pPr>
      <w:bookmarkStart w:id="0" w:name="_GoBack"/>
      <w:bookmarkEnd w:id="0"/>
    </w:p>
    <w:p w14:paraId="68EADBF4" w14:textId="77777777" w:rsidR="00DC4D69" w:rsidRDefault="00DC4D69" w:rsidP="001D7B23">
      <w:pPr>
        <w:jc w:val="center"/>
      </w:pPr>
    </w:p>
    <w:p w14:paraId="0B0F8317" w14:textId="77777777" w:rsidR="00BC3C8C" w:rsidRDefault="00BC3C8C" w:rsidP="000312AB">
      <w:pPr>
        <w:jc w:val="center"/>
        <w:rPr>
          <w:rFonts w:ascii="Arial" w:hAnsi="Arial" w:cs="Arial"/>
          <w:b/>
          <w:sz w:val="32"/>
          <w:szCs w:val="32"/>
        </w:rPr>
      </w:pPr>
    </w:p>
    <w:p w14:paraId="727986C7" w14:textId="7F788096" w:rsidR="00A870C0" w:rsidRDefault="00DC4D69" w:rsidP="00A35E8B">
      <w:pPr>
        <w:rPr>
          <w:rFonts w:ascii="Arial" w:hAnsi="Arial" w:cs="Arial"/>
          <w:b/>
          <w:sz w:val="24"/>
          <w:szCs w:val="24"/>
        </w:rPr>
      </w:pPr>
      <w:r>
        <w:rPr>
          <w:rFonts w:ascii="Arial" w:hAnsi="Arial" w:cs="Arial"/>
          <w:b/>
          <w:sz w:val="24"/>
          <w:szCs w:val="24"/>
        </w:rPr>
        <w:lastRenderedPageBreak/>
        <w:t>Supplementary f</w:t>
      </w:r>
      <w:r w:rsidR="00A870C0" w:rsidRPr="00607997">
        <w:rPr>
          <w:rFonts w:ascii="Arial" w:hAnsi="Arial" w:cs="Arial"/>
          <w:b/>
          <w:sz w:val="24"/>
          <w:szCs w:val="24"/>
        </w:rPr>
        <w:t>igures</w:t>
      </w:r>
    </w:p>
    <w:p w14:paraId="40F13936" w14:textId="77777777" w:rsidR="00C45539" w:rsidRPr="00607997" w:rsidRDefault="00C45539" w:rsidP="00A35E8B">
      <w:pPr>
        <w:rPr>
          <w:rFonts w:ascii="Arial" w:hAnsi="Arial" w:cs="Arial"/>
          <w:b/>
          <w:sz w:val="24"/>
          <w:szCs w:val="24"/>
        </w:rPr>
      </w:pPr>
    </w:p>
    <w:p w14:paraId="00296E3B" w14:textId="675C9E27" w:rsidR="002E48DA" w:rsidRDefault="00E325D5" w:rsidP="001D7B23">
      <w:pPr>
        <w:jc w:val="center"/>
      </w:pPr>
      <w:r>
        <w:rPr>
          <w:noProof/>
          <w:lang w:eastAsia="en-SG"/>
        </w:rPr>
        <w:drawing>
          <wp:inline distT="0" distB="0" distL="0" distR="0" wp14:anchorId="4564D439" wp14:editId="1178EE5A">
            <wp:extent cx="5036820" cy="2880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6820" cy="2880360"/>
                    </a:xfrm>
                    <a:prstGeom prst="rect">
                      <a:avLst/>
                    </a:prstGeom>
                    <a:noFill/>
                  </pic:spPr>
                </pic:pic>
              </a:graphicData>
            </a:graphic>
          </wp:inline>
        </w:drawing>
      </w:r>
    </w:p>
    <w:p w14:paraId="4C38D150" w14:textId="77777777" w:rsidR="00E3437A" w:rsidRDefault="00E3437A" w:rsidP="001D7B23">
      <w:pPr>
        <w:jc w:val="center"/>
      </w:pPr>
    </w:p>
    <w:p w14:paraId="3AC2CF11" w14:textId="77777777" w:rsidR="00E3437A" w:rsidRDefault="00E3437A" w:rsidP="001D7B23">
      <w:pPr>
        <w:jc w:val="center"/>
      </w:pPr>
    </w:p>
    <w:p w14:paraId="1EB689F5" w14:textId="77777777" w:rsidR="00E3437A" w:rsidRDefault="00E3437A" w:rsidP="001D7B23">
      <w:pPr>
        <w:jc w:val="center"/>
      </w:pPr>
    </w:p>
    <w:p w14:paraId="50768913" w14:textId="45B51AE4" w:rsidR="002E48DA" w:rsidRDefault="006D55CC" w:rsidP="001D7B23">
      <w:pPr>
        <w:jc w:val="center"/>
      </w:pPr>
      <w:r>
        <w:rPr>
          <w:noProof/>
          <w:lang w:eastAsia="en-SG"/>
        </w:rPr>
        <w:drawing>
          <wp:anchor distT="0" distB="0" distL="114300" distR="114300" simplePos="0" relativeHeight="251673600" behindDoc="1" locked="0" layoutInCell="1" allowOverlap="1" wp14:anchorId="547DC6C7" wp14:editId="4FD56475">
            <wp:simplePos x="0" y="0"/>
            <wp:positionH relativeFrom="column">
              <wp:posOffset>1350010</wp:posOffset>
            </wp:positionH>
            <wp:positionV relativeFrom="paragraph">
              <wp:posOffset>71755</wp:posOffset>
            </wp:positionV>
            <wp:extent cx="2901315" cy="3599815"/>
            <wp:effectExtent l="0" t="0" r="0" b="635"/>
            <wp:wrapTight wrapText="bothSides">
              <wp:wrapPolygon edited="0">
                <wp:start x="0" y="0"/>
                <wp:lineTo x="0" y="21490"/>
                <wp:lineTo x="21416" y="21490"/>
                <wp:lineTo x="2141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1315" cy="3599815"/>
                    </a:xfrm>
                    <a:prstGeom prst="rect">
                      <a:avLst/>
                    </a:prstGeom>
                    <a:noFill/>
                  </pic:spPr>
                </pic:pic>
              </a:graphicData>
            </a:graphic>
            <wp14:sizeRelH relativeFrom="margin">
              <wp14:pctWidth>0</wp14:pctWidth>
            </wp14:sizeRelH>
            <wp14:sizeRelV relativeFrom="margin">
              <wp14:pctHeight>0</wp14:pctHeight>
            </wp14:sizeRelV>
          </wp:anchor>
        </w:drawing>
      </w:r>
    </w:p>
    <w:p w14:paraId="6E758E38" w14:textId="0EA75D5B" w:rsidR="002E48DA" w:rsidRDefault="002E48DA" w:rsidP="001D7B23">
      <w:pPr>
        <w:jc w:val="center"/>
      </w:pPr>
    </w:p>
    <w:p w14:paraId="2EDDED49" w14:textId="77777777" w:rsidR="002E48DA" w:rsidRDefault="002E48DA" w:rsidP="001D7B23">
      <w:pPr>
        <w:jc w:val="center"/>
      </w:pPr>
    </w:p>
    <w:p w14:paraId="12E4D593" w14:textId="77777777" w:rsidR="002E48DA" w:rsidRDefault="002E48DA" w:rsidP="001D7B23">
      <w:pPr>
        <w:jc w:val="center"/>
      </w:pPr>
    </w:p>
    <w:p w14:paraId="5C3FE729" w14:textId="527E92B8" w:rsidR="007E21C0" w:rsidRPr="007E21C0" w:rsidRDefault="007E21C0" w:rsidP="007E21C0"/>
    <w:p w14:paraId="1A9404C9" w14:textId="77777777" w:rsidR="00B57173" w:rsidRDefault="007E21C0" w:rsidP="007E21C0">
      <w:pPr>
        <w:tabs>
          <w:tab w:val="left" w:pos="4002"/>
        </w:tabs>
        <w:jc w:val="center"/>
      </w:pPr>
      <w:r>
        <w:rPr>
          <w:noProof/>
          <w:lang w:eastAsia="en-SG"/>
        </w:rPr>
        <w:lastRenderedPageBreak/>
        <w:drawing>
          <wp:inline distT="0" distB="0" distL="0" distR="0" wp14:anchorId="5C56CC16" wp14:editId="08E05C82">
            <wp:extent cx="5699760" cy="90754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9760" cy="9075420"/>
                    </a:xfrm>
                    <a:prstGeom prst="rect">
                      <a:avLst/>
                    </a:prstGeom>
                    <a:noFill/>
                  </pic:spPr>
                </pic:pic>
              </a:graphicData>
            </a:graphic>
          </wp:inline>
        </w:drawing>
      </w:r>
      <w:r>
        <w:rPr>
          <w:noProof/>
          <w:lang w:eastAsia="en-SG"/>
        </w:rPr>
        <w:lastRenderedPageBreak/>
        <w:drawing>
          <wp:inline distT="0" distB="0" distL="0" distR="0" wp14:anchorId="2249AC03" wp14:editId="675EF816">
            <wp:extent cx="4280400" cy="54000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a:extLst>
                        <a:ext uri="{28A0092B-C50C-407E-A947-70E740481C1C}">
                          <a14:useLocalDpi xmlns:a14="http://schemas.microsoft.com/office/drawing/2010/main" val="0"/>
                        </a:ext>
                      </a:extLst>
                    </a:blip>
                    <a:srcRect l="2694"/>
                    <a:stretch/>
                  </pic:blipFill>
                  <pic:spPr bwMode="auto">
                    <a:xfrm>
                      <a:off x="0" y="0"/>
                      <a:ext cx="4280400" cy="54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n-SG"/>
        </w:rPr>
        <w:lastRenderedPageBreak/>
        <w:drawing>
          <wp:inline distT="0" distB="0" distL="0" distR="0" wp14:anchorId="0AAB74F3" wp14:editId="6EB23FF4">
            <wp:extent cx="5661660" cy="7886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1660" cy="7886700"/>
                    </a:xfrm>
                    <a:prstGeom prst="rect">
                      <a:avLst/>
                    </a:prstGeom>
                    <a:noFill/>
                  </pic:spPr>
                </pic:pic>
              </a:graphicData>
            </a:graphic>
          </wp:inline>
        </w:drawing>
      </w:r>
    </w:p>
    <w:p w14:paraId="3B885448" w14:textId="77777777" w:rsidR="007E21C0" w:rsidRDefault="007E21C0" w:rsidP="007E21C0">
      <w:pPr>
        <w:tabs>
          <w:tab w:val="left" w:pos="4002"/>
        </w:tabs>
        <w:jc w:val="center"/>
      </w:pPr>
    </w:p>
    <w:p w14:paraId="78163002" w14:textId="77777777" w:rsidR="007E21C0" w:rsidRDefault="007E21C0" w:rsidP="007E21C0">
      <w:pPr>
        <w:tabs>
          <w:tab w:val="left" w:pos="4002"/>
        </w:tabs>
        <w:jc w:val="center"/>
      </w:pPr>
    </w:p>
    <w:p w14:paraId="063CC579" w14:textId="77777777" w:rsidR="007E21C0" w:rsidRDefault="007E21C0" w:rsidP="007E21C0">
      <w:pPr>
        <w:tabs>
          <w:tab w:val="left" w:pos="4002"/>
        </w:tabs>
        <w:jc w:val="center"/>
      </w:pPr>
      <w:r>
        <w:rPr>
          <w:noProof/>
          <w:lang w:eastAsia="en-SG"/>
        </w:rPr>
        <w:lastRenderedPageBreak/>
        <w:drawing>
          <wp:inline distT="0" distB="0" distL="0" distR="0" wp14:anchorId="474C5DE4" wp14:editId="57BABD2F">
            <wp:extent cx="5349240" cy="76581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9240" cy="7658100"/>
                    </a:xfrm>
                    <a:prstGeom prst="rect">
                      <a:avLst/>
                    </a:prstGeom>
                    <a:noFill/>
                  </pic:spPr>
                </pic:pic>
              </a:graphicData>
            </a:graphic>
          </wp:inline>
        </w:drawing>
      </w:r>
      <w:r>
        <w:rPr>
          <w:noProof/>
          <w:lang w:eastAsia="en-SG"/>
        </w:rPr>
        <w:lastRenderedPageBreak/>
        <w:drawing>
          <wp:inline distT="0" distB="0" distL="0" distR="0" wp14:anchorId="31F8873F" wp14:editId="26694731">
            <wp:extent cx="5996940" cy="87325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96940" cy="8732520"/>
                    </a:xfrm>
                    <a:prstGeom prst="rect">
                      <a:avLst/>
                    </a:prstGeom>
                    <a:noFill/>
                  </pic:spPr>
                </pic:pic>
              </a:graphicData>
            </a:graphic>
          </wp:inline>
        </w:drawing>
      </w:r>
    </w:p>
    <w:p w14:paraId="784478B0" w14:textId="77777777" w:rsidR="00416758" w:rsidRDefault="00416758" w:rsidP="007E21C0">
      <w:pPr>
        <w:tabs>
          <w:tab w:val="left" w:pos="4002"/>
        </w:tabs>
        <w:jc w:val="center"/>
      </w:pPr>
    </w:p>
    <w:p w14:paraId="5E33B74E" w14:textId="77777777" w:rsidR="00D008B6" w:rsidRDefault="00D008B6" w:rsidP="007E21C0">
      <w:pPr>
        <w:tabs>
          <w:tab w:val="left" w:pos="4002"/>
        </w:tabs>
        <w:jc w:val="center"/>
      </w:pPr>
    </w:p>
    <w:p w14:paraId="010C1E48" w14:textId="77777777" w:rsidR="00D008B6" w:rsidRDefault="00D008B6" w:rsidP="007E21C0">
      <w:pPr>
        <w:tabs>
          <w:tab w:val="left" w:pos="4002"/>
        </w:tabs>
        <w:jc w:val="center"/>
      </w:pPr>
    </w:p>
    <w:p w14:paraId="48F255B2" w14:textId="77777777" w:rsidR="00D008B6" w:rsidRDefault="00D008B6" w:rsidP="007E21C0">
      <w:pPr>
        <w:tabs>
          <w:tab w:val="left" w:pos="4002"/>
        </w:tabs>
        <w:jc w:val="center"/>
      </w:pPr>
    </w:p>
    <w:p w14:paraId="13CE6795" w14:textId="77777777" w:rsidR="00D008B6" w:rsidRDefault="00D008B6" w:rsidP="007E21C0">
      <w:pPr>
        <w:tabs>
          <w:tab w:val="left" w:pos="4002"/>
        </w:tabs>
        <w:jc w:val="center"/>
      </w:pPr>
    </w:p>
    <w:p w14:paraId="70687CDE" w14:textId="77777777" w:rsidR="00D008B6" w:rsidRDefault="00D008B6" w:rsidP="007E21C0">
      <w:pPr>
        <w:tabs>
          <w:tab w:val="left" w:pos="4002"/>
        </w:tabs>
        <w:jc w:val="center"/>
      </w:pPr>
    </w:p>
    <w:p w14:paraId="4D903DF9" w14:textId="70D00C53" w:rsidR="000312AB" w:rsidRPr="000312AB" w:rsidRDefault="000312AB" w:rsidP="000312AB">
      <w:pPr>
        <w:tabs>
          <w:tab w:val="left" w:pos="4002"/>
        </w:tabs>
        <w:rPr>
          <w:sz w:val="36"/>
          <w:szCs w:val="36"/>
        </w:rPr>
      </w:pPr>
      <w:r>
        <w:rPr>
          <w:sz w:val="36"/>
          <w:szCs w:val="36"/>
        </w:rPr>
        <w:t xml:space="preserve">                        </w:t>
      </w:r>
      <w:r w:rsidRPr="000312AB">
        <w:rPr>
          <w:sz w:val="36"/>
          <w:szCs w:val="36"/>
        </w:rPr>
        <w:t>Supplementary Fig. 8</w:t>
      </w:r>
    </w:p>
    <w:p w14:paraId="31A65D30" w14:textId="77777777" w:rsidR="000312AB" w:rsidRDefault="000312AB" w:rsidP="007E21C0">
      <w:pPr>
        <w:tabs>
          <w:tab w:val="left" w:pos="4002"/>
        </w:tabs>
        <w:jc w:val="center"/>
      </w:pPr>
    </w:p>
    <w:p w14:paraId="64707976" w14:textId="393F505E" w:rsidR="007E21C0" w:rsidRDefault="000312AB" w:rsidP="007E21C0">
      <w:pPr>
        <w:tabs>
          <w:tab w:val="left" w:pos="4002"/>
        </w:tabs>
        <w:jc w:val="center"/>
      </w:pPr>
      <w:r w:rsidRPr="000312AB">
        <w:rPr>
          <w:noProof/>
          <w:lang w:eastAsia="en-SG"/>
        </w:rPr>
        <w:drawing>
          <wp:inline distT="0" distB="0" distL="0" distR="0" wp14:anchorId="4CFB03BC" wp14:editId="54CB181D">
            <wp:extent cx="3628572" cy="3571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628572" cy="3571429"/>
                    </a:xfrm>
                    <a:prstGeom prst="rect">
                      <a:avLst/>
                    </a:prstGeom>
                  </pic:spPr>
                </pic:pic>
              </a:graphicData>
            </a:graphic>
          </wp:inline>
        </w:drawing>
      </w:r>
    </w:p>
    <w:p w14:paraId="49F0A126" w14:textId="77777777" w:rsidR="007E21C0" w:rsidRPr="007E21C0" w:rsidRDefault="007E21C0" w:rsidP="007E21C0"/>
    <w:p w14:paraId="2F62FD42" w14:textId="77777777" w:rsidR="007E21C0" w:rsidRPr="007E21C0" w:rsidRDefault="007E21C0" w:rsidP="007E21C0"/>
    <w:p w14:paraId="039A8746" w14:textId="77777777" w:rsidR="007E21C0" w:rsidRPr="007E21C0" w:rsidRDefault="007E21C0" w:rsidP="007E21C0"/>
    <w:p w14:paraId="5A44480B" w14:textId="77777777" w:rsidR="007E21C0" w:rsidRPr="007E21C0" w:rsidRDefault="007E21C0" w:rsidP="007E21C0"/>
    <w:p w14:paraId="088CB002" w14:textId="77777777" w:rsidR="007E21C0" w:rsidRPr="007E21C0" w:rsidRDefault="007E21C0" w:rsidP="007E21C0"/>
    <w:p w14:paraId="1848E052" w14:textId="77777777" w:rsidR="007E21C0" w:rsidRPr="007E21C0" w:rsidRDefault="007E21C0" w:rsidP="007E21C0"/>
    <w:p w14:paraId="3ED267FB" w14:textId="77777777" w:rsidR="007E21C0" w:rsidRPr="007E21C0" w:rsidRDefault="007E21C0" w:rsidP="007E21C0"/>
    <w:p w14:paraId="7AEC21A0" w14:textId="6453FDE8" w:rsidR="00845073" w:rsidRDefault="007E21C0" w:rsidP="00474D8D">
      <w:pPr>
        <w:spacing w:after="0"/>
        <w:jc w:val="center"/>
        <w:rPr>
          <w:rFonts w:ascii="Times New Roman" w:hAnsi="Times New Roman" w:cs="Times New Roman"/>
          <w:b/>
          <w:sz w:val="24"/>
          <w:szCs w:val="24"/>
        </w:rPr>
      </w:pPr>
      <w:r>
        <w:rPr>
          <w:noProof/>
          <w:lang w:eastAsia="en-SG"/>
        </w:rPr>
        <w:lastRenderedPageBreak/>
        <w:drawing>
          <wp:inline distT="0" distB="0" distL="0" distR="0" wp14:anchorId="41AE70E6" wp14:editId="7E7D980E">
            <wp:extent cx="4957200" cy="9086400"/>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57200" cy="9086400"/>
                    </a:xfrm>
                    <a:prstGeom prst="rect">
                      <a:avLst/>
                    </a:prstGeom>
                    <a:noFill/>
                  </pic:spPr>
                </pic:pic>
              </a:graphicData>
            </a:graphic>
          </wp:inline>
        </w:drawing>
      </w:r>
    </w:p>
    <w:p w14:paraId="31E85A2D" w14:textId="77777777" w:rsidR="00845073" w:rsidRPr="00474D8D" w:rsidRDefault="00845073" w:rsidP="00845073">
      <w:pPr>
        <w:spacing w:after="0"/>
        <w:jc w:val="center"/>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lastRenderedPageBreak/>
        <w:t>Legend to Supplementary tables and figures</w:t>
      </w:r>
    </w:p>
    <w:p w14:paraId="39D83E80" w14:textId="77777777" w:rsidR="00845073" w:rsidRPr="00474D8D" w:rsidRDefault="00845073" w:rsidP="00845073">
      <w:pPr>
        <w:spacing w:after="0"/>
        <w:jc w:val="center"/>
        <w:rPr>
          <w:rFonts w:ascii="Times New Roman" w:hAnsi="Times New Roman" w:cs="Times New Roman"/>
          <w:b/>
          <w:color w:val="000000" w:themeColor="text1"/>
          <w:sz w:val="24"/>
          <w:szCs w:val="24"/>
        </w:rPr>
      </w:pPr>
    </w:p>
    <w:p w14:paraId="37E27949" w14:textId="77777777" w:rsidR="00415C17" w:rsidRPr="00474D8D" w:rsidRDefault="006E361F" w:rsidP="00415C17">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table 1</w:t>
      </w:r>
      <w:r w:rsidR="00415C17" w:rsidRPr="00474D8D">
        <w:rPr>
          <w:rFonts w:ascii="Times New Roman" w:hAnsi="Times New Roman" w:cs="Times New Roman"/>
          <w:b/>
          <w:color w:val="000000" w:themeColor="text1"/>
          <w:sz w:val="24"/>
          <w:szCs w:val="24"/>
        </w:rPr>
        <w:t>: Conditional SNP-SNP interaction analysis</w:t>
      </w:r>
    </w:p>
    <w:p w14:paraId="0653B59F" w14:textId="378B0B57" w:rsidR="00415C17" w:rsidRPr="00474D8D" w:rsidRDefault="00415C17" w:rsidP="00415C17">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Conditional SNP association analyses were conducted SNPs with FDR &lt; 0.05 using PLINK conditional on the SNP rs3219175. The genomic position within chromosome 19, allele 1 (</w:t>
      </w:r>
      <w:r w:rsidR="00E50B9A" w:rsidRPr="00474D8D">
        <w:rPr>
          <w:rFonts w:ascii="Times New Roman" w:hAnsi="Times New Roman" w:cs="Times New Roman"/>
          <w:color w:val="000000" w:themeColor="text1"/>
          <w:sz w:val="24"/>
          <w:szCs w:val="24"/>
        </w:rPr>
        <w:t>minor allele</w:t>
      </w:r>
      <w:r w:rsidRPr="00474D8D">
        <w:rPr>
          <w:rFonts w:ascii="Times New Roman" w:hAnsi="Times New Roman" w:cs="Times New Roman"/>
          <w:color w:val="000000" w:themeColor="text1"/>
          <w:sz w:val="24"/>
          <w:szCs w:val="24"/>
        </w:rPr>
        <w:t>), the number of samples (n), regressio</w:t>
      </w:r>
      <w:r w:rsidR="00C279AC" w:rsidRPr="00474D8D">
        <w:rPr>
          <w:rFonts w:ascii="Times New Roman" w:hAnsi="Times New Roman" w:cs="Times New Roman"/>
          <w:color w:val="000000" w:themeColor="text1"/>
          <w:sz w:val="24"/>
          <w:szCs w:val="24"/>
        </w:rPr>
        <w:t>n coefficient, standard error, t</w:t>
      </w:r>
      <w:r w:rsidRPr="00474D8D">
        <w:rPr>
          <w:rFonts w:ascii="Times New Roman" w:hAnsi="Times New Roman" w:cs="Times New Roman"/>
          <w:color w:val="000000" w:themeColor="text1"/>
          <w:sz w:val="24"/>
          <w:szCs w:val="24"/>
        </w:rPr>
        <w:t xml:space="preserve"> statistic and the nominal p values are reported in the table.</w:t>
      </w:r>
    </w:p>
    <w:p w14:paraId="546B4EE8" w14:textId="77777777" w:rsidR="00415C17" w:rsidRPr="00474D8D" w:rsidRDefault="00415C17" w:rsidP="00415C17">
      <w:pPr>
        <w:spacing w:after="0" w:line="480" w:lineRule="auto"/>
        <w:jc w:val="both"/>
        <w:rPr>
          <w:rFonts w:ascii="Times New Roman" w:hAnsi="Times New Roman" w:cs="Times New Roman"/>
          <w:color w:val="000000" w:themeColor="text1"/>
          <w:sz w:val="24"/>
          <w:szCs w:val="24"/>
        </w:rPr>
      </w:pPr>
    </w:p>
    <w:p w14:paraId="33BEF253"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w:t>
      </w:r>
      <w:r w:rsidR="006E361F" w:rsidRPr="00474D8D">
        <w:rPr>
          <w:rFonts w:ascii="Times New Roman" w:hAnsi="Times New Roman" w:cs="Times New Roman"/>
          <w:b/>
          <w:color w:val="000000" w:themeColor="text1"/>
          <w:sz w:val="24"/>
          <w:szCs w:val="24"/>
        </w:rPr>
        <w:t xml:space="preserve"> table 2</w:t>
      </w:r>
      <w:r w:rsidRPr="00474D8D">
        <w:rPr>
          <w:rFonts w:ascii="Times New Roman" w:hAnsi="Times New Roman" w:cs="Times New Roman"/>
          <w:b/>
          <w:color w:val="000000" w:themeColor="text1"/>
          <w:sz w:val="24"/>
          <w:szCs w:val="24"/>
        </w:rPr>
        <w:t xml:space="preserve">: RETN associated SNPs in monocyte </w:t>
      </w:r>
      <w:proofErr w:type="spellStart"/>
      <w:r w:rsidRPr="00474D8D">
        <w:rPr>
          <w:rFonts w:ascii="Times New Roman" w:hAnsi="Times New Roman" w:cs="Times New Roman"/>
          <w:b/>
          <w:color w:val="000000" w:themeColor="text1"/>
          <w:sz w:val="24"/>
          <w:szCs w:val="24"/>
        </w:rPr>
        <w:t>eQTLs</w:t>
      </w:r>
      <w:proofErr w:type="spellEnd"/>
    </w:p>
    <w:p w14:paraId="3F631E0A" w14:textId="77777777" w:rsidR="00845073" w:rsidRPr="00474D8D" w:rsidRDefault="00845073" w:rsidP="00845073">
      <w:pPr>
        <w:spacing w:after="0"/>
        <w:rPr>
          <w:rFonts w:ascii="Times New Roman" w:hAnsi="Times New Roman" w:cs="Times New Roman"/>
          <w:b/>
          <w:color w:val="000000" w:themeColor="text1"/>
          <w:sz w:val="24"/>
          <w:szCs w:val="24"/>
        </w:rPr>
      </w:pPr>
    </w:p>
    <w:p w14:paraId="58842ED6"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Monocyte specific genome-wide </w:t>
      </w:r>
      <w:proofErr w:type="spellStart"/>
      <w:r w:rsidRPr="00474D8D">
        <w:rPr>
          <w:rFonts w:ascii="Times New Roman" w:hAnsi="Times New Roman" w:cs="Times New Roman"/>
          <w:color w:val="000000" w:themeColor="text1"/>
          <w:sz w:val="24"/>
          <w:szCs w:val="24"/>
        </w:rPr>
        <w:t>eQTLs</w:t>
      </w:r>
      <w:proofErr w:type="spellEnd"/>
      <w:r w:rsidRPr="00474D8D">
        <w:rPr>
          <w:rFonts w:ascii="Times New Roman" w:hAnsi="Times New Roman" w:cs="Times New Roman"/>
          <w:color w:val="000000" w:themeColor="text1"/>
          <w:sz w:val="24"/>
          <w:szCs w:val="24"/>
        </w:rPr>
        <w:t xml:space="preserve"> for Asian populations have been published by Raj.et.al</w:t>
      </w:r>
      <w:r w:rsidR="00DE2CCC" w:rsidRPr="00474D8D">
        <w:rPr>
          <w:rFonts w:ascii="Times New Roman" w:hAnsi="Times New Roman" w:cs="Times New Roman"/>
          <w:color w:val="000000" w:themeColor="text1"/>
          <w:sz w:val="24"/>
          <w:szCs w:val="24"/>
        </w:rPr>
        <w:t xml:space="preserve"> </w:t>
      </w:r>
      <w:r w:rsidR="006C4D6D" w:rsidRPr="00474D8D">
        <w:rPr>
          <w:rFonts w:ascii="Times New Roman" w:hAnsi="Times New Roman" w:cs="Times New Roman"/>
          <w:color w:val="000000" w:themeColor="text1"/>
          <w:sz w:val="24"/>
          <w:szCs w:val="24"/>
        </w:rPr>
        <w:t>(21)</w:t>
      </w:r>
      <w:r w:rsidRPr="00474D8D">
        <w:rPr>
          <w:rFonts w:ascii="Times New Roman" w:hAnsi="Times New Roman" w:cs="Times New Roman"/>
          <w:color w:val="000000" w:themeColor="text1"/>
          <w:sz w:val="24"/>
          <w:szCs w:val="24"/>
        </w:rPr>
        <w:t xml:space="preserve">. RETN specific </w:t>
      </w:r>
      <w:proofErr w:type="spellStart"/>
      <w:r w:rsidRPr="00474D8D">
        <w:rPr>
          <w:rFonts w:ascii="Times New Roman" w:hAnsi="Times New Roman" w:cs="Times New Roman"/>
          <w:color w:val="000000" w:themeColor="text1"/>
          <w:sz w:val="24"/>
          <w:szCs w:val="24"/>
        </w:rPr>
        <w:t>eQTLs</w:t>
      </w:r>
      <w:proofErr w:type="spellEnd"/>
      <w:r w:rsidRPr="00474D8D">
        <w:rPr>
          <w:rFonts w:ascii="Times New Roman" w:hAnsi="Times New Roman" w:cs="Times New Roman"/>
          <w:color w:val="000000" w:themeColor="text1"/>
          <w:sz w:val="24"/>
          <w:szCs w:val="24"/>
        </w:rPr>
        <w:t xml:space="preserve"> for monocytes were extracted from the data provided by the authors</w:t>
      </w:r>
    </w:p>
    <w:p w14:paraId="6205B356"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0FBDE427" w14:textId="77777777" w:rsidR="00845073" w:rsidRPr="00474D8D" w:rsidRDefault="00845073" w:rsidP="00845073">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 xml:space="preserve">Supplementary table 3: Oligonucleotides for probes used in EMSA experiments.  </w:t>
      </w:r>
    </w:p>
    <w:p w14:paraId="02E673F4"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The table lists the sequence of oligonucleotides used as radiolabelled probes or as cold competitors in EMSA. RETN promoter specific probe sequences represent the two allelic variants of a 25 </w:t>
      </w:r>
      <w:proofErr w:type="spellStart"/>
      <w:r w:rsidRPr="00474D8D">
        <w:rPr>
          <w:rFonts w:ascii="Times New Roman" w:hAnsi="Times New Roman" w:cs="Times New Roman"/>
          <w:color w:val="000000" w:themeColor="text1"/>
          <w:sz w:val="24"/>
          <w:szCs w:val="24"/>
        </w:rPr>
        <w:t>bp</w:t>
      </w:r>
      <w:proofErr w:type="spellEnd"/>
      <w:r w:rsidRPr="00474D8D">
        <w:rPr>
          <w:rFonts w:ascii="Times New Roman" w:hAnsi="Times New Roman" w:cs="Times New Roman"/>
          <w:color w:val="000000" w:themeColor="text1"/>
          <w:sz w:val="24"/>
          <w:szCs w:val="24"/>
        </w:rPr>
        <w:t xml:space="preserve"> region containing the rs3219175G/A, rs34861192G/A SNP. Consensus and mutant oligonucleotides are based on consensus binding sites of the respective transcription factor. They were purchased either as predesigned versions directly from the manufacturer or were custom made based on a previous publication</w:t>
      </w:r>
    </w:p>
    <w:p w14:paraId="5DFB0B90"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02F78ECD" w14:textId="77777777" w:rsidR="00845073" w:rsidRPr="00474D8D" w:rsidRDefault="00845073" w:rsidP="00845073">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table 4: TRANSFACT analysis of rs3219175G/A</w:t>
      </w:r>
    </w:p>
    <w:p w14:paraId="6E2DFFC6"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In silico prediction of transcription factors with allele-specific binding to rs3219175G/A. The web based prediction tool TRANSFAC was used to identify potential transcription factor binding sites in RETN promoter affected by the allelic variations of rs3219175G/A. Only sites predicted with a binding score greater than core score &gt;0.9 and full score &gt;0.8 were </w:t>
      </w:r>
      <w:r w:rsidRPr="00474D8D">
        <w:rPr>
          <w:rFonts w:ascii="Times New Roman" w:hAnsi="Times New Roman" w:cs="Times New Roman"/>
          <w:color w:val="000000" w:themeColor="text1"/>
          <w:sz w:val="24"/>
          <w:szCs w:val="24"/>
        </w:rPr>
        <w:lastRenderedPageBreak/>
        <w:t>selected for further analysis. Yellow shaded rows indicate transcription factors highly specific for G allele.</w:t>
      </w:r>
    </w:p>
    <w:p w14:paraId="75BA3CB3"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04B793D8" w14:textId="77777777" w:rsidR="00845073" w:rsidRPr="00474D8D" w:rsidRDefault="00845073" w:rsidP="00845073">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 xml:space="preserve">Supplementary table 5: Summary of the methylation status at </w:t>
      </w:r>
      <w:proofErr w:type="spellStart"/>
      <w:r w:rsidRPr="00474D8D">
        <w:rPr>
          <w:rFonts w:ascii="Times New Roman" w:hAnsi="Times New Roman" w:cs="Times New Roman"/>
          <w:b/>
          <w:color w:val="000000" w:themeColor="text1"/>
          <w:sz w:val="24"/>
          <w:szCs w:val="24"/>
        </w:rPr>
        <w:t>CpG</w:t>
      </w:r>
      <w:proofErr w:type="spellEnd"/>
      <w:r w:rsidRPr="00474D8D">
        <w:rPr>
          <w:rFonts w:ascii="Times New Roman" w:hAnsi="Times New Roman" w:cs="Times New Roman"/>
          <w:b/>
          <w:color w:val="000000" w:themeColor="text1"/>
          <w:sz w:val="24"/>
          <w:szCs w:val="24"/>
        </w:rPr>
        <w:t xml:space="preserve"> sites within RETN promoter</w:t>
      </w:r>
    </w:p>
    <w:p w14:paraId="11AF7FD7" w14:textId="2E8F69A0" w:rsidR="00CE6975" w:rsidRPr="00474D8D" w:rsidRDefault="00845073" w:rsidP="00845073">
      <w:pPr>
        <w:spacing w:after="0" w:line="480" w:lineRule="auto"/>
        <w:jc w:val="both"/>
        <w:rPr>
          <w:rFonts w:ascii="Times New Roman" w:eastAsia="SimSu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Multiple clones (total 93) were sequenced for 22 donors (12 Donors: G-C-G, 5 Donors: G-G-G and 5 Donors: A-G-A) covering all three major haplotypes G-C-G, G-G-G and A-G-A, sequencing data was used to </w:t>
      </w:r>
      <w:r w:rsidRPr="00474D8D">
        <w:rPr>
          <w:rFonts w:ascii="Times New Roman" w:eastAsia="SimSun" w:hAnsi="Times New Roman" w:cs="Times New Roman"/>
          <w:color w:val="000000" w:themeColor="text1"/>
          <w:sz w:val="24"/>
          <w:szCs w:val="24"/>
        </w:rPr>
        <w:t xml:space="preserve">compute percentage of </w:t>
      </w:r>
      <w:r w:rsidR="00CE6975" w:rsidRPr="00474D8D">
        <w:rPr>
          <w:rFonts w:ascii="Times New Roman" w:eastAsia="SimSun" w:hAnsi="Times New Roman" w:cs="Times New Roman"/>
          <w:color w:val="000000" w:themeColor="text1"/>
          <w:sz w:val="24"/>
          <w:szCs w:val="24"/>
        </w:rPr>
        <w:t xml:space="preserve">methylation at each available </w:t>
      </w:r>
      <w:proofErr w:type="spellStart"/>
      <w:r w:rsidR="00CE6975" w:rsidRPr="00474D8D">
        <w:rPr>
          <w:rFonts w:ascii="Times New Roman" w:eastAsia="SimSun" w:hAnsi="Times New Roman" w:cs="Times New Roman"/>
          <w:color w:val="000000" w:themeColor="text1"/>
          <w:sz w:val="24"/>
          <w:szCs w:val="24"/>
        </w:rPr>
        <w:t>CpG</w:t>
      </w:r>
      <w:proofErr w:type="spellEnd"/>
      <w:r w:rsidR="00CE6975" w:rsidRPr="00474D8D">
        <w:rPr>
          <w:rFonts w:ascii="Times New Roman" w:eastAsia="SimSun" w:hAnsi="Times New Roman" w:cs="Times New Roman"/>
          <w:color w:val="000000" w:themeColor="text1"/>
          <w:sz w:val="24"/>
          <w:szCs w:val="24"/>
        </w:rPr>
        <w:t xml:space="preserve"> site </w:t>
      </w:r>
      <w:r w:rsidRPr="00474D8D">
        <w:rPr>
          <w:rFonts w:ascii="Times New Roman" w:eastAsia="SimSun" w:hAnsi="Times New Roman" w:cs="Times New Roman"/>
          <w:color w:val="000000" w:themeColor="text1"/>
          <w:sz w:val="24"/>
          <w:szCs w:val="24"/>
        </w:rPr>
        <w:t xml:space="preserve">for each donor as the fraction of the clones which were methylation positive over all the clones. </w:t>
      </w:r>
      <w:r w:rsidR="00CE6975" w:rsidRPr="00474D8D">
        <w:rPr>
          <w:rFonts w:ascii="Times New Roman" w:eastAsia="SimSun" w:hAnsi="Times New Roman" w:cs="Times New Roman"/>
          <w:color w:val="000000" w:themeColor="text1"/>
          <w:sz w:val="24"/>
          <w:szCs w:val="24"/>
        </w:rPr>
        <w:t xml:space="preserve">Average of </w:t>
      </w:r>
      <w:r w:rsidR="009712BC" w:rsidRPr="00474D8D">
        <w:rPr>
          <w:rFonts w:ascii="Times New Roman" w:eastAsia="SimSun" w:hAnsi="Times New Roman" w:cs="Times New Roman"/>
          <w:color w:val="000000" w:themeColor="text1"/>
          <w:sz w:val="24"/>
          <w:szCs w:val="24"/>
        </w:rPr>
        <w:t xml:space="preserve">RETN </w:t>
      </w:r>
      <w:r w:rsidR="00CE6975" w:rsidRPr="00474D8D">
        <w:rPr>
          <w:rFonts w:ascii="Times New Roman" w:eastAsia="SimSun" w:hAnsi="Times New Roman" w:cs="Times New Roman"/>
          <w:color w:val="000000" w:themeColor="text1"/>
          <w:sz w:val="24"/>
          <w:szCs w:val="24"/>
        </w:rPr>
        <w:t>promoter methylation was computed using average methyla</w:t>
      </w:r>
      <w:r w:rsidR="004774B0" w:rsidRPr="00474D8D">
        <w:rPr>
          <w:rFonts w:ascii="Times New Roman" w:eastAsia="SimSun" w:hAnsi="Times New Roman" w:cs="Times New Roman"/>
          <w:color w:val="000000" w:themeColor="text1"/>
          <w:sz w:val="24"/>
          <w:szCs w:val="24"/>
        </w:rPr>
        <w:t xml:space="preserve">tion at each available </w:t>
      </w:r>
      <w:proofErr w:type="spellStart"/>
      <w:r w:rsidR="004774B0" w:rsidRPr="00474D8D">
        <w:rPr>
          <w:rFonts w:ascii="Times New Roman" w:eastAsia="SimSun" w:hAnsi="Times New Roman" w:cs="Times New Roman"/>
          <w:color w:val="000000" w:themeColor="text1"/>
          <w:sz w:val="24"/>
          <w:szCs w:val="24"/>
        </w:rPr>
        <w:t>CpG</w:t>
      </w:r>
      <w:proofErr w:type="spellEnd"/>
      <w:r w:rsidR="004774B0" w:rsidRPr="00474D8D">
        <w:rPr>
          <w:rFonts w:ascii="Times New Roman" w:eastAsia="SimSun" w:hAnsi="Times New Roman" w:cs="Times New Roman"/>
          <w:color w:val="000000" w:themeColor="text1"/>
          <w:sz w:val="24"/>
          <w:szCs w:val="24"/>
        </w:rPr>
        <w:t xml:space="preserve"> site</w:t>
      </w:r>
      <w:r w:rsidR="00CE6975" w:rsidRPr="00474D8D">
        <w:rPr>
          <w:rFonts w:ascii="Times New Roman" w:eastAsia="SimSun" w:hAnsi="Times New Roman" w:cs="Times New Roman"/>
          <w:color w:val="000000" w:themeColor="text1"/>
          <w:sz w:val="24"/>
          <w:szCs w:val="24"/>
        </w:rPr>
        <w:t xml:space="preserve"> within the analysed promoter region in all three haplotypes. </w:t>
      </w:r>
      <w:proofErr w:type="spellStart"/>
      <w:r w:rsidR="009F5E79" w:rsidRPr="00474D8D">
        <w:rPr>
          <w:rFonts w:ascii="Times New Roman" w:eastAsia="SimSun" w:hAnsi="Times New Roman" w:cs="Times New Roman"/>
          <w:color w:val="000000" w:themeColor="text1"/>
          <w:sz w:val="24"/>
          <w:szCs w:val="24"/>
        </w:rPr>
        <w:t>Haplotype</w:t>
      </w:r>
      <w:r w:rsidR="009F5E79" w:rsidRPr="00474D8D">
        <w:rPr>
          <w:rFonts w:ascii="Times New Roman" w:eastAsia="SimSun" w:hAnsi="Times New Roman" w:cs="Times New Roman"/>
          <w:color w:val="000000" w:themeColor="text1"/>
          <w:sz w:val="24"/>
          <w:szCs w:val="24"/>
          <w:vertAlign w:val="superscript"/>
        </w:rPr>
        <w:t>a</w:t>
      </w:r>
      <w:proofErr w:type="spellEnd"/>
      <w:r w:rsidR="009F5E79" w:rsidRPr="00474D8D">
        <w:rPr>
          <w:rFonts w:ascii="Times New Roman" w:eastAsia="SimSun" w:hAnsi="Times New Roman" w:cs="Times New Roman"/>
          <w:color w:val="000000" w:themeColor="text1"/>
          <w:sz w:val="24"/>
          <w:szCs w:val="24"/>
        </w:rPr>
        <w:t xml:space="preserve"> represents the status of the allelic states at rs34861192-rs1862513-rs3219175; </w:t>
      </w:r>
      <w:r w:rsidR="009F5E79" w:rsidRPr="00474D8D">
        <w:rPr>
          <w:rFonts w:ascii="Times New Roman" w:hAnsi="Times New Roman" w:cs="Times New Roman"/>
          <w:color w:val="000000" w:themeColor="text1"/>
          <w:sz w:val="24"/>
          <w:szCs w:val="24"/>
        </w:rPr>
        <w:t>t</w:t>
      </w:r>
      <w:r w:rsidR="00A8149E" w:rsidRPr="00474D8D">
        <w:rPr>
          <w:rFonts w:ascii="Times New Roman" w:hAnsi="Times New Roman" w:cs="Times New Roman"/>
          <w:color w:val="000000" w:themeColor="text1"/>
          <w:sz w:val="24"/>
          <w:szCs w:val="24"/>
        </w:rPr>
        <w:t>he “0</w:t>
      </w:r>
      <w:r w:rsidR="00A8149E" w:rsidRPr="00474D8D">
        <w:rPr>
          <w:rFonts w:ascii="Times New Roman" w:hAnsi="Times New Roman" w:cs="Times New Roman"/>
          <w:color w:val="000000" w:themeColor="text1"/>
          <w:sz w:val="24"/>
          <w:szCs w:val="24"/>
          <w:vertAlign w:val="superscript"/>
        </w:rPr>
        <w:t>b</w:t>
      </w:r>
      <w:r w:rsidR="009712BC" w:rsidRPr="00474D8D">
        <w:rPr>
          <w:rFonts w:ascii="Times New Roman" w:hAnsi="Times New Roman" w:cs="Times New Roman"/>
          <w:color w:val="000000" w:themeColor="text1"/>
          <w:sz w:val="24"/>
          <w:szCs w:val="24"/>
        </w:rPr>
        <w:t xml:space="preserve">” in the columns </w:t>
      </w:r>
      <w:r w:rsidR="004774B0" w:rsidRPr="00474D8D">
        <w:rPr>
          <w:rFonts w:ascii="Times New Roman" w:hAnsi="Times New Roman" w:cs="Times New Roman"/>
          <w:color w:val="000000" w:themeColor="text1"/>
          <w:sz w:val="24"/>
          <w:szCs w:val="24"/>
        </w:rPr>
        <w:t>indicates</w:t>
      </w:r>
      <w:r w:rsidR="009712BC" w:rsidRPr="00474D8D">
        <w:rPr>
          <w:rFonts w:ascii="Times New Roman" w:hAnsi="Times New Roman" w:cs="Times New Roman"/>
          <w:color w:val="000000" w:themeColor="text1"/>
          <w:sz w:val="24"/>
          <w:szCs w:val="24"/>
        </w:rPr>
        <w:t xml:space="preserve"> that the </w:t>
      </w:r>
      <w:proofErr w:type="spellStart"/>
      <w:r w:rsidR="009712BC" w:rsidRPr="00474D8D">
        <w:rPr>
          <w:rFonts w:ascii="Times New Roman" w:hAnsi="Times New Roman" w:cs="Times New Roman"/>
          <w:color w:val="000000" w:themeColor="text1"/>
          <w:sz w:val="24"/>
          <w:szCs w:val="24"/>
        </w:rPr>
        <w:t>CpG</w:t>
      </w:r>
      <w:proofErr w:type="spellEnd"/>
      <w:r w:rsidR="009712BC" w:rsidRPr="00474D8D">
        <w:rPr>
          <w:rFonts w:ascii="Times New Roman" w:hAnsi="Times New Roman" w:cs="Times New Roman"/>
          <w:color w:val="000000" w:themeColor="text1"/>
          <w:sz w:val="24"/>
          <w:szCs w:val="24"/>
        </w:rPr>
        <w:t xml:space="preserve"> methylation site is lost due to the change in the allelic state of the SNP. Two of the </w:t>
      </w:r>
      <w:proofErr w:type="spellStart"/>
      <w:r w:rsidR="009712BC" w:rsidRPr="00474D8D">
        <w:rPr>
          <w:rFonts w:ascii="Times New Roman" w:hAnsi="Times New Roman" w:cs="Times New Roman"/>
          <w:color w:val="000000" w:themeColor="text1"/>
          <w:sz w:val="24"/>
          <w:szCs w:val="24"/>
        </w:rPr>
        <w:t>CpG</w:t>
      </w:r>
      <w:proofErr w:type="spellEnd"/>
      <w:r w:rsidR="009712BC" w:rsidRPr="00474D8D">
        <w:rPr>
          <w:rFonts w:ascii="Times New Roman" w:hAnsi="Times New Roman" w:cs="Times New Roman"/>
          <w:color w:val="000000" w:themeColor="text1"/>
          <w:sz w:val="24"/>
          <w:szCs w:val="24"/>
        </w:rPr>
        <w:t xml:space="preserve"> sites, rs34861192 and rs1862513 were thus affected and therefore excluded from the averaged promoter methylation values.</w:t>
      </w:r>
      <w:r w:rsidR="00B0062D" w:rsidRPr="00474D8D">
        <w:rPr>
          <w:rFonts w:ascii="Times New Roman" w:hAnsi="Times New Roman" w:cs="Times New Roman"/>
          <w:color w:val="000000" w:themeColor="text1"/>
        </w:rPr>
        <w:t xml:space="preserve"> </w:t>
      </w:r>
    </w:p>
    <w:p w14:paraId="14C821B1" w14:textId="77777777" w:rsidR="00CE6975" w:rsidRPr="00474D8D" w:rsidRDefault="00CE6975" w:rsidP="00845073">
      <w:pPr>
        <w:spacing w:after="0" w:line="480" w:lineRule="auto"/>
        <w:jc w:val="both"/>
        <w:rPr>
          <w:rFonts w:ascii="Times New Roman" w:eastAsia="SimSun" w:hAnsi="Times New Roman" w:cs="Times New Roman"/>
          <w:color w:val="000000" w:themeColor="text1"/>
          <w:sz w:val="24"/>
          <w:szCs w:val="24"/>
        </w:rPr>
      </w:pPr>
    </w:p>
    <w:p w14:paraId="5CC13AD2" w14:textId="77777777" w:rsidR="00845073" w:rsidRPr="00474D8D" w:rsidRDefault="00845073" w:rsidP="00845073">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 xml:space="preserve">Supplementary table 6: Allelic distribution of RETN associated SNPs </w:t>
      </w:r>
    </w:p>
    <w:p w14:paraId="7BFA7AFA"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Allele frequencies of rs34861192 in three major ethnical groups.  The table displays the frequencies of the G-allele and the T-allele for Caucasian, Han Chinese and Japanese based on 1000 Genome project and Hap Map.</w:t>
      </w:r>
    </w:p>
    <w:p w14:paraId="534CD037"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44DCB083"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1: RETN promoter sequence used for reporter assays</w:t>
      </w:r>
    </w:p>
    <w:p w14:paraId="616C65F5" w14:textId="77777777" w:rsidR="00845073" w:rsidRPr="00474D8D" w:rsidRDefault="00845073" w:rsidP="00845073">
      <w:pPr>
        <w:spacing w:after="0"/>
        <w:rPr>
          <w:rFonts w:ascii="Times New Roman" w:hAnsi="Times New Roman" w:cs="Times New Roman"/>
          <w:b/>
          <w:color w:val="000000" w:themeColor="text1"/>
          <w:sz w:val="24"/>
          <w:szCs w:val="24"/>
        </w:rPr>
      </w:pPr>
    </w:p>
    <w:p w14:paraId="16905614" w14:textId="77777777" w:rsidR="00845073"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The regions 1kB bases upstream of the transcription start site (TSS) (https://genome.ucsc.edu/) of two donors were cloned into the PGL-basic reporter vector. The donors differed in the allelic states of three SNPs rs3219175G/A, rs34861192G/</w:t>
      </w:r>
      <w:proofErr w:type="gramStart"/>
      <w:r w:rsidRPr="00474D8D">
        <w:rPr>
          <w:rFonts w:ascii="Times New Roman" w:hAnsi="Times New Roman" w:cs="Times New Roman"/>
          <w:color w:val="000000" w:themeColor="text1"/>
          <w:sz w:val="24"/>
          <w:szCs w:val="24"/>
        </w:rPr>
        <w:t>A and</w:t>
      </w:r>
      <w:proofErr w:type="gramEnd"/>
      <w:r w:rsidRPr="00474D8D">
        <w:rPr>
          <w:rFonts w:ascii="Times New Roman" w:hAnsi="Times New Roman" w:cs="Times New Roman"/>
          <w:color w:val="000000" w:themeColor="text1"/>
          <w:sz w:val="24"/>
          <w:szCs w:val="24"/>
        </w:rPr>
        <w:t xml:space="preserve"> </w:t>
      </w:r>
      <w:r w:rsidRPr="00474D8D">
        <w:rPr>
          <w:rFonts w:ascii="Times New Roman" w:hAnsi="Times New Roman" w:cs="Times New Roman"/>
          <w:color w:val="000000" w:themeColor="text1"/>
          <w:sz w:val="24"/>
          <w:szCs w:val="24"/>
        </w:rPr>
        <w:lastRenderedPageBreak/>
        <w:t xml:space="preserve">rs1862513C/G. The location of is indicated (italic, small, red and underlined). The transcription start site is indicated by ‘TSS’ followed by luciferase gene. The primer sets for genotyping are indicated by blue arrows and primers for bisulphite assisted sequencing red arrows. </w:t>
      </w:r>
    </w:p>
    <w:p w14:paraId="69870C27" w14:textId="77777777" w:rsidR="00D903DA" w:rsidRPr="00474D8D" w:rsidRDefault="00D903DA" w:rsidP="00845073">
      <w:pPr>
        <w:spacing w:after="0" w:line="480" w:lineRule="auto"/>
        <w:jc w:val="both"/>
        <w:rPr>
          <w:rFonts w:ascii="Times New Roman" w:hAnsi="Times New Roman" w:cs="Times New Roman"/>
          <w:color w:val="000000" w:themeColor="text1"/>
          <w:sz w:val="24"/>
          <w:szCs w:val="24"/>
        </w:rPr>
      </w:pPr>
    </w:p>
    <w:p w14:paraId="3A42EA39"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2: Reporter assay of modified RETN promoter</w:t>
      </w:r>
    </w:p>
    <w:p w14:paraId="342065F3" w14:textId="77777777" w:rsidR="00845073" w:rsidRPr="00474D8D" w:rsidRDefault="00845073" w:rsidP="00845073">
      <w:pPr>
        <w:spacing w:after="0"/>
        <w:rPr>
          <w:rFonts w:ascii="Times New Roman" w:hAnsi="Times New Roman" w:cs="Times New Roman"/>
          <w:b/>
          <w:color w:val="000000" w:themeColor="text1"/>
          <w:sz w:val="24"/>
          <w:szCs w:val="24"/>
        </w:rPr>
      </w:pPr>
    </w:p>
    <w:p w14:paraId="59F3DB91"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In order to determine the influence of rs1862513 on the RETN expression its allelic state in the two RETN promoter fragments was swapped by CRISPR. Four luciferase reporter vectors containing the G-C-G, G-G-G, A-G-A and A-C-A haplotype (rs34861192-rs1862513-rs3219175) and the pGL3-basic vector were co-transfected with </w:t>
      </w:r>
      <w:proofErr w:type="spellStart"/>
      <w:r w:rsidRPr="00474D8D">
        <w:rPr>
          <w:rFonts w:ascii="Times New Roman" w:hAnsi="Times New Roman" w:cs="Times New Roman"/>
          <w:color w:val="000000" w:themeColor="text1"/>
          <w:sz w:val="24"/>
          <w:szCs w:val="24"/>
        </w:rPr>
        <w:t>pTK</w:t>
      </w:r>
      <w:proofErr w:type="spellEnd"/>
      <w:r w:rsidRPr="00474D8D">
        <w:rPr>
          <w:rFonts w:ascii="Times New Roman" w:hAnsi="Times New Roman" w:cs="Times New Roman"/>
          <w:color w:val="000000" w:themeColor="text1"/>
          <w:sz w:val="24"/>
          <w:szCs w:val="24"/>
        </w:rPr>
        <w:t xml:space="preserve">-RL (internal control vector harbouring </w:t>
      </w:r>
      <w:proofErr w:type="spellStart"/>
      <w:r w:rsidRPr="00474D8D">
        <w:rPr>
          <w:rFonts w:ascii="Times New Roman" w:hAnsi="Times New Roman" w:cs="Times New Roman"/>
          <w:color w:val="000000" w:themeColor="text1"/>
          <w:sz w:val="24"/>
          <w:szCs w:val="24"/>
        </w:rPr>
        <w:t>renilla</w:t>
      </w:r>
      <w:proofErr w:type="spellEnd"/>
      <w:r w:rsidRPr="00474D8D">
        <w:rPr>
          <w:rFonts w:ascii="Times New Roman" w:hAnsi="Times New Roman" w:cs="Times New Roman"/>
          <w:color w:val="000000" w:themeColor="text1"/>
          <w:sz w:val="24"/>
          <w:szCs w:val="24"/>
        </w:rPr>
        <w:t xml:space="preserve"> luciferase gene) into U937 cells. The bar chart indicates the firefly luminescence normalized by </w:t>
      </w:r>
      <w:proofErr w:type="spellStart"/>
      <w:r w:rsidRPr="00474D8D">
        <w:rPr>
          <w:rFonts w:ascii="Times New Roman" w:hAnsi="Times New Roman" w:cs="Times New Roman"/>
          <w:color w:val="000000" w:themeColor="text1"/>
          <w:sz w:val="24"/>
          <w:szCs w:val="24"/>
        </w:rPr>
        <w:t>renilla</w:t>
      </w:r>
      <w:proofErr w:type="spellEnd"/>
      <w:r w:rsidRPr="00474D8D">
        <w:rPr>
          <w:rFonts w:ascii="Times New Roman" w:hAnsi="Times New Roman" w:cs="Times New Roman"/>
          <w:color w:val="000000" w:themeColor="text1"/>
          <w:sz w:val="24"/>
          <w:szCs w:val="24"/>
        </w:rPr>
        <w:t xml:space="preserve"> luminescence. </w:t>
      </w:r>
    </w:p>
    <w:p w14:paraId="7B3B1DAB"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25EE1AB7" w14:textId="77777777" w:rsidR="00845073" w:rsidRPr="00474D8D" w:rsidRDefault="00845073" w:rsidP="00845073">
      <w:pPr>
        <w:spacing w:after="0" w:line="480" w:lineRule="auto"/>
        <w:jc w:val="both"/>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3: Original EMSA competition and Super-shift data</w:t>
      </w:r>
    </w:p>
    <w:p w14:paraId="3A83A00B"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Section a, b and c of figure 2 was generated based on the EMSA competition and super-shift experimental data shown here. Super-shift assays were carried out with the radiolabelled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consensus probe. Specificity and source of the antibodies against members of the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family are given in table below. Super-shifted bands and bands lost by the antibody treatment are indicated by red and blue arrows, respectively. Validated antibodies used for the super-shift experiments (Fig 2c) are p50 (sc-114), p52 (sc-7386), p65 (sc-8008), c-REL (cs-4727), and RELB (cs-4954). </w:t>
      </w:r>
    </w:p>
    <w:p w14:paraId="669F9D5C"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1464CAAF"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 xml:space="preserve">Supplementary fig. 4: EMSA competition of </w:t>
      </w:r>
      <w:proofErr w:type="spellStart"/>
      <w:r w:rsidRPr="00474D8D">
        <w:rPr>
          <w:rFonts w:ascii="Times New Roman" w:hAnsi="Times New Roman" w:cs="Times New Roman"/>
          <w:b/>
          <w:color w:val="000000" w:themeColor="text1"/>
          <w:sz w:val="24"/>
          <w:szCs w:val="24"/>
        </w:rPr>
        <w:t>NFkB</w:t>
      </w:r>
      <w:proofErr w:type="spellEnd"/>
      <w:r w:rsidRPr="00474D8D">
        <w:rPr>
          <w:rFonts w:ascii="Times New Roman" w:hAnsi="Times New Roman" w:cs="Times New Roman"/>
          <w:b/>
          <w:color w:val="000000" w:themeColor="text1"/>
          <w:sz w:val="24"/>
          <w:szCs w:val="24"/>
        </w:rPr>
        <w:t xml:space="preserve"> family-consensus probes</w:t>
      </w:r>
    </w:p>
    <w:p w14:paraId="79C06381" w14:textId="77777777" w:rsidR="00845073" w:rsidRPr="00474D8D" w:rsidRDefault="00845073" w:rsidP="00845073">
      <w:pPr>
        <w:spacing w:after="0"/>
        <w:rPr>
          <w:rFonts w:ascii="Times New Roman" w:hAnsi="Times New Roman" w:cs="Times New Roman"/>
          <w:b/>
          <w:color w:val="000000" w:themeColor="text1"/>
          <w:sz w:val="24"/>
          <w:szCs w:val="24"/>
        </w:rPr>
      </w:pPr>
    </w:p>
    <w:p w14:paraId="64B63416"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EMSA competition of radiolabelled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consensus probes with unlabelled G and A probes of rs34861192 are shown. Nuclear extracts from primary monocytes were exposed to radio-</w:t>
      </w:r>
      <w:r w:rsidRPr="00474D8D">
        <w:rPr>
          <w:rFonts w:ascii="Times New Roman" w:hAnsi="Times New Roman" w:cs="Times New Roman"/>
          <w:color w:val="000000" w:themeColor="text1"/>
          <w:sz w:val="24"/>
          <w:szCs w:val="24"/>
        </w:rPr>
        <w:lastRenderedPageBreak/>
        <w:t xml:space="preserve">labelled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consensus alone (lane 1) or together with increasing amounts of unlabelled A probe (lane 4 – 7) or G probe of rs34861192G (lane 8 – 11). Competition with an excess of </w:t>
      </w:r>
      <w:proofErr w:type="spellStart"/>
      <w:r w:rsidRPr="00474D8D">
        <w:rPr>
          <w:rFonts w:ascii="Times New Roman" w:hAnsi="Times New Roman" w:cs="Times New Roman"/>
          <w:color w:val="000000" w:themeColor="text1"/>
          <w:sz w:val="24"/>
          <w:szCs w:val="24"/>
        </w:rPr>
        <w:t>unlabeled</w:t>
      </w:r>
      <w:proofErr w:type="spellEnd"/>
      <w:r w:rsidRPr="00474D8D">
        <w:rPr>
          <w:rFonts w:ascii="Times New Roman" w:hAnsi="Times New Roman" w:cs="Times New Roman"/>
          <w:color w:val="000000" w:themeColor="text1"/>
          <w:sz w:val="24"/>
          <w:szCs w:val="24"/>
        </w:rPr>
        <w:t xml:space="preserve">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consensus (lane 2), or a mutated version (lane 3) was carried out as control.</w:t>
      </w:r>
    </w:p>
    <w:p w14:paraId="3CF9234F"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060F28F1"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 xml:space="preserve">Supplementary fig. 5: Validation of </w:t>
      </w:r>
      <w:proofErr w:type="spellStart"/>
      <w:r w:rsidRPr="00474D8D">
        <w:rPr>
          <w:rFonts w:ascii="Times New Roman" w:hAnsi="Times New Roman" w:cs="Times New Roman"/>
          <w:b/>
          <w:color w:val="000000" w:themeColor="text1"/>
          <w:sz w:val="24"/>
          <w:szCs w:val="24"/>
        </w:rPr>
        <w:t>NFkB</w:t>
      </w:r>
      <w:proofErr w:type="spellEnd"/>
      <w:r w:rsidRPr="00474D8D">
        <w:rPr>
          <w:rFonts w:ascii="Times New Roman" w:hAnsi="Times New Roman" w:cs="Times New Roman"/>
          <w:b/>
          <w:color w:val="000000" w:themeColor="text1"/>
          <w:sz w:val="24"/>
          <w:szCs w:val="24"/>
        </w:rPr>
        <w:t xml:space="preserve"> antibodies for super-shift assays</w:t>
      </w:r>
    </w:p>
    <w:p w14:paraId="0EA259B4" w14:textId="77777777" w:rsidR="00845073" w:rsidRPr="00474D8D" w:rsidRDefault="00845073" w:rsidP="00845073">
      <w:pPr>
        <w:spacing w:after="0"/>
        <w:rPr>
          <w:rFonts w:ascii="Times New Roman" w:hAnsi="Times New Roman" w:cs="Times New Roman"/>
          <w:b/>
          <w:color w:val="000000" w:themeColor="text1"/>
          <w:sz w:val="24"/>
          <w:szCs w:val="24"/>
        </w:rPr>
      </w:pPr>
    </w:p>
    <w:p w14:paraId="0558120E"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Super-shift assays were carried out with the radiolabelled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consensus probe. Specificity and source of the antibodies against members of the </w:t>
      </w:r>
      <w:proofErr w:type="spellStart"/>
      <w:r w:rsidRPr="00474D8D">
        <w:rPr>
          <w:rFonts w:ascii="Times New Roman" w:hAnsi="Times New Roman" w:cs="Times New Roman"/>
          <w:color w:val="000000" w:themeColor="text1"/>
          <w:sz w:val="24"/>
          <w:szCs w:val="24"/>
        </w:rPr>
        <w:t>NFkB</w:t>
      </w:r>
      <w:proofErr w:type="spellEnd"/>
      <w:r w:rsidRPr="00474D8D">
        <w:rPr>
          <w:rFonts w:ascii="Times New Roman" w:hAnsi="Times New Roman" w:cs="Times New Roman"/>
          <w:color w:val="000000" w:themeColor="text1"/>
          <w:sz w:val="24"/>
          <w:szCs w:val="24"/>
        </w:rPr>
        <w:t xml:space="preserve"> family are given in table below. Super-shifted bands and bands lost by the antibody treatment are indicated by red and blue arrows, respectively. Validated antibodies used for the super-shift experiments (Fig 2c) are p50 (sc-114), p52 (sc-7386), p65 (sc-8008), c-REL (cs-4727), and RELB (cs-4954). </w:t>
      </w:r>
    </w:p>
    <w:p w14:paraId="1EB95763"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475A4290"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6: Generation of NFKB1 knock out cell lines</w:t>
      </w:r>
    </w:p>
    <w:p w14:paraId="6CB860BB" w14:textId="77777777" w:rsidR="00845073" w:rsidRPr="00474D8D" w:rsidRDefault="00845073" w:rsidP="00845073">
      <w:pPr>
        <w:spacing w:after="0"/>
        <w:rPr>
          <w:rFonts w:ascii="Times New Roman" w:hAnsi="Times New Roman" w:cs="Times New Roman"/>
          <w:b/>
          <w:color w:val="000000" w:themeColor="text1"/>
          <w:sz w:val="24"/>
          <w:szCs w:val="24"/>
        </w:rPr>
      </w:pPr>
    </w:p>
    <w:p w14:paraId="7863DEA4"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(a) Paired guide RNAs (PAM sequences in red) were cloned in a lentiviral vector containing CAS9-GFP, targeting the first exon of NFKB1 gene (b) The virus was produced by co-transfection of packaging and paired gRNAs-CAS9-GFP in HEK293 cells, followed by U937 cell transduction and single cell sorting (c). Expanded single cells clones were for further for the editing at genomic level (Exon 4) by PCR amplification of targeted regions and Sanger sequencing.  Loss of protein level in all four selected clones were verified by western blot, clone 2 and 4 showed the loss of protein level due the editing within exon 1 of NFKB1 gene and were used for experiments described in fig. 2g</w:t>
      </w:r>
    </w:p>
    <w:p w14:paraId="2A612B65"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6CCA983B"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7: RETN promoter and 3’-UTR regions for methylation studies</w:t>
      </w:r>
    </w:p>
    <w:p w14:paraId="333F07C5" w14:textId="77777777" w:rsidR="00845073" w:rsidRPr="00474D8D" w:rsidRDefault="00845073" w:rsidP="00845073">
      <w:pPr>
        <w:spacing w:after="0"/>
        <w:rPr>
          <w:rFonts w:ascii="Times New Roman" w:hAnsi="Times New Roman" w:cs="Times New Roman"/>
          <w:b/>
          <w:color w:val="000000" w:themeColor="text1"/>
          <w:sz w:val="24"/>
          <w:szCs w:val="24"/>
        </w:rPr>
      </w:pPr>
    </w:p>
    <w:p w14:paraId="1419DF9E"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 xml:space="preserve">(a) The figure shows a representative example of a </w:t>
      </w:r>
      <w:proofErr w:type="spellStart"/>
      <w:r w:rsidRPr="00474D8D">
        <w:rPr>
          <w:rFonts w:ascii="Times New Roman" w:hAnsi="Times New Roman" w:cs="Times New Roman"/>
          <w:color w:val="000000" w:themeColor="text1"/>
          <w:sz w:val="24"/>
          <w:szCs w:val="24"/>
        </w:rPr>
        <w:t>bisulfite</w:t>
      </w:r>
      <w:proofErr w:type="spellEnd"/>
      <w:r w:rsidRPr="00474D8D">
        <w:rPr>
          <w:rFonts w:ascii="Times New Roman" w:hAnsi="Times New Roman" w:cs="Times New Roman"/>
          <w:color w:val="000000" w:themeColor="text1"/>
          <w:sz w:val="24"/>
          <w:szCs w:val="24"/>
        </w:rPr>
        <w:t xml:space="preserve"> conversion of the promoter region. The unconverted (upper sequence) and </w:t>
      </w:r>
      <w:proofErr w:type="spellStart"/>
      <w:r w:rsidRPr="00474D8D">
        <w:rPr>
          <w:rFonts w:ascii="Times New Roman" w:hAnsi="Times New Roman" w:cs="Times New Roman"/>
          <w:color w:val="000000" w:themeColor="text1"/>
          <w:sz w:val="24"/>
          <w:szCs w:val="24"/>
        </w:rPr>
        <w:t>bis</w:t>
      </w:r>
      <w:proofErr w:type="spellEnd"/>
      <w:r w:rsidRPr="00474D8D">
        <w:rPr>
          <w:rFonts w:ascii="Times New Roman" w:hAnsi="Times New Roman" w:cs="Times New Roman"/>
          <w:color w:val="000000" w:themeColor="text1"/>
          <w:sz w:val="24"/>
          <w:szCs w:val="24"/>
        </w:rPr>
        <w:t xml:space="preserve">-converted (lower sequence) RETN promoter fragment was aligned for the detection of C-methylation. All </w:t>
      </w:r>
      <w:proofErr w:type="spellStart"/>
      <w:r w:rsidRPr="00474D8D">
        <w:rPr>
          <w:rFonts w:ascii="Times New Roman" w:hAnsi="Times New Roman" w:cs="Times New Roman"/>
          <w:color w:val="000000" w:themeColor="text1"/>
          <w:sz w:val="24"/>
          <w:szCs w:val="24"/>
        </w:rPr>
        <w:t>CpG</w:t>
      </w:r>
      <w:proofErr w:type="spellEnd"/>
      <w:r w:rsidRPr="00474D8D">
        <w:rPr>
          <w:rFonts w:ascii="Times New Roman" w:hAnsi="Times New Roman" w:cs="Times New Roman"/>
          <w:color w:val="000000" w:themeColor="text1"/>
          <w:sz w:val="24"/>
          <w:szCs w:val="24"/>
        </w:rPr>
        <w:t xml:space="preserve">-SNPs are </w:t>
      </w:r>
      <w:r w:rsidRPr="00474D8D">
        <w:rPr>
          <w:rFonts w:ascii="Times New Roman" w:hAnsi="Times New Roman" w:cs="Times New Roman"/>
          <w:color w:val="000000" w:themeColor="text1"/>
          <w:sz w:val="24"/>
          <w:szCs w:val="24"/>
        </w:rPr>
        <w:lastRenderedPageBreak/>
        <w:t xml:space="preserve">indicated by arrows, PCR amplification primers and </w:t>
      </w:r>
      <w:proofErr w:type="spellStart"/>
      <w:r w:rsidRPr="00474D8D">
        <w:rPr>
          <w:rFonts w:ascii="Times New Roman" w:hAnsi="Times New Roman" w:cs="Times New Roman"/>
          <w:color w:val="000000" w:themeColor="text1"/>
          <w:sz w:val="24"/>
          <w:szCs w:val="24"/>
        </w:rPr>
        <w:t>CpG</w:t>
      </w:r>
      <w:proofErr w:type="spellEnd"/>
      <w:r w:rsidRPr="00474D8D">
        <w:rPr>
          <w:rFonts w:ascii="Times New Roman" w:hAnsi="Times New Roman" w:cs="Times New Roman"/>
          <w:color w:val="000000" w:themeColor="text1"/>
          <w:sz w:val="24"/>
          <w:szCs w:val="24"/>
        </w:rPr>
        <w:t xml:space="preserve"> are highlighted in light blue and red, respectively. (b) Alignment of unconverted (upper sequence) and </w:t>
      </w:r>
      <w:proofErr w:type="spellStart"/>
      <w:r w:rsidRPr="00474D8D">
        <w:rPr>
          <w:rFonts w:ascii="Times New Roman" w:hAnsi="Times New Roman" w:cs="Times New Roman"/>
          <w:color w:val="000000" w:themeColor="text1"/>
          <w:sz w:val="24"/>
          <w:szCs w:val="24"/>
        </w:rPr>
        <w:t>bis</w:t>
      </w:r>
      <w:proofErr w:type="spellEnd"/>
      <w:r w:rsidRPr="00474D8D">
        <w:rPr>
          <w:rFonts w:ascii="Times New Roman" w:hAnsi="Times New Roman" w:cs="Times New Roman"/>
          <w:color w:val="000000" w:themeColor="text1"/>
          <w:sz w:val="24"/>
          <w:szCs w:val="24"/>
        </w:rPr>
        <w:t>-converted (lower sequence) RETN 3’-UTR fragments.</w:t>
      </w:r>
    </w:p>
    <w:p w14:paraId="3FA47C14"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p>
    <w:p w14:paraId="2438D047" w14:textId="77777777" w:rsidR="00845073" w:rsidRPr="00474D8D" w:rsidRDefault="00845073" w:rsidP="00845073">
      <w:pPr>
        <w:spacing w:after="0"/>
        <w:rPr>
          <w:rFonts w:ascii="Times New Roman" w:eastAsia="Times New Roman" w:hAnsi="Times New Roman" w:cs="Times New Roman"/>
          <w:b/>
          <w:color w:val="000000" w:themeColor="text1"/>
          <w:sz w:val="24"/>
          <w:szCs w:val="24"/>
          <w:lang w:eastAsia="en-SG"/>
        </w:rPr>
      </w:pPr>
      <w:r w:rsidRPr="00474D8D">
        <w:rPr>
          <w:rFonts w:ascii="Times New Roman" w:hAnsi="Times New Roman" w:cs="Times New Roman"/>
          <w:b/>
          <w:color w:val="000000" w:themeColor="text1"/>
          <w:sz w:val="24"/>
          <w:szCs w:val="24"/>
        </w:rPr>
        <w:t>Supplementary fig. 8:</w:t>
      </w:r>
      <w:r w:rsidRPr="00474D8D">
        <w:rPr>
          <w:rFonts w:ascii="Times New Roman" w:eastAsia="Times New Roman" w:hAnsi="Times New Roman" w:cs="Times New Roman"/>
          <w:b/>
          <w:color w:val="000000" w:themeColor="text1"/>
          <w:sz w:val="24"/>
          <w:szCs w:val="24"/>
          <w:lang w:eastAsia="en-SG"/>
        </w:rPr>
        <w:t xml:space="preserve"> </w:t>
      </w:r>
      <w:proofErr w:type="spellStart"/>
      <w:r w:rsidRPr="00474D8D">
        <w:rPr>
          <w:rFonts w:ascii="Times New Roman" w:eastAsia="Times New Roman" w:hAnsi="Times New Roman" w:cs="Times New Roman"/>
          <w:b/>
          <w:color w:val="000000" w:themeColor="text1"/>
          <w:sz w:val="24"/>
          <w:szCs w:val="24"/>
          <w:lang w:eastAsia="en-SG"/>
        </w:rPr>
        <w:t>CpG</w:t>
      </w:r>
      <w:proofErr w:type="spellEnd"/>
      <w:r w:rsidRPr="00474D8D">
        <w:rPr>
          <w:rFonts w:ascii="Times New Roman" w:eastAsia="Times New Roman" w:hAnsi="Times New Roman" w:cs="Times New Roman"/>
          <w:b/>
          <w:color w:val="000000" w:themeColor="text1"/>
          <w:sz w:val="24"/>
          <w:szCs w:val="24"/>
          <w:lang w:eastAsia="en-SG"/>
        </w:rPr>
        <w:t xml:space="preserve"> SNP rs1862513 has no significant impact at RETN promoter methylation</w:t>
      </w:r>
    </w:p>
    <w:p w14:paraId="329AF26F" w14:textId="77777777" w:rsidR="00A42BF1" w:rsidRPr="00474D8D" w:rsidRDefault="00A42BF1" w:rsidP="00845073">
      <w:pPr>
        <w:spacing w:after="0"/>
        <w:rPr>
          <w:rFonts w:ascii="Times New Roman" w:eastAsia="Times New Roman" w:hAnsi="Times New Roman" w:cs="Times New Roman"/>
          <w:color w:val="000000" w:themeColor="text1"/>
          <w:sz w:val="24"/>
          <w:szCs w:val="24"/>
          <w:lang w:eastAsia="en-SG"/>
        </w:rPr>
      </w:pPr>
    </w:p>
    <w:p w14:paraId="7D536077" w14:textId="4F9FDA45" w:rsidR="00A42BF1" w:rsidRPr="00474D8D" w:rsidRDefault="00A42BF1" w:rsidP="00A42BF1">
      <w:pPr>
        <w:spacing w:after="0" w:line="480" w:lineRule="auto"/>
        <w:jc w:val="both"/>
        <w:rPr>
          <w:rFonts w:ascii="Times New Roman" w:eastAsia="Times New Roman" w:hAnsi="Times New Roman" w:cs="Times New Roman"/>
          <w:color w:val="000000" w:themeColor="text1"/>
          <w:sz w:val="24"/>
          <w:szCs w:val="24"/>
          <w:lang w:eastAsia="en-SG"/>
        </w:rPr>
      </w:pPr>
      <w:r w:rsidRPr="00474D8D">
        <w:rPr>
          <w:rFonts w:ascii="Times New Roman" w:eastAsia="Times New Roman" w:hAnsi="Times New Roman" w:cs="Times New Roman"/>
          <w:color w:val="000000" w:themeColor="text1"/>
          <w:sz w:val="24"/>
          <w:szCs w:val="24"/>
          <w:lang w:eastAsia="en-SG"/>
        </w:rPr>
        <w:t xml:space="preserve">The </w:t>
      </w:r>
      <w:r w:rsidR="00691CCA" w:rsidRPr="00474D8D">
        <w:rPr>
          <w:rFonts w:ascii="Times New Roman" w:eastAsia="Times New Roman" w:hAnsi="Times New Roman" w:cs="Times New Roman"/>
          <w:color w:val="000000" w:themeColor="text1"/>
          <w:sz w:val="24"/>
          <w:szCs w:val="24"/>
          <w:lang w:eastAsia="en-SG"/>
        </w:rPr>
        <w:t xml:space="preserve">figure is based on the data presented </w:t>
      </w:r>
      <w:r w:rsidRPr="00474D8D">
        <w:rPr>
          <w:rFonts w:ascii="Times New Roman" w:eastAsia="Times New Roman" w:hAnsi="Times New Roman" w:cs="Times New Roman"/>
          <w:color w:val="000000" w:themeColor="text1"/>
          <w:sz w:val="24"/>
          <w:szCs w:val="24"/>
          <w:lang w:eastAsia="en-SG"/>
        </w:rPr>
        <w:t>in supplementary table 5</w:t>
      </w:r>
      <w:r w:rsidR="00691CCA" w:rsidRPr="00474D8D">
        <w:rPr>
          <w:rFonts w:ascii="Times New Roman" w:eastAsia="Times New Roman" w:hAnsi="Times New Roman" w:cs="Times New Roman"/>
          <w:color w:val="000000" w:themeColor="text1"/>
          <w:sz w:val="24"/>
          <w:szCs w:val="24"/>
          <w:lang w:eastAsia="en-SG"/>
        </w:rPr>
        <w:t>. It was</w:t>
      </w:r>
      <w:r w:rsidRPr="00474D8D">
        <w:rPr>
          <w:rFonts w:ascii="Times New Roman" w:eastAsia="Times New Roman" w:hAnsi="Times New Roman" w:cs="Times New Roman"/>
          <w:color w:val="000000" w:themeColor="text1"/>
          <w:sz w:val="24"/>
          <w:szCs w:val="24"/>
          <w:lang w:eastAsia="en-SG"/>
        </w:rPr>
        <w:t xml:space="preserve"> generated using 93 T-A clones from 22 donors </w:t>
      </w:r>
      <w:r w:rsidR="00691CCA" w:rsidRPr="00474D8D">
        <w:rPr>
          <w:rFonts w:ascii="Times New Roman" w:eastAsia="Times New Roman" w:hAnsi="Times New Roman" w:cs="Times New Roman"/>
          <w:color w:val="000000" w:themeColor="text1"/>
          <w:sz w:val="24"/>
          <w:szCs w:val="24"/>
          <w:lang w:eastAsia="en-SG"/>
        </w:rPr>
        <w:t xml:space="preserve">and displays the average percentage of methylation on all available </w:t>
      </w:r>
      <w:proofErr w:type="spellStart"/>
      <w:r w:rsidR="00691CCA" w:rsidRPr="00474D8D">
        <w:rPr>
          <w:rFonts w:ascii="Times New Roman" w:eastAsia="Times New Roman" w:hAnsi="Times New Roman" w:cs="Times New Roman"/>
          <w:color w:val="000000" w:themeColor="text1"/>
          <w:sz w:val="24"/>
          <w:szCs w:val="24"/>
          <w:lang w:eastAsia="en-SG"/>
        </w:rPr>
        <w:t>CpG</w:t>
      </w:r>
      <w:proofErr w:type="spellEnd"/>
      <w:r w:rsidR="00691CCA" w:rsidRPr="00474D8D">
        <w:rPr>
          <w:rFonts w:ascii="Times New Roman" w:eastAsia="Times New Roman" w:hAnsi="Times New Roman" w:cs="Times New Roman"/>
          <w:color w:val="000000" w:themeColor="text1"/>
          <w:sz w:val="24"/>
          <w:szCs w:val="24"/>
          <w:lang w:eastAsia="en-SG"/>
        </w:rPr>
        <w:t xml:space="preserve"> sites of the RETN promotor</w:t>
      </w:r>
      <w:r w:rsidR="00D66BA4" w:rsidRPr="00474D8D">
        <w:rPr>
          <w:rFonts w:ascii="Times New Roman" w:eastAsia="Times New Roman" w:hAnsi="Times New Roman" w:cs="Times New Roman"/>
          <w:color w:val="000000" w:themeColor="text1"/>
          <w:sz w:val="24"/>
          <w:szCs w:val="24"/>
          <w:lang w:eastAsia="en-SG"/>
        </w:rPr>
        <w:t xml:space="preserve"> for the three haplotypes G-C-G, G-G-G and A-G-A (</w:t>
      </w:r>
      <w:bookmarkStart w:id="1" w:name="OLE_LINK1"/>
      <w:r w:rsidR="00D66BA4" w:rsidRPr="00474D8D">
        <w:rPr>
          <w:rFonts w:ascii="Times New Roman" w:eastAsia="Times New Roman" w:hAnsi="Times New Roman" w:cs="Times New Roman"/>
          <w:color w:val="000000" w:themeColor="text1"/>
          <w:sz w:val="24"/>
          <w:szCs w:val="24"/>
          <w:lang w:eastAsia="en-SG"/>
        </w:rPr>
        <w:t>rs34861192-rs1862513-rs3219175</w:t>
      </w:r>
      <w:bookmarkEnd w:id="1"/>
      <w:r w:rsidR="00D66BA4" w:rsidRPr="00474D8D">
        <w:rPr>
          <w:rFonts w:ascii="Times New Roman" w:eastAsia="Times New Roman" w:hAnsi="Times New Roman" w:cs="Times New Roman"/>
          <w:color w:val="000000" w:themeColor="text1"/>
          <w:sz w:val="24"/>
          <w:szCs w:val="24"/>
          <w:lang w:eastAsia="en-SG"/>
        </w:rPr>
        <w:t>)</w:t>
      </w:r>
      <w:r w:rsidRPr="00474D8D">
        <w:rPr>
          <w:rFonts w:ascii="Times New Roman" w:eastAsia="Times New Roman" w:hAnsi="Times New Roman" w:cs="Times New Roman"/>
          <w:color w:val="000000" w:themeColor="text1"/>
          <w:sz w:val="24"/>
          <w:szCs w:val="24"/>
          <w:lang w:eastAsia="en-SG"/>
        </w:rPr>
        <w:t xml:space="preserve">. </w:t>
      </w:r>
      <w:r w:rsidR="00D66BA4" w:rsidRPr="00474D8D">
        <w:rPr>
          <w:rFonts w:ascii="Times New Roman" w:eastAsia="Times New Roman" w:hAnsi="Times New Roman" w:cs="Times New Roman"/>
          <w:color w:val="000000" w:themeColor="text1"/>
          <w:sz w:val="24"/>
          <w:szCs w:val="24"/>
          <w:lang w:eastAsia="en-SG"/>
        </w:rPr>
        <w:t>N</w:t>
      </w:r>
      <w:r w:rsidRPr="00474D8D">
        <w:rPr>
          <w:rFonts w:ascii="Times New Roman" w:eastAsia="Times New Roman" w:hAnsi="Times New Roman" w:cs="Times New Roman"/>
          <w:color w:val="000000" w:themeColor="text1"/>
          <w:sz w:val="24"/>
          <w:szCs w:val="24"/>
          <w:lang w:eastAsia="en-SG"/>
        </w:rPr>
        <w:t xml:space="preserve">o significant difference in average promoter methylation </w:t>
      </w:r>
      <w:r w:rsidR="00D66BA4" w:rsidRPr="00474D8D">
        <w:rPr>
          <w:rFonts w:ascii="Times New Roman" w:eastAsia="Times New Roman" w:hAnsi="Times New Roman" w:cs="Times New Roman"/>
          <w:color w:val="000000" w:themeColor="text1"/>
          <w:sz w:val="24"/>
          <w:szCs w:val="24"/>
          <w:lang w:eastAsia="en-SG"/>
        </w:rPr>
        <w:t>was observed</w:t>
      </w:r>
      <w:r w:rsidRPr="00474D8D">
        <w:rPr>
          <w:rFonts w:ascii="Times New Roman" w:eastAsia="Times New Roman" w:hAnsi="Times New Roman" w:cs="Times New Roman"/>
          <w:color w:val="000000" w:themeColor="text1"/>
          <w:sz w:val="24"/>
          <w:szCs w:val="24"/>
          <w:lang w:eastAsia="en-SG"/>
        </w:rPr>
        <w:t xml:space="preserve"> between G-C-G and G-G-G</w:t>
      </w:r>
      <w:r w:rsidR="00D66BA4" w:rsidRPr="00474D8D">
        <w:rPr>
          <w:rFonts w:ascii="Times New Roman" w:eastAsia="Times New Roman" w:hAnsi="Times New Roman" w:cs="Times New Roman"/>
          <w:color w:val="000000" w:themeColor="text1"/>
          <w:sz w:val="24"/>
          <w:szCs w:val="24"/>
          <w:lang w:eastAsia="en-SG"/>
        </w:rPr>
        <w:t>,</w:t>
      </w:r>
      <w:r w:rsidRPr="00474D8D">
        <w:rPr>
          <w:rFonts w:ascii="Times New Roman" w:eastAsia="Times New Roman" w:hAnsi="Times New Roman" w:cs="Times New Roman"/>
          <w:color w:val="000000" w:themeColor="text1"/>
          <w:sz w:val="24"/>
          <w:szCs w:val="24"/>
          <w:lang w:eastAsia="en-SG"/>
        </w:rPr>
        <w:t xml:space="preserve"> while significant differences exist between G-C-G vs A-G-A and G-G-G vs A-G-A. </w:t>
      </w:r>
      <w:proofErr w:type="spellStart"/>
      <w:r w:rsidRPr="00474D8D">
        <w:rPr>
          <w:rFonts w:ascii="Times New Roman" w:hAnsi="Times New Roman" w:cs="Times New Roman"/>
          <w:color w:val="000000" w:themeColor="text1"/>
          <w:sz w:val="24"/>
          <w:szCs w:val="24"/>
        </w:rPr>
        <w:t>Kruskal</w:t>
      </w:r>
      <w:proofErr w:type="spellEnd"/>
      <w:r w:rsidRPr="00474D8D">
        <w:rPr>
          <w:rFonts w:ascii="Times New Roman" w:hAnsi="Times New Roman" w:cs="Times New Roman"/>
          <w:color w:val="000000" w:themeColor="text1"/>
          <w:sz w:val="24"/>
          <w:szCs w:val="24"/>
        </w:rPr>
        <w:t>-</w:t>
      </w:r>
      <w:r w:rsidR="000334D5" w:rsidRPr="00474D8D">
        <w:rPr>
          <w:rFonts w:ascii="Times New Roman" w:hAnsi="Times New Roman" w:cs="Times New Roman"/>
          <w:color w:val="000000" w:themeColor="text1"/>
          <w:sz w:val="24"/>
          <w:szCs w:val="24"/>
        </w:rPr>
        <w:t>W</w:t>
      </w:r>
      <w:r w:rsidRPr="00474D8D">
        <w:rPr>
          <w:rFonts w:ascii="Times New Roman" w:hAnsi="Times New Roman" w:cs="Times New Roman"/>
          <w:color w:val="000000" w:themeColor="text1"/>
          <w:sz w:val="24"/>
          <w:szCs w:val="24"/>
        </w:rPr>
        <w:t>allis test was performed for statistical analysis</w:t>
      </w:r>
    </w:p>
    <w:p w14:paraId="02A8B4C3" w14:textId="77777777" w:rsidR="00845073" w:rsidRPr="00474D8D" w:rsidRDefault="00845073" w:rsidP="00845073">
      <w:pPr>
        <w:spacing w:after="0"/>
        <w:rPr>
          <w:rFonts w:ascii="Times New Roman" w:eastAsia="Times New Roman" w:hAnsi="Times New Roman" w:cs="Times New Roman"/>
          <w:color w:val="000000" w:themeColor="text1"/>
          <w:sz w:val="24"/>
          <w:szCs w:val="24"/>
          <w:lang w:eastAsia="en-SG"/>
        </w:rPr>
      </w:pPr>
    </w:p>
    <w:p w14:paraId="1D2B5650" w14:textId="77777777" w:rsidR="00845073" w:rsidRPr="00474D8D" w:rsidRDefault="00845073" w:rsidP="00845073">
      <w:pPr>
        <w:spacing w:after="0"/>
        <w:rPr>
          <w:rFonts w:ascii="Times New Roman" w:hAnsi="Times New Roman" w:cs="Times New Roman"/>
          <w:b/>
          <w:color w:val="000000" w:themeColor="text1"/>
          <w:sz w:val="24"/>
          <w:szCs w:val="24"/>
        </w:rPr>
      </w:pPr>
      <w:r w:rsidRPr="00474D8D">
        <w:rPr>
          <w:rFonts w:ascii="Times New Roman" w:hAnsi="Times New Roman" w:cs="Times New Roman"/>
          <w:b/>
          <w:color w:val="000000" w:themeColor="text1"/>
          <w:sz w:val="24"/>
          <w:szCs w:val="24"/>
        </w:rPr>
        <w:t>Supplementary fig. 9: Gating strategy for the FACS-analysis for various immune cells</w:t>
      </w:r>
    </w:p>
    <w:p w14:paraId="229AFAC2" w14:textId="77777777" w:rsidR="00845073" w:rsidRPr="00474D8D" w:rsidRDefault="00845073" w:rsidP="00845073">
      <w:pPr>
        <w:spacing w:after="0"/>
        <w:rPr>
          <w:rFonts w:ascii="Times New Roman" w:hAnsi="Times New Roman" w:cs="Times New Roman"/>
          <w:b/>
          <w:color w:val="000000" w:themeColor="text1"/>
          <w:sz w:val="24"/>
          <w:szCs w:val="24"/>
        </w:rPr>
      </w:pPr>
    </w:p>
    <w:p w14:paraId="2E9297BB" w14:textId="77777777" w:rsidR="00845073" w:rsidRPr="00474D8D" w:rsidRDefault="00845073" w:rsidP="00845073">
      <w:pPr>
        <w:spacing w:after="0" w:line="480" w:lineRule="auto"/>
        <w:jc w:val="both"/>
        <w:rPr>
          <w:rFonts w:ascii="Times New Roman" w:hAnsi="Times New Roman" w:cs="Times New Roman"/>
          <w:color w:val="000000" w:themeColor="text1"/>
          <w:sz w:val="24"/>
          <w:szCs w:val="24"/>
        </w:rPr>
      </w:pPr>
      <w:r w:rsidRPr="00474D8D">
        <w:rPr>
          <w:rFonts w:ascii="Times New Roman" w:hAnsi="Times New Roman" w:cs="Times New Roman"/>
          <w:color w:val="000000" w:themeColor="text1"/>
          <w:sz w:val="24"/>
          <w:szCs w:val="24"/>
        </w:rPr>
        <w:t>RBC-lysed whole blood samples were stained with LIVE/DEAD Fixable Aqua Viability Dye followed by a cocktail of 7 antibodies including anti-FCERI (AER-37), anti-CD123 (6H6) anti-CD14 (61D3), anti-CD16 (3G8), anti-HLA-DR (L243), anti-CD1c (L161), and anti-</w:t>
      </w:r>
      <w:proofErr w:type="spellStart"/>
      <w:r w:rsidRPr="00474D8D">
        <w:rPr>
          <w:rFonts w:ascii="Times New Roman" w:hAnsi="Times New Roman" w:cs="Times New Roman"/>
          <w:color w:val="000000" w:themeColor="text1"/>
          <w:sz w:val="24"/>
          <w:szCs w:val="24"/>
        </w:rPr>
        <w:t>IgE</w:t>
      </w:r>
      <w:proofErr w:type="spellEnd"/>
      <w:r w:rsidRPr="00474D8D">
        <w:rPr>
          <w:rFonts w:ascii="Times New Roman" w:hAnsi="Times New Roman" w:cs="Times New Roman"/>
          <w:color w:val="000000" w:themeColor="text1"/>
          <w:sz w:val="24"/>
          <w:szCs w:val="24"/>
        </w:rPr>
        <w:t xml:space="preserve"> (MB10-5C4) </w:t>
      </w:r>
      <w:proofErr w:type="spellStart"/>
      <w:r w:rsidRPr="00474D8D">
        <w:rPr>
          <w:rFonts w:ascii="Times New Roman" w:hAnsi="Times New Roman" w:cs="Times New Roman"/>
          <w:color w:val="000000" w:themeColor="text1"/>
          <w:sz w:val="24"/>
          <w:szCs w:val="24"/>
        </w:rPr>
        <w:t>mAb</w:t>
      </w:r>
      <w:proofErr w:type="spellEnd"/>
      <w:r w:rsidRPr="00474D8D">
        <w:rPr>
          <w:rFonts w:ascii="Times New Roman" w:hAnsi="Times New Roman" w:cs="Times New Roman"/>
          <w:color w:val="000000" w:themeColor="text1"/>
          <w:sz w:val="24"/>
          <w:szCs w:val="24"/>
        </w:rPr>
        <w:t xml:space="preserve">. Typically, a total of 300,000 - 400,000 events were acquired for each sample. Gating shows the stepwise separation of PBMC, </w:t>
      </w:r>
      <w:proofErr w:type="spellStart"/>
      <w:r w:rsidRPr="00474D8D">
        <w:rPr>
          <w:rFonts w:ascii="Times New Roman" w:hAnsi="Times New Roman" w:cs="Times New Roman"/>
          <w:color w:val="000000" w:themeColor="text1"/>
          <w:sz w:val="24"/>
          <w:szCs w:val="24"/>
        </w:rPr>
        <w:t>mDC</w:t>
      </w:r>
      <w:proofErr w:type="spellEnd"/>
      <w:r w:rsidRPr="00474D8D">
        <w:rPr>
          <w:rFonts w:ascii="Times New Roman" w:hAnsi="Times New Roman" w:cs="Times New Roman"/>
          <w:color w:val="000000" w:themeColor="text1"/>
          <w:sz w:val="24"/>
          <w:szCs w:val="24"/>
        </w:rPr>
        <w:t xml:space="preserve"> and monocytes respectively. To </w:t>
      </w:r>
      <w:proofErr w:type="spellStart"/>
      <w:r w:rsidRPr="00474D8D">
        <w:rPr>
          <w:rFonts w:ascii="Times New Roman" w:hAnsi="Times New Roman" w:cs="Times New Roman"/>
          <w:color w:val="000000" w:themeColor="text1"/>
          <w:sz w:val="24"/>
          <w:szCs w:val="24"/>
        </w:rPr>
        <w:t>analyze</w:t>
      </w:r>
      <w:proofErr w:type="spellEnd"/>
      <w:r w:rsidRPr="00474D8D">
        <w:rPr>
          <w:rFonts w:ascii="Times New Roman" w:hAnsi="Times New Roman" w:cs="Times New Roman"/>
          <w:color w:val="000000" w:themeColor="text1"/>
          <w:sz w:val="24"/>
          <w:szCs w:val="24"/>
        </w:rPr>
        <w:t xml:space="preserve"> the percentage of </w:t>
      </w:r>
      <w:proofErr w:type="spellStart"/>
      <w:r w:rsidRPr="00474D8D">
        <w:rPr>
          <w:rFonts w:ascii="Times New Roman" w:hAnsi="Times New Roman" w:cs="Times New Roman"/>
          <w:color w:val="000000" w:themeColor="text1"/>
          <w:sz w:val="24"/>
          <w:szCs w:val="24"/>
        </w:rPr>
        <w:t>mDC</w:t>
      </w:r>
      <w:proofErr w:type="spellEnd"/>
      <w:r w:rsidRPr="00474D8D">
        <w:rPr>
          <w:rFonts w:ascii="Times New Roman" w:hAnsi="Times New Roman" w:cs="Times New Roman"/>
          <w:color w:val="000000" w:themeColor="text1"/>
          <w:sz w:val="24"/>
          <w:szCs w:val="24"/>
        </w:rPr>
        <w:t xml:space="preserve"> and monocytes to PBMC, first lymphocyte cellular fractions from whole were gated out followed by </w:t>
      </w:r>
      <w:proofErr w:type="spellStart"/>
      <w:r w:rsidRPr="00474D8D">
        <w:rPr>
          <w:rFonts w:ascii="Times New Roman" w:hAnsi="Times New Roman" w:cs="Times New Roman"/>
          <w:color w:val="000000" w:themeColor="text1"/>
          <w:sz w:val="24"/>
          <w:szCs w:val="24"/>
        </w:rPr>
        <w:t>mDC</w:t>
      </w:r>
      <w:proofErr w:type="spellEnd"/>
      <w:r w:rsidRPr="00474D8D">
        <w:rPr>
          <w:rFonts w:ascii="Times New Roman" w:hAnsi="Times New Roman" w:cs="Times New Roman"/>
          <w:color w:val="000000" w:themeColor="text1"/>
          <w:sz w:val="24"/>
          <w:szCs w:val="24"/>
        </w:rPr>
        <w:t xml:space="preserve"> and monocytes using their respective cell surface markers. </w:t>
      </w:r>
      <w:proofErr w:type="spellStart"/>
      <w:proofErr w:type="gramStart"/>
      <w:r w:rsidRPr="00474D8D">
        <w:rPr>
          <w:rFonts w:ascii="Times New Roman" w:hAnsi="Times New Roman" w:cs="Times New Roman"/>
          <w:color w:val="000000" w:themeColor="text1"/>
          <w:sz w:val="24"/>
          <w:szCs w:val="24"/>
        </w:rPr>
        <w:t>mDC</w:t>
      </w:r>
      <w:proofErr w:type="spellEnd"/>
      <w:proofErr w:type="gramEnd"/>
      <w:r w:rsidRPr="00474D8D">
        <w:rPr>
          <w:rFonts w:ascii="Times New Roman" w:hAnsi="Times New Roman" w:cs="Times New Roman"/>
          <w:color w:val="000000" w:themeColor="text1"/>
          <w:sz w:val="24"/>
          <w:szCs w:val="24"/>
        </w:rPr>
        <w:t xml:space="preserve"> and monocytes shown here are positive for FCERI, CD1c, CD123, HLA-DR and CD14 respectively.</w:t>
      </w:r>
    </w:p>
    <w:p w14:paraId="48D39DB3" w14:textId="77777777" w:rsidR="007E21C0" w:rsidRPr="00976969" w:rsidRDefault="007E21C0" w:rsidP="007E21C0">
      <w:pPr>
        <w:tabs>
          <w:tab w:val="left" w:pos="5760"/>
        </w:tabs>
        <w:rPr>
          <w:rFonts w:ascii="Times New Roman" w:hAnsi="Times New Roman" w:cs="Times New Roman"/>
        </w:rPr>
      </w:pPr>
    </w:p>
    <w:sectPr w:rsidR="007E21C0" w:rsidRPr="009769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5010E" w14:textId="77777777" w:rsidR="00A55495" w:rsidRDefault="00A55495" w:rsidP="007E21C0">
      <w:pPr>
        <w:spacing w:after="0" w:line="240" w:lineRule="auto"/>
      </w:pPr>
      <w:r>
        <w:separator/>
      </w:r>
    </w:p>
  </w:endnote>
  <w:endnote w:type="continuationSeparator" w:id="0">
    <w:p w14:paraId="44BE611F" w14:textId="77777777" w:rsidR="00A55495" w:rsidRDefault="00A55495" w:rsidP="007E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198974" w14:textId="77777777" w:rsidR="00A55495" w:rsidRDefault="00A55495" w:rsidP="007E21C0">
      <w:pPr>
        <w:spacing w:after="0" w:line="240" w:lineRule="auto"/>
      </w:pPr>
      <w:r>
        <w:separator/>
      </w:r>
    </w:p>
  </w:footnote>
  <w:footnote w:type="continuationSeparator" w:id="0">
    <w:p w14:paraId="7FD3FDDB" w14:textId="77777777" w:rsidR="00A55495" w:rsidRDefault="00A55495" w:rsidP="007E21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58A"/>
    <w:rsid w:val="000000A3"/>
    <w:rsid w:val="000312AB"/>
    <w:rsid w:val="000334D5"/>
    <w:rsid w:val="000637AB"/>
    <w:rsid w:val="000641CC"/>
    <w:rsid w:val="000C0B2B"/>
    <w:rsid w:val="000C21B3"/>
    <w:rsid w:val="000C7A71"/>
    <w:rsid w:val="000D5A4F"/>
    <w:rsid w:val="000E796A"/>
    <w:rsid w:val="00104B88"/>
    <w:rsid w:val="00155805"/>
    <w:rsid w:val="001B009F"/>
    <w:rsid w:val="001B12E6"/>
    <w:rsid w:val="001D7B23"/>
    <w:rsid w:val="00232CCF"/>
    <w:rsid w:val="0024006E"/>
    <w:rsid w:val="002519AC"/>
    <w:rsid w:val="00252DB4"/>
    <w:rsid w:val="00265124"/>
    <w:rsid w:val="00282B9A"/>
    <w:rsid w:val="00284C7E"/>
    <w:rsid w:val="002A759F"/>
    <w:rsid w:val="002D46AF"/>
    <w:rsid w:val="002E48DA"/>
    <w:rsid w:val="003070C8"/>
    <w:rsid w:val="00307D42"/>
    <w:rsid w:val="00343937"/>
    <w:rsid w:val="003D01A6"/>
    <w:rsid w:val="003F1282"/>
    <w:rsid w:val="00415C17"/>
    <w:rsid w:val="00416758"/>
    <w:rsid w:val="00426838"/>
    <w:rsid w:val="00474D8D"/>
    <w:rsid w:val="004774B0"/>
    <w:rsid w:val="00495EFD"/>
    <w:rsid w:val="004C1ADF"/>
    <w:rsid w:val="004C262A"/>
    <w:rsid w:val="0051207B"/>
    <w:rsid w:val="00583156"/>
    <w:rsid w:val="005844D0"/>
    <w:rsid w:val="0058500C"/>
    <w:rsid w:val="005A3C4D"/>
    <w:rsid w:val="005D3438"/>
    <w:rsid w:val="005D6017"/>
    <w:rsid w:val="005F6814"/>
    <w:rsid w:val="00607997"/>
    <w:rsid w:val="00691CCA"/>
    <w:rsid w:val="00692353"/>
    <w:rsid w:val="006B6D43"/>
    <w:rsid w:val="006C0D38"/>
    <w:rsid w:val="006C4D6D"/>
    <w:rsid w:val="006D55CC"/>
    <w:rsid w:val="006E361F"/>
    <w:rsid w:val="006F71D9"/>
    <w:rsid w:val="00722E65"/>
    <w:rsid w:val="007B3578"/>
    <w:rsid w:val="007B788A"/>
    <w:rsid w:val="007C1ED8"/>
    <w:rsid w:val="007D309D"/>
    <w:rsid w:val="007E21C0"/>
    <w:rsid w:val="007E3553"/>
    <w:rsid w:val="00835F19"/>
    <w:rsid w:val="00841007"/>
    <w:rsid w:val="00845073"/>
    <w:rsid w:val="008B05FD"/>
    <w:rsid w:val="008C6348"/>
    <w:rsid w:val="0096171A"/>
    <w:rsid w:val="00963A93"/>
    <w:rsid w:val="009712BC"/>
    <w:rsid w:val="00973497"/>
    <w:rsid w:val="00973B23"/>
    <w:rsid w:val="00976969"/>
    <w:rsid w:val="009F5E79"/>
    <w:rsid w:val="00A055E8"/>
    <w:rsid w:val="00A33767"/>
    <w:rsid w:val="00A34985"/>
    <w:rsid w:val="00A35E8B"/>
    <w:rsid w:val="00A42BF1"/>
    <w:rsid w:val="00A54F75"/>
    <w:rsid w:val="00A55495"/>
    <w:rsid w:val="00A5702D"/>
    <w:rsid w:val="00A62025"/>
    <w:rsid w:val="00A658E5"/>
    <w:rsid w:val="00A8149E"/>
    <w:rsid w:val="00A870C0"/>
    <w:rsid w:val="00AB4B1C"/>
    <w:rsid w:val="00AD271B"/>
    <w:rsid w:val="00AF7BDA"/>
    <w:rsid w:val="00B0062D"/>
    <w:rsid w:val="00B57173"/>
    <w:rsid w:val="00BB058A"/>
    <w:rsid w:val="00BC3C8C"/>
    <w:rsid w:val="00C14F55"/>
    <w:rsid w:val="00C271B5"/>
    <w:rsid w:val="00C279AC"/>
    <w:rsid w:val="00C36921"/>
    <w:rsid w:val="00C45539"/>
    <w:rsid w:val="00C94D7E"/>
    <w:rsid w:val="00CA0AA0"/>
    <w:rsid w:val="00CB3406"/>
    <w:rsid w:val="00CE6975"/>
    <w:rsid w:val="00CF7DE6"/>
    <w:rsid w:val="00D008B6"/>
    <w:rsid w:val="00D5034D"/>
    <w:rsid w:val="00D66BA4"/>
    <w:rsid w:val="00D726B2"/>
    <w:rsid w:val="00D903DA"/>
    <w:rsid w:val="00D91CDF"/>
    <w:rsid w:val="00DB1F8E"/>
    <w:rsid w:val="00DC4D69"/>
    <w:rsid w:val="00DE2CCC"/>
    <w:rsid w:val="00DE7F90"/>
    <w:rsid w:val="00E325D5"/>
    <w:rsid w:val="00E3437A"/>
    <w:rsid w:val="00E50B9A"/>
    <w:rsid w:val="00E51928"/>
    <w:rsid w:val="00EC5B07"/>
    <w:rsid w:val="00EF276C"/>
    <w:rsid w:val="00F20BBD"/>
    <w:rsid w:val="00F4064C"/>
    <w:rsid w:val="00F50D7D"/>
    <w:rsid w:val="00F93FE4"/>
    <w:rsid w:val="00FB7A4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669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058A"/>
    <w:rPr>
      <w:color w:val="0000FF"/>
      <w:u w:val="single"/>
    </w:rPr>
  </w:style>
  <w:style w:type="paragraph" w:styleId="PlainText">
    <w:name w:val="Plain Text"/>
    <w:basedOn w:val="Normal"/>
    <w:link w:val="PlainTextChar"/>
    <w:uiPriority w:val="99"/>
    <w:unhideWhenUsed/>
    <w:rsid w:val="00BB058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B058A"/>
    <w:rPr>
      <w:rFonts w:ascii="Calibri" w:hAnsi="Calibri"/>
      <w:szCs w:val="21"/>
    </w:rPr>
  </w:style>
  <w:style w:type="paragraph" w:styleId="BalloonText">
    <w:name w:val="Balloon Text"/>
    <w:basedOn w:val="Normal"/>
    <w:link w:val="BalloonTextChar"/>
    <w:uiPriority w:val="99"/>
    <w:semiHidden/>
    <w:unhideWhenUsed/>
    <w:rsid w:val="007E2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C0"/>
    <w:rPr>
      <w:rFonts w:ascii="Tahoma" w:hAnsi="Tahoma" w:cs="Tahoma"/>
      <w:sz w:val="16"/>
      <w:szCs w:val="16"/>
    </w:rPr>
  </w:style>
  <w:style w:type="paragraph" w:styleId="Header">
    <w:name w:val="header"/>
    <w:basedOn w:val="Normal"/>
    <w:link w:val="HeaderChar"/>
    <w:uiPriority w:val="99"/>
    <w:unhideWhenUsed/>
    <w:rsid w:val="007E2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1C0"/>
  </w:style>
  <w:style w:type="paragraph" w:styleId="Footer">
    <w:name w:val="footer"/>
    <w:basedOn w:val="Normal"/>
    <w:link w:val="FooterChar"/>
    <w:uiPriority w:val="99"/>
    <w:unhideWhenUsed/>
    <w:rsid w:val="007E2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1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058A"/>
    <w:rPr>
      <w:color w:val="0000FF"/>
      <w:u w:val="single"/>
    </w:rPr>
  </w:style>
  <w:style w:type="paragraph" w:styleId="PlainText">
    <w:name w:val="Plain Text"/>
    <w:basedOn w:val="Normal"/>
    <w:link w:val="PlainTextChar"/>
    <w:uiPriority w:val="99"/>
    <w:unhideWhenUsed/>
    <w:rsid w:val="00BB058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B058A"/>
    <w:rPr>
      <w:rFonts w:ascii="Calibri" w:hAnsi="Calibri"/>
      <w:szCs w:val="21"/>
    </w:rPr>
  </w:style>
  <w:style w:type="paragraph" w:styleId="BalloonText">
    <w:name w:val="Balloon Text"/>
    <w:basedOn w:val="Normal"/>
    <w:link w:val="BalloonTextChar"/>
    <w:uiPriority w:val="99"/>
    <w:semiHidden/>
    <w:unhideWhenUsed/>
    <w:rsid w:val="007E2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C0"/>
    <w:rPr>
      <w:rFonts w:ascii="Tahoma" w:hAnsi="Tahoma" w:cs="Tahoma"/>
      <w:sz w:val="16"/>
      <w:szCs w:val="16"/>
    </w:rPr>
  </w:style>
  <w:style w:type="paragraph" w:styleId="Header">
    <w:name w:val="header"/>
    <w:basedOn w:val="Normal"/>
    <w:link w:val="HeaderChar"/>
    <w:uiPriority w:val="99"/>
    <w:unhideWhenUsed/>
    <w:rsid w:val="007E2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1C0"/>
  </w:style>
  <w:style w:type="paragraph" w:styleId="Footer">
    <w:name w:val="footer"/>
    <w:basedOn w:val="Normal"/>
    <w:link w:val="FooterChar"/>
    <w:uiPriority w:val="99"/>
    <w:unhideWhenUsed/>
    <w:rsid w:val="007E2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816529">
      <w:bodyDiv w:val="1"/>
      <w:marLeft w:val="0"/>
      <w:marRight w:val="0"/>
      <w:marTop w:val="0"/>
      <w:marBottom w:val="0"/>
      <w:divBdr>
        <w:top w:val="none" w:sz="0" w:space="0" w:color="auto"/>
        <w:left w:val="none" w:sz="0" w:space="0" w:color="auto"/>
        <w:bottom w:val="none" w:sz="0" w:space="0" w:color="auto"/>
        <w:right w:val="none" w:sz="0" w:space="0" w:color="auto"/>
      </w:divBdr>
    </w:div>
    <w:div w:id="1166676936">
      <w:bodyDiv w:val="1"/>
      <w:marLeft w:val="0"/>
      <w:marRight w:val="0"/>
      <w:marTop w:val="0"/>
      <w:marBottom w:val="0"/>
      <w:divBdr>
        <w:top w:val="none" w:sz="0" w:space="0" w:color="auto"/>
        <w:left w:val="none" w:sz="0" w:space="0" w:color="auto"/>
        <w:bottom w:val="none" w:sz="0" w:space="0" w:color="auto"/>
        <w:right w:val="none" w:sz="0" w:space="0" w:color="auto"/>
      </w:divBdr>
    </w:div>
    <w:div w:id="1330013459">
      <w:bodyDiv w:val="1"/>
      <w:marLeft w:val="0"/>
      <w:marRight w:val="0"/>
      <w:marTop w:val="0"/>
      <w:marBottom w:val="0"/>
      <w:divBdr>
        <w:top w:val="none" w:sz="0" w:space="0" w:color="auto"/>
        <w:left w:val="none" w:sz="0" w:space="0" w:color="auto"/>
        <w:bottom w:val="none" w:sz="0" w:space="0" w:color="auto"/>
        <w:right w:val="none" w:sz="0" w:space="0" w:color="auto"/>
      </w:divBdr>
    </w:div>
    <w:div w:id="1660110594">
      <w:bodyDiv w:val="1"/>
      <w:marLeft w:val="0"/>
      <w:marRight w:val="0"/>
      <w:marTop w:val="0"/>
      <w:marBottom w:val="0"/>
      <w:divBdr>
        <w:top w:val="none" w:sz="0" w:space="0" w:color="auto"/>
        <w:left w:val="none" w:sz="0" w:space="0" w:color="auto"/>
        <w:bottom w:val="none" w:sz="0" w:space="0" w:color="auto"/>
        <w:right w:val="none" w:sz="0" w:space="0" w:color="auto"/>
      </w:divBdr>
    </w:div>
    <w:div w:id="1673334535">
      <w:bodyDiv w:val="1"/>
      <w:marLeft w:val="0"/>
      <w:marRight w:val="0"/>
      <w:marTop w:val="0"/>
      <w:marBottom w:val="0"/>
      <w:divBdr>
        <w:top w:val="none" w:sz="0" w:space="0" w:color="auto"/>
        <w:left w:val="none" w:sz="0" w:space="0" w:color="auto"/>
        <w:bottom w:val="none" w:sz="0" w:space="0" w:color="auto"/>
        <w:right w:val="none" w:sz="0" w:space="0" w:color="auto"/>
      </w:divBdr>
    </w:div>
    <w:div w:id="1755585132">
      <w:bodyDiv w:val="1"/>
      <w:marLeft w:val="0"/>
      <w:marRight w:val="0"/>
      <w:marTop w:val="0"/>
      <w:marBottom w:val="0"/>
      <w:divBdr>
        <w:top w:val="none" w:sz="0" w:space="0" w:color="auto"/>
        <w:left w:val="none" w:sz="0" w:space="0" w:color="auto"/>
        <w:bottom w:val="none" w:sz="0" w:space="0" w:color="auto"/>
        <w:right w:val="none" w:sz="0" w:space="0" w:color="auto"/>
      </w:divBdr>
    </w:div>
    <w:div w:id="188170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image" Target="media/image2.emf"/><Relationship Id="rId19" Type="http://schemas.openxmlformats.org/officeDocument/2006/relationships/package" Target="embeddings/Microsoft_Excel_Worksheet6.xlsx"/><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4632C-5E4A-4779-A4C0-5DB6A349B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Pages>
  <Words>1497</Words>
  <Characters>8537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BMSI</dc:creator>
  <cp:lastModifiedBy>BMSI</cp:lastModifiedBy>
  <cp:revision>64</cp:revision>
  <dcterms:created xsi:type="dcterms:W3CDTF">2019-03-11T09:55:00Z</dcterms:created>
  <dcterms:modified xsi:type="dcterms:W3CDTF">2019-04-12T15:16:00Z</dcterms:modified>
</cp:coreProperties>
</file>