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F10" w:rsidRPr="00554F10" w:rsidRDefault="00554F10" w:rsidP="00554F10">
      <w:pPr>
        <w:spacing w:after="200" w:line="48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554F10">
        <w:rPr>
          <w:rFonts w:ascii="Times New Roman" w:eastAsia="Times New Roman" w:hAnsi="Times New Roman" w:cs="Times New Roman"/>
          <w:sz w:val="40"/>
          <w:szCs w:val="40"/>
        </w:rPr>
        <w:t xml:space="preserve">Q </w:t>
      </w:r>
      <w:proofErr w:type="gramStart"/>
      <w:r w:rsidRPr="00554F10">
        <w:rPr>
          <w:rFonts w:ascii="Times New Roman" w:eastAsia="Times New Roman" w:hAnsi="Times New Roman" w:cs="Times New Roman"/>
          <w:sz w:val="40"/>
          <w:szCs w:val="40"/>
        </w:rPr>
        <w:t>Fever</w:t>
      </w:r>
      <w:proofErr w:type="gramEnd"/>
      <w:r w:rsidRPr="00554F10">
        <w:rPr>
          <w:rFonts w:ascii="Times New Roman" w:eastAsia="Times New Roman" w:hAnsi="Times New Roman" w:cs="Times New Roman"/>
          <w:sz w:val="40"/>
          <w:szCs w:val="40"/>
        </w:rPr>
        <w:t xml:space="preserve"> Endocarditis in Iran</w:t>
      </w:r>
    </w:p>
    <w:p w:rsidR="00554F10" w:rsidRPr="00554F10" w:rsidRDefault="00554F10" w:rsidP="00554F10">
      <w:pPr>
        <w:spacing w:after="200" w:line="48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4F10">
        <w:rPr>
          <w:rFonts w:ascii="Times New Roman" w:eastAsia="Times New Roman" w:hAnsi="Times New Roman" w:cs="Times New Roman"/>
          <w:sz w:val="28"/>
          <w:szCs w:val="28"/>
        </w:rPr>
        <w:t>Running title: Q fever Endocarditis in Iran</w:t>
      </w:r>
    </w:p>
    <w:p w:rsidR="00554F10" w:rsidRPr="00554F10" w:rsidRDefault="00554F10" w:rsidP="00554F10">
      <w:pPr>
        <w:spacing w:after="200" w:line="480" w:lineRule="auto"/>
        <w:jc w:val="both"/>
        <w:rPr>
          <w:rFonts w:ascii="Times New Roman" w:eastAsia="Calibri" w:hAnsi="Times New Roman" w:cs="Times New Roman"/>
        </w:rPr>
      </w:pPr>
      <w:r w:rsidRPr="00554F10">
        <w:rPr>
          <w:rFonts w:ascii="Times New Roman" w:eastAsia="Calibri" w:hAnsi="Times New Roman" w:cs="Times New Roman"/>
        </w:rPr>
        <w:t>Pardis Moradnejad</w:t>
      </w:r>
      <w:r w:rsidRPr="00554F10">
        <w:rPr>
          <w:rFonts w:ascii="Times New Roman" w:eastAsia="Calibri" w:hAnsi="Times New Roman" w:cs="Times New Roman"/>
          <w:vertAlign w:val="superscript"/>
        </w:rPr>
        <w:t>1</w:t>
      </w:r>
      <w:r w:rsidRPr="00554F10">
        <w:rPr>
          <w:rFonts w:ascii="Times New Roman" w:eastAsia="Calibri" w:hAnsi="Times New Roman" w:cs="Times New Roman"/>
        </w:rPr>
        <w:t>, Saber Esmaeili</w:t>
      </w:r>
      <w:r w:rsidRPr="00554F10">
        <w:rPr>
          <w:rFonts w:ascii="Times New Roman" w:eastAsia="Calibri" w:hAnsi="Times New Roman" w:cs="Times New Roman"/>
          <w:vertAlign w:val="superscript"/>
        </w:rPr>
        <w:t>2,3,4</w:t>
      </w:r>
      <w:r w:rsidRPr="00554F10">
        <w:rPr>
          <w:rFonts w:ascii="Times New Roman" w:eastAsia="Calibri" w:hAnsi="Times New Roman" w:cs="Times New Roman"/>
        </w:rPr>
        <w:t xml:space="preserve">, </w:t>
      </w:r>
      <w:proofErr w:type="spellStart"/>
      <w:r w:rsidRPr="00554F10">
        <w:rPr>
          <w:rFonts w:ascii="Times New Roman" w:eastAsia="Calibri" w:hAnsi="Times New Roman" w:cs="Times New Roman"/>
        </w:rPr>
        <w:t>Majid</w:t>
      </w:r>
      <w:proofErr w:type="spellEnd"/>
      <w:r w:rsidRPr="00554F10">
        <w:rPr>
          <w:rFonts w:ascii="Times New Roman" w:eastAsia="Calibri" w:hAnsi="Times New Roman" w:cs="Times New Roman"/>
        </w:rPr>
        <w:t xml:space="preserve"> Maleki</w:t>
      </w:r>
      <w:r w:rsidRPr="00554F10">
        <w:rPr>
          <w:rFonts w:ascii="Times New Roman" w:eastAsia="Calibri" w:hAnsi="Times New Roman" w:cs="Times New Roman"/>
          <w:vertAlign w:val="superscript"/>
        </w:rPr>
        <w:t>1</w:t>
      </w:r>
      <w:r w:rsidRPr="00554F10">
        <w:rPr>
          <w:rFonts w:ascii="Times New Roman" w:eastAsia="Calibri" w:hAnsi="Times New Roman" w:cs="Times New Roman"/>
        </w:rPr>
        <w:t>, Anita Sadeghpour</w:t>
      </w:r>
      <w:r w:rsidRPr="00554F10">
        <w:rPr>
          <w:rFonts w:ascii="Times New Roman" w:eastAsia="Calibri" w:hAnsi="Times New Roman" w:cs="Times New Roman"/>
          <w:vertAlign w:val="superscript"/>
        </w:rPr>
        <w:t>1</w:t>
      </w:r>
      <w:r w:rsidRPr="00554F10">
        <w:rPr>
          <w:rFonts w:ascii="Times New Roman" w:eastAsia="Calibri" w:hAnsi="Times New Roman" w:cs="Times New Roman"/>
        </w:rPr>
        <w:t xml:space="preserve">, </w:t>
      </w:r>
      <w:proofErr w:type="spellStart"/>
      <w:r w:rsidRPr="00554F10">
        <w:rPr>
          <w:rFonts w:ascii="Times New Roman" w:eastAsia="Calibri" w:hAnsi="Times New Roman" w:cs="Times New Roman"/>
        </w:rPr>
        <w:t>Monireh</w:t>
      </w:r>
      <w:proofErr w:type="spellEnd"/>
      <w:r w:rsidRPr="00554F10">
        <w:rPr>
          <w:rFonts w:ascii="Times New Roman" w:eastAsia="Calibri" w:hAnsi="Times New Roman" w:cs="Times New Roman"/>
        </w:rPr>
        <w:t xml:space="preserve"> Kamali</w:t>
      </w:r>
      <w:r w:rsidRPr="00554F10">
        <w:rPr>
          <w:rFonts w:ascii="Times New Roman" w:eastAsia="Calibri" w:hAnsi="Times New Roman" w:cs="Times New Roman"/>
          <w:vertAlign w:val="superscript"/>
        </w:rPr>
        <w:t>1</w:t>
      </w:r>
      <w:r w:rsidRPr="00554F10">
        <w:rPr>
          <w:rFonts w:ascii="Times New Roman" w:eastAsia="Calibri" w:hAnsi="Times New Roman" w:cs="Times New Roman"/>
        </w:rPr>
        <w:t>, Mahdi Rohani</w:t>
      </w:r>
      <w:r w:rsidRPr="00554F10">
        <w:rPr>
          <w:rFonts w:ascii="Times New Roman" w:eastAsia="Calibri" w:hAnsi="Times New Roman" w:cs="Times New Roman"/>
          <w:vertAlign w:val="superscript"/>
        </w:rPr>
        <w:t>2,5</w:t>
      </w:r>
      <w:r w:rsidRPr="00554F10">
        <w:rPr>
          <w:rFonts w:ascii="Times New Roman" w:eastAsia="Calibri" w:hAnsi="Times New Roman" w:cs="Times New Roman"/>
        </w:rPr>
        <w:t>, Ahmad Ghasemi</w:t>
      </w:r>
      <w:r w:rsidRPr="00554F10">
        <w:rPr>
          <w:rFonts w:ascii="Times New Roman" w:eastAsia="Calibri" w:hAnsi="Times New Roman" w:cs="Times New Roman"/>
          <w:vertAlign w:val="superscript"/>
        </w:rPr>
        <w:t>2,3,4</w:t>
      </w:r>
      <w:r w:rsidRPr="00554F10">
        <w:rPr>
          <w:rFonts w:ascii="Times New Roman" w:eastAsia="Calibri" w:hAnsi="Times New Roman" w:cs="Times New Roman"/>
        </w:rPr>
        <w:t>, Fahimeh Bagheri Amiri</w:t>
      </w:r>
      <w:r w:rsidRPr="00554F10">
        <w:rPr>
          <w:rFonts w:ascii="Times New Roman" w:eastAsia="Calibri" w:hAnsi="Times New Roman" w:cs="Times New Roman"/>
          <w:vertAlign w:val="superscript"/>
        </w:rPr>
        <w:t>2</w:t>
      </w:r>
      <w:r w:rsidRPr="00554F10">
        <w:rPr>
          <w:rFonts w:ascii="Times New Roman" w:eastAsia="Calibri" w:hAnsi="Times New Roman" w:cs="Times New Roman"/>
        </w:rPr>
        <w:t>, Hamid Reza Pasha</w:t>
      </w:r>
      <w:r w:rsidRPr="00554F10">
        <w:rPr>
          <w:rFonts w:ascii="Times New Roman" w:eastAsia="Calibri" w:hAnsi="Times New Roman" w:cs="Times New Roman"/>
          <w:vertAlign w:val="superscript"/>
        </w:rPr>
        <w:t>1</w:t>
      </w:r>
      <w:r w:rsidRPr="00554F10">
        <w:rPr>
          <w:rFonts w:ascii="Times New Roman" w:eastAsia="Calibri" w:hAnsi="Times New Roman" w:cs="Times New Roman"/>
        </w:rPr>
        <w:t xml:space="preserve">, </w:t>
      </w:r>
      <w:proofErr w:type="spellStart"/>
      <w:r w:rsidRPr="00554F10">
        <w:rPr>
          <w:rFonts w:ascii="Times New Roman" w:eastAsia="Calibri" w:hAnsi="Times New Roman" w:cs="Times New Roman"/>
        </w:rPr>
        <w:t>Shabnam</w:t>
      </w:r>
      <w:proofErr w:type="spellEnd"/>
      <w:r w:rsidRPr="00554F10">
        <w:rPr>
          <w:rFonts w:ascii="Times New Roman" w:eastAsia="Calibri" w:hAnsi="Times New Roman" w:cs="Times New Roman"/>
        </w:rPr>
        <w:t xml:space="preserve"> Boudagh</w:t>
      </w:r>
      <w:r w:rsidRPr="00554F10">
        <w:rPr>
          <w:rFonts w:ascii="Times New Roman" w:eastAsia="Calibri" w:hAnsi="Times New Roman" w:cs="Times New Roman"/>
          <w:vertAlign w:val="superscript"/>
        </w:rPr>
        <w:t>6</w:t>
      </w:r>
      <w:r w:rsidRPr="00554F10">
        <w:rPr>
          <w:rFonts w:ascii="Times New Roman" w:eastAsia="Calibri" w:hAnsi="Times New Roman" w:cs="Times New Roman"/>
        </w:rPr>
        <w:t xml:space="preserve">, </w:t>
      </w:r>
      <w:proofErr w:type="spellStart"/>
      <w:r w:rsidRPr="00554F10">
        <w:rPr>
          <w:rFonts w:ascii="Times New Roman" w:eastAsia="Calibri" w:hAnsi="Times New Roman" w:cs="Times New Roman"/>
        </w:rPr>
        <w:t>Hooman</w:t>
      </w:r>
      <w:proofErr w:type="spellEnd"/>
      <w:r w:rsidRPr="00554F10">
        <w:rPr>
          <w:rFonts w:ascii="Times New Roman" w:eastAsia="Calibri" w:hAnsi="Times New Roman" w:cs="Times New Roman"/>
        </w:rPr>
        <w:t xml:space="preserve"> </w:t>
      </w:r>
      <w:proofErr w:type="spellStart"/>
      <w:r w:rsidRPr="00554F10">
        <w:rPr>
          <w:rFonts w:ascii="Times New Roman" w:eastAsia="Calibri" w:hAnsi="Times New Roman" w:cs="Times New Roman"/>
        </w:rPr>
        <w:t>Bakhshandeh</w:t>
      </w:r>
      <w:proofErr w:type="spellEnd"/>
      <w:r w:rsidRPr="00554F10">
        <w:rPr>
          <w:rFonts w:ascii="Times New Roman" w:eastAsia="Calibri" w:hAnsi="Times New Roman" w:cs="Times New Roman"/>
        </w:rPr>
        <w:t xml:space="preserve"> Abkenar</w:t>
      </w:r>
      <w:r w:rsidRPr="00554F10">
        <w:rPr>
          <w:rFonts w:ascii="Times New Roman" w:eastAsia="Calibri" w:hAnsi="Times New Roman" w:cs="Times New Roman"/>
          <w:vertAlign w:val="superscript"/>
        </w:rPr>
        <w:t>6</w:t>
      </w:r>
      <w:r w:rsidRPr="00554F10">
        <w:rPr>
          <w:rFonts w:ascii="Times New Roman" w:eastAsia="Calibri" w:hAnsi="Times New Roman" w:cs="Times New Roman"/>
        </w:rPr>
        <w:t xml:space="preserve">, </w:t>
      </w:r>
      <w:proofErr w:type="spellStart"/>
      <w:r w:rsidRPr="00554F10">
        <w:rPr>
          <w:rFonts w:ascii="Times New Roman" w:eastAsia="Calibri" w:hAnsi="Times New Roman" w:cs="Times New Roman"/>
        </w:rPr>
        <w:t>Nasim</w:t>
      </w:r>
      <w:proofErr w:type="spellEnd"/>
      <w:r w:rsidRPr="00554F10">
        <w:rPr>
          <w:rFonts w:ascii="Times New Roman" w:eastAsia="Calibri" w:hAnsi="Times New Roman" w:cs="Times New Roman"/>
        </w:rPr>
        <w:t xml:space="preserve"> Naderi</w:t>
      </w:r>
      <w:r w:rsidRPr="00554F10">
        <w:rPr>
          <w:rFonts w:ascii="Times New Roman" w:eastAsia="Calibri" w:hAnsi="Times New Roman" w:cs="Times New Roman"/>
          <w:vertAlign w:val="superscript"/>
        </w:rPr>
        <w:t>6</w:t>
      </w:r>
      <w:r w:rsidRPr="00554F10">
        <w:rPr>
          <w:rFonts w:ascii="Times New Roman" w:eastAsia="Calibri" w:hAnsi="Times New Roman" w:cs="Times New Roman"/>
        </w:rPr>
        <w:t xml:space="preserve">, </w:t>
      </w:r>
      <w:proofErr w:type="spellStart"/>
      <w:r w:rsidRPr="00554F10">
        <w:rPr>
          <w:rFonts w:ascii="Times New Roman" w:eastAsia="Calibri" w:hAnsi="Times New Roman" w:cs="Times New Roman"/>
        </w:rPr>
        <w:t>Behshid</w:t>
      </w:r>
      <w:proofErr w:type="spellEnd"/>
      <w:r w:rsidRPr="00554F10">
        <w:rPr>
          <w:rFonts w:ascii="Times New Roman" w:eastAsia="Calibri" w:hAnsi="Times New Roman" w:cs="Times New Roman"/>
        </w:rPr>
        <w:t xml:space="preserve"> Ghadrdoost</w:t>
      </w:r>
      <w:r w:rsidRPr="00554F10">
        <w:rPr>
          <w:rFonts w:ascii="Times New Roman" w:eastAsia="Calibri" w:hAnsi="Times New Roman" w:cs="Times New Roman"/>
          <w:vertAlign w:val="superscript"/>
        </w:rPr>
        <w:t>6</w:t>
      </w:r>
      <w:r w:rsidRPr="00554F10">
        <w:rPr>
          <w:rFonts w:ascii="Times New Roman" w:eastAsia="Calibri" w:hAnsi="Times New Roman" w:cs="Times New Roman"/>
        </w:rPr>
        <w:t>, Sara Lotfian</w:t>
      </w:r>
      <w:r w:rsidRPr="00554F10">
        <w:rPr>
          <w:rFonts w:ascii="Times New Roman" w:eastAsia="Calibri" w:hAnsi="Times New Roman" w:cs="Times New Roman"/>
          <w:vertAlign w:val="superscript"/>
        </w:rPr>
        <w:t>6</w:t>
      </w:r>
      <w:r w:rsidRPr="00554F10">
        <w:rPr>
          <w:rFonts w:ascii="Times New Roman" w:eastAsia="Calibri" w:hAnsi="Times New Roman" w:cs="Times New Roman"/>
        </w:rPr>
        <w:t xml:space="preserve">, </w:t>
      </w:r>
      <w:proofErr w:type="spellStart"/>
      <w:r w:rsidRPr="00554F10">
        <w:rPr>
          <w:rFonts w:ascii="Times New Roman" w:eastAsia="Calibri" w:hAnsi="Times New Roman" w:cs="Times New Roman"/>
        </w:rPr>
        <w:t>Seyed</w:t>
      </w:r>
      <w:proofErr w:type="spellEnd"/>
      <w:r w:rsidRPr="00554F10">
        <w:rPr>
          <w:rFonts w:ascii="Times New Roman" w:eastAsia="Calibri" w:hAnsi="Times New Roman" w:cs="Times New Roman"/>
        </w:rPr>
        <w:t xml:space="preserve"> Ali </w:t>
      </w:r>
      <w:proofErr w:type="spellStart"/>
      <w:r w:rsidRPr="00554F10">
        <w:rPr>
          <w:rFonts w:ascii="Times New Roman" w:eastAsia="Calibri" w:hAnsi="Times New Roman" w:cs="Times New Roman"/>
        </w:rPr>
        <w:t>Dehghan</w:t>
      </w:r>
      <w:proofErr w:type="spellEnd"/>
      <w:r w:rsidRPr="00554F10">
        <w:rPr>
          <w:rFonts w:ascii="Times New Roman" w:eastAsia="Calibri" w:hAnsi="Times New Roman" w:cs="Times New Roman"/>
        </w:rPr>
        <w:t xml:space="preserve"> Menshadi</w:t>
      </w:r>
      <w:r w:rsidRPr="00554F10">
        <w:rPr>
          <w:rFonts w:ascii="Times New Roman" w:eastAsia="Calibri" w:hAnsi="Times New Roman" w:cs="Times New Roman"/>
          <w:vertAlign w:val="superscript"/>
        </w:rPr>
        <w:t>7</w:t>
      </w:r>
      <w:r w:rsidRPr="00554F10">
        <w:rPr>
          <w:rFonts w:ascii="Times New Roman" w:eastAsia="Calibri" w:hAnsi="Times New Roman" w:cs="Times New Roman"/>
        </w:rPr>
        <w:t xml:space="preserve">, </w:t>
      </w:r>
      <w:proofErr w:type="spellStart"/>
      <w:r w:rsidRPr="00554F10">
        <w:rPr>
          <w:rFonts w:ascii="Times New Roman" w:eastAsia="Calibri" w:hAnsi="Times New Roman" w:cs="Times New Roman"/>
        </w:rPr>
        <w:t>Ehsan</w:t>
      </w:r>
      <w:proofErr w:type="spellEnd"/>
      <w:r w:rsidRPr="00554F10">
        <w:rPr>
          <w:rFonts w:ascii="Times New Roman" w:eastAsia="Calibri" w:hAnsi="Times New Roman" w:cs="Times New Roman"/>
        </w:rPr>
        <w:t xml:space="preserve"> Mostafavi</w:t>
      </w:r>
      <w:r w:rsidRPr="00554F10">
        <w:rPr>
          <w:rFonts w:ascii="Times New Roman" w:eastAsia="Calibri" w:hAnsi="Times New Roman" w:cs="Times New Roman"/>
          <w:vertAlign w:val="superscript"/>
        </w:rPr>
        <w:t>2,3*</w:t>
      </w:r>
    </w:p>
    <w:p w:rsidR="00554F10" w:rsidRPr="00554F10" w:rsidRDefault="00554F10" w:rsidP="00554F10">
      <w:pPr>
        <w:numPr>
          <w:ilvl w:val="0"/>
          <w:numId w:val="6"/>
        </w:numPr>
        <w:spacing w:after="20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4F10">
        <w:rPr>
          <w:rFonts w:ascii="Times New Roman" w:eastAsia="Calibri" w:hAnsi="Times New Roman" w:cs="Times New Roman"/>
          <w:sz w:val="20"/>
          <w:szCs w:val="20"/>
        </w:rPr>
        <w:t>Echocardiography Research center, Rajaie Cardiovascular Medical and Research Center, Iran University of Medical Sciences, Tehran, Iran.</w:t>
      </w:r>
    </w:p>
    <w:p w:rsidR="00554F10" w:rsidRPr="00554F10" w:rsidRDefault="00554F10" w:rsidP="00554F10">
      <w:pPr>
        <w:numPr>
          <w:ilvl w:val="0"/>
          <w:numId w:val="6"/>
        </w:numPr>
        <w:spacing w:after="20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4F10">
        <w:rPr>
          <w:rFonts w:ascii="Times New Roman" w:eastAsia="Calibri" w:hAnsi="Times New Roman" w:cs="Times New Roman"/>
          <w:sz w:val="20"/>
          <w:szCs w:val="20"/>
        </w:rPr>
        <w:t xml:space="preserve">National Reference Laboratory for Plague, Tularemia and Q fever, Research Centre for Emerging and Reemerging Infectious Diseases, Pasteur Institute of Iran, Akanlu, </w:t>
      </w:r>
      <w:proofErr w:type="spellStart"/>
      <w:r w:rsidRPr="00554F10">
        <w:rPr>
          <w:rFonts w:ascii="Times New Roman" w:eastAsia="Calibri" w:hAnsi="Times New Roman" w:cs="Times New Roman"/>
          <w:sz w:val="20"/>
          <w:szCs w:val="20"/>
        </w:rPr>
        <w:t>Kabudar</w:t>
      </w:r>
      <w:proofErr w:type="spellEnd"/>
      <w:r w:rsidRPr="00554F10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554F10">
        <w:rPr>
          <w:rFonts w:ascii="Times New Roman" w:eastAsia="Calibri" w:hAnsi="Times New Roman" w:cs="Times New Roman"/>
          <w:sz w:val="20"/>
          <w:szCs w:val="20"/>
        </w:rPr>
        <w:t>Ahang</w:t>
      </w:r>
      <w:proofErr w:type="spellEnd"/>
      <w:r w:rsidRPr="00554F10">
        <w:rPr>
          <w:rFonts w:ascii="Times New Roman" w:eastAsia="Calibri" w:hAnsi="Times New Roman" w:cs="Times New Roman"/>
          <w:sz w:val="20"/>
          <w:szCs w:val="20"/>
        </w:rPr>
        <w:t>, Iran.</w:t>
      </w:r>
    </w:p>
    <w:p w:rsidR="00554F10" w:rsidRPr="00554F10" w:rsidRDefault="00554F10" w:rsidP="00554F10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554F10">
        <w:rPr>
          <w:rFonts w:ascii="Times New Roman" w:eastAsia="Calibri" w:hAnsi="Times New Roman" w:cs="Times New Roman"/>
          <w:sz w:val="20"/>
          <w:szCs w:val="20"/>
        </w:rPr>
        <w:t>Department of Epidemiology and Biostatistics, Research Centre for Emerging and Reemerging infectious diseases, Pasteur Institute of Iran, Tehran, Iran</w:t>
      </w:r>
    </w:p>
    <w:p w:rsidR="00554F10" w:rsidRPr="00554F10" w:rsidRDefault="00554F10" w:rsidP="00554F10">
      <w:pPr>
        <w:numPr>
          <w:ilvl w:val="0"/>
          <w:numId w:val="6"/>
        </w:numPr>
        <w:spacing w:after="20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4F10">
        <w:rPr>
          <w:rFonts w:ascii="Times New Roman" w:eastAsia="Calibri" w:hAnsi="Times New Roman" w:cs="Times New Roman"/>
          <w:sz w:val="20"/>
          <w:szCs w:val="20"/>
        </w:rPr>
        <w:t>Department of Bacteriology, Faculty of Medical Sciences, Tarbiat Modares University, Tehran, Iran.</w:t>
      </w:r>
    </w:p>
    <w:p w:rsidR="00554F10" w:rsidRPr="00554F10" w:rsidRDefault="00554F10" w:rsidP="00554F10">
      <w:pPr>
        <w:numPr>
          <w:ilvl w:val="0"/>
          <w:numId w:val="6"/>
        </w:numPr>
        <w:spacing w:after="20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4F10">
        <w:rPr>
          <w:rFonts w:ascii="Times New Roman" w:eastAsia="Calibri" w:hAnsi="Times New Roman" w:cs="Times New Roman"/>
          <w:sz w:val="20"/>
          <w:szCs w:val="20"/>
        </w:rPr>
        <w:t>Department of Bacteriology, Pasteur Institute of Iran, Tehran, Iran.</w:t>
      </w:r>
    </w:p>
    <w:p w:rsidR="00554F10" w:rsidRPr="00554F10" w:rsidRDefault="00554F10" w:rsidP="00554F10">
      <w:pPr>
        <w:numPr>
          <w:ilvl w:val="0"/>
          <w:numId w:val="6"/>
        </w:numPr>
        <w:spacing w:after="20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4F10">
        <w:rPr>
          <w:rFonts w:ascii="Times New Roman" w:eastAsia="Calibri" w:hAnsi="Times New Roman" w:cs="Times New Roman"/>
          <w:sz w:val="20"/>
          <w:szCs w:val="20"/>
        </w:rPr>
        <w:t>Rajaie Cardiovascular Medical and Research Center, Iran University of Medical Sciences, Tehran, Iran.</w:t>
      </w:r>
    </w:p>
    <w:p w:rsidR="00554F10" w:rsidRPr="00554F10" w:rsidRDefault="00554F10" w:rsidP="00554F10">
      <w:pPr>
        <w:numPr>
          <w:ilvl w:val="0"/>
          <w:numId w:val="6"/>
        </w:numPr>
        <w:spacing w:after="20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4F10">
        <w:rPr>
          <w:rFonts w:ascii="Times New Roman" w:eastAsia="Calibri" w:hAnsi="Times New Roman" w:cs="Times New Roman"/>
          <w:sz w:val="20"/>
          <w:szCs w:val="20"/>
        </w:rPr>
        <w:t xml:space="preserve">Department of Infectious Diseases and Tropical Medicine, Tehran University of Medical Sciences, Tehran, Iran </w:t>
      </w:r>
    </w:p>
    <w:p w:rsidR="00554F10" w:rsidRPr="00554F10" w:rsidRDefault="00554F10" w:rsidP="00554F10">
      <w:pPr>
        <w:spacing w:after="20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F10">
        <w:rPr>
          <w:rFonts w:ascii="Times New Roman" w:eastAsia="Calibri" w:hAnsi="Times New Roman" w:cs="Times New Roman"/>
          <w:b/>
          <w:bCs/>
        </w:rPr>
        <w:t>Corresponding Author:</w:t>
      </w:r>
      <w:r w:rsidRPr="00554F10">
        <w:rPr>
          <w:rFonts w:ascii="Calibri" w:eastAsia="Calibri" w:hAnsi="Calibri" w:cs="Arial"/>
        </w:rPr>
        <w:t xml:space="preserve"> </w:t>
      </w:r>
      <w:r w:rsidRPr="00554F10">
        <w:rPr>
          <w:rFonts w:ascii="Times New Roman" w:eastAsia="Calibri" w:hAnsi="Times New Roman" w:cs="Times New Roman"/>
          <w:sz w:val="20"/>
          <w:szCs w:val="20"/>
        </w:rPr>
        <w:t xml:space="preserve">Dr </w:t>
      </w:r>
      <w:proofErr w:type="spellStart"/>
      <w:r w:rsidRPr="00554F10">
        <w:rPr>
          <w:rFonts w:ascii="Times New Roman" w:eastAsia="Calibri" w:hAnsi="Times New Roman" w:cs="Times New Roman"/>
          <w:sz w:val="20"/>
          <w:szCs w:val="20"/>
        </w:rPr>
        <w:t>Ehsan</w:t>
      </w:r>
      <w:proofErr w:type="spellEnd"/>
      <w:r w:rsidRPr="00554F10">
        <w:rPr>
          <w:rFonts w:ascii="Times New Roman" w:eastAsia="Calibri" w:hAnsi="Times New Roman" w:cs="Times New Roman"/>
          <w:sz w:val="20"/>
          <w:szCs w:val="20"/>
        </w:rPr>
        <w:t xml:space="preserve"> Mostafavi No. 69, Pasteur Ave., Department of Epidemiology and Biostatistics, Research Centre for Emerging and Reemerging Infectious Diseases, Pasteur Institute of Iran, Postal Code: 1316943551, Tehran, Iran, Telefax: +98-21-66496448, Email: </w:t>
      </w:r>
      <w:hyperlink r:id="rId7" w:history="1">
        <w:r w:rsidRPr="00554F1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mostafavi@pasteur.ac.ir</w:t>
        </w:r>
      </w:hyperlink>
      <w:r w:rsidRPr="00554F10">
        <w:rPr>
          <w:rFonts w:ascii="Times New Roman" w:eastAsia="Calibri" w:hAnsi="Times New Roman" w:cs="Times New Roman"/>
          <w:sz w:val="20"/>
          <w:szCs w:val="20"/>
        </w:rPr>
        <w:t xml:space="preserve">, </w:t>
      </w:r>
      <w:hyperlink r:id="rId8" w:history="1">
        <w:r w:rsidRPr="00554F1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mostafaviehsan@gmail.com</w:t>
        </w:r>
      </w:hyperlink>
      <w:r w:rsidRPr="00554F1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</w:p>
    <w:p w:rsidR="00554F10" w:rsidRDefault="00554F10" w:rsidP="00291E0B">
      <w:pPr>
        <w:spacing w:after="0" w:line="240" w:lineRule="auto"/>
        <w:ind w:left="360"/>
        <w:jc w:val="both"/>
        <w:rPr>
          <w:rFonts w:asciiTheme="majorBidi" w:eastAsia="Calibri" w:hAnsiTheme="majorBidi" w:cstheme="majorBidi"/>
        </w:rPr>
      </w:pPr>
    </w:p>
    <w:p w:rsidR="00554F10" w:rsidRDefault="00554F10" w:rsidP="00291E0B">
      <w:pPr>
        <w:spacing w:after="0" w:line="240" w:lineRule="auto"/>
        <w:ind w:left="360"/>
        <w:jc w:val="both"/>
        <w:rPr>
          <w:rFonts w:asciiTheme="majorBidi" w:eastAsia="Calibri" w:hAnsiTheme="majorBidi" w:cstheme="majorBidi"/>
        </w:rPr>
      </w:pPr>
    </w:p>
    <w:p w:rsidR="00554F10" w:rsidRDefault="00554F10" w:rsidP="00291E0B">
      <w:pPr>
        <w:spacing w:after="0" w:line="240" w:lineRule="auto"/>
        <w:ind w:left="360"/>
        <w:jc w:val="both"/>
        <w:rPr>
          <w:rFonts w:asciiTheme="majorBidi" w:eastAsia="Calibri" w:hAnsiTheme="majorBidi" w:cstheme="majorBidi"/>
        </w:rPr>
      </w:pPr>
    </w:p>
    <w:p w:rsidR="007063D7" w:rsidRPr="007063D7" w:rsidRDefault="007063D7" w:rsidP="00291E0B">
      <w:pPr>
        <w:spacing w:after="0" w:line="240" w:lineRule="auto"/>
        <w:ind w:left="360"/>
        <w:jc w:val="both"/>
        <w:rPr>
          <w:rFonts w:asciiTheme="majorBidi" w:eastAsia="Calibri" w:hAnsiTheme="majorBidi" w:cstheme="majorBidi"/>
        </w:rPr>
      </w:pPr>
      <w:bookmarkStart w:id="0" w:name="_GoBack"/>
      <w:bookmarkEnd w:id="0"/>
      <w:r w:rsidRPr="00DB059E">
        <w:rPr>
          <w:rFonts w:asciiTheme="majorBidi" w:eastAsia="Calibri" w:hAnsiTheme="majorBidi" w:cstheme="majorBidi"/>
        </w:rPr>
        <w:lastRenderedPageBreak/>
        <w:t xml:space="preserve">Supplementary </w:t>
      </w:r>
      <w:r w:rsidRPr="007063D7">
        <w:rPr>
          <w:rFonts w:asciiTheme="majorBidi" w:eastAsia="Calibri" w:hAnsiTheme="majorBidi" w:cstheme="majorBidi"/>
        </w:rPr>
        <w:t>Table 1</w:t>
      </w:r>
      <w:r w:rsidRPr="00DB059E">
        <w:rPr>
          <w:rFonts w:asciiTheme="majorBidi" w:eastAsia="Calibri" w:hAnsiTheme="majorBidi" w:cstheme="majorBidi"/>
        </w:rPr>
        <w:t>.</w:t>
      </w:r>
      <w:r w:rsidRPr="007063D7">
        <w:rPr>
          <w:rFonts w:asciiTheme="majorBidi" w:eastAsia="Calibri" w:hAnsiTheme="majorBidi" w:cstheme="majorBidi"/>
        </w:rPr>
        <w:t xml:space="preserve"> Diagnostic guideline for Q fever </w:t>
      </w:r>
      <w:r w:rsidR="00DB059E" w:rsidRPr="00DB059E">
        <w:rPr>
          <w:rFonts w:asciiTheme="majorBidi" w:eastAsia="Calibri" w:hAnsiTheme="majorBidi" w:cstheme="majorBidi"/>
        </w:rPr>
        <w:t xml:space="preserve">endocarditis </w:t>
      </w:r>
      <w:r w:rsidRPr="007063D7">
        <w:rPr>
          <w:rFonts w:asciiTheme="majorBidi" w:eastAsia="Calibri" w:hAnsiTheme="majorBidi" w:cstheme="majorBidi"/>
        </w:rPr>
        <w:t>proposed by Raoult</w:t>
      </w:r>
      <w:r w:rsidR="00DB059E" w:rsidRPr="00DB059E">
        <w:rPr>
          <w:rFonts w:asciiTheme="majorBidi" w:eastAsia="Calibri" w:hAnsiTheme="majorBidi" w:cstheme="majorBidi"/>
        </w:rPr>
        <w:t xml:space="preserve"> criteria</w:t>
      </w:r>
      <w:r w:rsidR="00372AA8">
        <w:rPr>
          <w:rFonts w:asciiTheme="majorBidi" w:eastAsia="Calibri" w:hAnsiTheme="majorBidi" w:cstheme="majorBidi"/>
          <w:vertAlign w:val="superscript"/>
        </w:rPr>
        <w:t>25</w:t>
      </w:r>
      <w:r w:rsidR="00152E9C">
        <w:rPr>
          <w:rFonts w:asciiTheme="majorBidi" w:eastAsia="Calibri" w:hAnsiTheme="majorBidi" w:cstheme="majorBidi"/>
          <w:vertAlign w:val="superscript"/>
        </w:rPr>
        <w:t>*</w:t>
      </w:r>
      <w:r w:rsidR="00DB059E" w:rsidRPr="00DB059E">
        <w:rPr>
          <w:rFonts w:asciiTheme="majorBidi" w:eastAsia="Calibri" w:hAnsiTheme="majorBidi" w:cstheme="majorBidi"/>
        </w:rPr>
        <w:t xml:space="preserve">. </w:t>
      </w:r>
    </w:p>
    <w:tbl>
      <w:tblPr>
        <w:tblStyle w:val="TableGrid1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7063D7" w:rsidRPr="007063D7" w:rsidTr="00291E0B">
        <w:trPr>
          <w:trHeight w:hRule="exact" w:val="284"/>
        </w:trPr>
        <w:tc>
          <w:tcPr>
            <w:tcW w:w="8990" w:type="dxa"/>
            <w:shd w:val="clear" w:color="auto" w:fill="D9D9D9" w:themeFill="background1" w:themeFillShade="D9"/>
          </w:tcPr>
          <w:p w:rsidR="007063D7" w:rsidRPr="007063D7" w:rsidRDefault="007063D7" w:rsidP="00291E0B">
            <w:pPr>
              <w:ind w:left="36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 xml:space="preserve">Q fever </w:t>
            </w:r>
            <w:bookmarkStart w:id="1" w:name="_Hlk18939449"/>
            <w:r w:rsidRPr="007063D7">
              <w:rPr>
                <w:rFonts w:asciiTheme="majorBidi" w:eastAsia="Calibri" w:hAnsiTheme="majorBidi" w:cstheme="majorBidi"/>
              </w:rPr>
              <w:t>endocarditis</w:t>
            </w:r>
            <w:bookmarkEnd w:id="1"/>
          </w:p>
        </w:tc>
      </w:tr>
      <w:tr w:rsidR="007063D7" w:rsidRPr="007063D7" w:rsidTr="00291E0B">
        <w:tc>
          <w:tcPr>
            <w:tcW w:w="8990" w:type="dxa"/>
            <w:tcBorders>
              <w:bottom w:val="single" w:sz="4" w:space="0" w:color="auto"/>
            </w:tcBorders>
          </w:tcPr>
          <w:p w:rsidR="007063D7" w:rsidRPr="00291E0B" w:rsidRDefault="007063D7" w:rsidP="00291E0B">
            <w:pPr>
              <w:numPr>
                <w:ilvl w:val="0"/>
                <w:numId w:val="1"/>
              </w:numPr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291E0B">
              <w:rPr>
                <w:rFonts w:asciiTheme="majorBidi" w:eastAsia="Calibri" w:hAnsiTheme="majorBidi" w:cstheme="majorBidi"/>
                <w:b/>
                <w:bCs/>
              </w:rPr>
              <w:t>Definite criteria</w:t>
            </w:r>
          </w:p>
          <w:p w:rsidR="007063D7" w:rsidRPr="007063D7" w:rsidRDefault="007063D7" w:rsidP="00291E0B">
            <w:pPr>
              <w:ind w:left="78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Positive culture, PCR, or immunochemistry of a cardiac valve</w:t>
            </w:r>
          </w:p>
          <w:p w:rsidR="007063D7" w:rsidRPr="00291E0B" w:rsidRDefault="007063D7" w:rsidP="00291E0B">
            <w:pPr>
              <w:numPr>
                <w:ilvl w:val="0"/>
                <w:numId w:val="1"/>
              </w:numPr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291E0B">
              <w:rPr>
                <w:rFonts w:asciiTheme="majorBidi" w:eastAsia="Calibri" w:hAnsiTheme="majorBidi" w:cstheme="majorBidi"/>
                <w:b/>
                <w:bCs/>
              </w:rPr>
              <w:t>Major criteria</w:t>
            </w:r>
          </w:p>
          <w:p w:rsidR="007063D7" w:rsidRPr="007063D7" w:rsidRDefault="007063D7" w:rsidP="00291E0B">
            <w:pPr>
              <w:ind w:left="78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Microbiology: positive culture or PCR of the blood or an emboli or serology with IgG I antibodies ≥6,400 Evidence of endocardial involvement:</w:t>
            </w:r>
          </w:p>
          <w:p w:rsidR="007063D7" w:rsidRPr="007063D7" w:rsidRDefault="007063D7" w:rsidP="00291E0B">
            <w:pPr>
              <w:ind w:left="105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Echocardiogram positive for IE: oscillating intra-cardiac mass on valve or supporting structure, in the path of regurgitant jets, or on implanted material in the absence of an alternative anatomic explanation; or abscess; or new partial dehiscence of prosthetic vale; or new valvular regurgitation (worsening or changing of pre-existent murmur not sufficient)</w:t>
            </w:r>
          </w:p>
          <w:p w:rsidR="007063D7" w:rsidRPr="007063D7" w:rsidRDefault="007063D7" w:rsidP="00291E0B">
            <w:pPr>
              <w:ind w:left="105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PET scan showing a specific valve fixation and mycotic aneurysm</w:t>
            </w:r>
          </w:p>
          <w:p w:rsidR="007063D7" w:rsidRPr="00291E0B" w:rsidRDefault="007063D7" w:rsidP="00291E0B">
            <w:pPr>
              <w:numPr>
                <w:ilvl w:val="0"/>
                <w:numId w:val="1"/>
              </w:numPr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291E0B">
              <w:rPr>
                <w:rFonts w:asciiTheme="majorBidi" w:eastAsia="Calibri" w:hAnsiTheme="majorBidi" w:cstheme="majorBidi"/>
                <w:b/>
                <w:bCs/>
              </w:rPr>
              <w:t>Minor Criteria</w:t>
            </w:r>
          </w:p>
          <w:p w:rsidR="007063D7" w:rsidRPr="007063D7" w:rsidRDefault="007063D7" w:rsidP="00291E0B">
            <w:pPr>
              <w:ind w:left="78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Predisposing heart condition (known or found on echocardiograph)</w:t>
            </w:r>
          </w:p>
          <w:p w:rsidR="007063D7" w:rsidRPr="007063D7" w:rsidRDefault="007063D7" w:rsidP="00291E0B">
            <w:pPr>
              <w:ind w:left="78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Fever, temperature &gt;38°C</w:t>
            </w:r>
          </w:p>
          <w:p w:rsidR="007063D7" w:rsidRPr="007063D7" w:rsidRDefault="007063D7" w:rsidP="00291E0B">
            <w:pPr>
              <w:ind w:left="78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Vascular phenomena, major arterial emboli, septic pulmonary infarcts, mycotic aneurysm (see at PET scan), intracranial hemorrhage, conjunctival hemorrhages, and Janeway lesions Immunologic phenomena: glomerulonephritis, Osle nodes, Roth spots, or rheumatoid factor</w:t>
            </w:r>
          </w:p>
          <w:p w:rsidR="007063D7" w:rsidRPr="007063D7" w:rsidRDefault="007063D7" w:rsidP="00291E0B">
            <w:pPr>
              <w:ind w:left="78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Serologic evidence: IgG I antibodies ≥800 &lt;6,400</w:t>
            </w:r>
          </w:p>
          <w:p w:rsidR="007063D7" w:rsidRPr="007063D7" w:rsidRDefault="007063D7" w:rsidP="00291E0B">
            <w:pPr>
              <w:ind w:left="69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Diagnosis definite</w:t>
            </w:r>
          </w:p>
          <w:p w:rsidR="007063D7" w:rsidRPr="007063D7" w:rsidRDefault="007063D7" w:rsidP="00291E0B">
            <w:pPr>
              <w:numPr>
                <w:ilvl w:val="0"/>
                <w:numId w:val="2"/>
              </w:numPr>
              <w:ind w:hanging="27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1A criterion</w:t>
            </w:r>
          </w:p>
          <w:p w:rsidR="007063D7" w:rsidRPr="007063D7" w:rsidRDefault="007063D7" w:rsidP="00291E0B">
            <w:pPr>
              <w:numPr>
                <w:ilvl w:val="0"/>
                <w:numId w:val="2"/>
              </w:numPr>
              <w:ind w:hanging="27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2B criterion</w:t>
            </w:r>
          </w:p>
          <w:p w:rsidR="007063D7" w:rsidRPr="007063D7" w:rsidRDefault="007063D7" w:rsidP="00291E0B">
            <w:pPr>
              <w:numPr>
                <w:ilvl w:val="0"/>
                <w:numId w:val="2"/>
              </w:numPr>
              <w:ind w:hanging="27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1B  and 3C criterion</w:t>
            </w:r>
          </w:p>
          <w:p w:rsidR="007063D7" w:rsidRPr="007063D7" w:rsidRDefault="007063D7" w:rsidP="00291E0B">
            <w:pPr>
              <w:ind w:left="69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Diagnosis possible</w:t>
            </w:r>
          </w:p>
          <w:p w:rsidR="007063D7" w:rsidRPr="007063D7" w:rsidRDefault="007063D7" w:rsidP="00291E0B">
            <w:pPr>
              <w:numPr>
                <w:ilvl w:val="0"/>
                <w:numId w:val="3"/>
              </w:numPr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1B criterion, 2C criteria (including microbiology evidence, and cardiac predisposition)</w:t>
            </w:r>
          </w:p>
          <w:p w:rsidR="007063D7" w:rsidRPr="007063D7" w:rsidRDefault="007063D7" w:rsidP="00291E0B">
            <w:pPr>
              <w:numPr>
                <w:ilvl w:val="0"/>
                <w:numId w:val="3"/>
              </w:numPr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3C criteria (including positive serology, and cardiac predisposition)</w:t>
            </w:r>
          </w:p>
        </w:tc>
      </w:tr>
      <w:tr w:rsidR="007063D7" w:rsidRPr="007063D7" w:rsidTr="00291E0B">
        <w:trPr>
          <w:trHeight w:hRule="exact" w:val="284"/>
        </w:trPr>
        <w:tc>
          <w:tcPr>
            <w:tcW w:w="8990" w:type="dxa"/>
            <w:shd w:val="clear" w:color="auto" w:fill="D9D9D9" w:themeFill="background1" w:themeFillShade="D9"/>
          </w:tcPr>
          <w:p w:rsidR="007063D7" w:rsidRPr="007063D7" w:rsidRDefault="007063D7" w:rsidP="00291E0B">
            <w:pPr>
              <w:ind w:left="36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Q fever vascular infection</w:t>
            </w:r>
          </w:p>
        </w:tc>
      </w:tr>
      <w:tr w:rsidR="007063D7" w:rsidRPr="007063D7" w:rsidTr="00BD6453">
        <w:tc>
          <w:tcPr>
            <w:tcW w:w="8990" w:type="dxa"/>
          </w:tcPr>
          <w:p w:rsidR="007063D7" w:rsidRPr="00291E0B" w:rsidRDefault="007063D7" w:rsidP="00291E0B">
            <w:pPr>
              <w:numPr>
                <w:ilvl w:val="0"/>
                <w:numId w:val="4"/>
              </w:numPr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291E0B">
              <w:rPr>
                <w:rFonts w:asciiTheme="majorBidi" w:eastAsia="Calibri" w:hAnsiTheme="majorBidi" w:cstheme="majorBidi"/>
                <w:b/>
                <w:bCs/>
              </w:rPr>
              <w:t>Definite criteria</w:t>
            </w:r>
          </w:p>
          <w:p w:rsidR="007063D7" w:rsidRPr="007063D7" w:rsidRDefault="007063D7" w:rsidP="00291E0B">
            <w:pPr>
              <w:ind w:left="72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Positive culture, PCR, or immunochemistry of an arterial sample (prosthesis or aneurysm) or a periarterial abscess or a spondylodiscitis linked to aorta</w:t>
            </w:r>
          </w:p>
          <w:p w:rsidR="007063D7" w:rsidRPr="00291E0B" w:rsidRDefault="007063D7" w:rsidP="00291E0B">
            <w:pPr>
              <w:numPr>
                <w:ilvl w:val="0"/>
                <w:numId w:val="4"/>
              </w:numPr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291E0B">
              <w:rPr>
                <w:rFonts w:asciiTheme="majorBidi" w:eastAsia="Calibri" w:hAnsiTheme="majorBidi" w:cstheme="majorBidi"/>
                <w:b/>
                <w:bCs/>
              </w:rPr>
              <w:t>Major criteria</w:t>
            </w:r>
          </w:p>
          <w:p w:rsidR="007063D7" w:rsidRPr="007063D7" w:rsidRDefault="007063D7" w:rsidP="00291E0B">
            <w:pPr>
              <w:ind w:left="72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Microbiology: positive culture or PCR of the blood or an emboli or serology with IgG I antibodies ≥6,400 Evidence of vascular involvement</w:t>
            </w:r>
          </w:p>
          <w:p w:rsidR="007063D7" w:rsidRPr="007063D7" w:rsidRDefault="007063D7" w:rsidP="00291E0B">
            <w:pPr>
              <w:ind w:left="96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 xml:space="preserve">CT scan: </w:t>
            </w:r>
            <w:r w:rsidR="00291E0B">
              <w:rPr>
                <w:rFonts w:asciiTheme="majorBidi" w:eastAsia="Calibri" w:hAnsiTheme="majorBidi" w:cstheme="majorBidi"/>
              </w:rPr>
              <w:t>aneurysm or vascular prosthesis+</w:t>
            </w:r>
            <w:r w:rsidRPr="007063D7">
              <w:rPr>
                <w:rFonts w:asciiTheme="majorBidi" w:eastAsia="Calibri" w:hAnsiTheme="majorBidi" w:cstheme="majorBidi"/>
              </w:rPr>
              <w:t>periarterial abscess, fistula, or spondylodiscitis</w:t>
            </w:r>
          </w:p>
          <w:p w:rsidR="007063D7" w:rsidRPr="007063D7" w:rsidRDefault="007063D7" w:rsidP="00291E0B">
            <w:pPr>
              <w:ind w:left="96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PET scan: specific fixation on an aneurysm or vascular prosthesis</w:t>
            </w:r>
          </w:p>
          <w:p w:rsidR="007063D7" w:rsidRPr="00291E0B" w:rsidRDefault="007063D7" w:rsidP="00291E0B">
            <w:pPr>
              <w:numPr>
                <w:ilvl w:val="0"/>
                <w:numId w:val="4"/>
              </w:numPr>
              <w:jc w:val="both"/>
              <w:rPr>
                <w:rFonts w:asciiTheme="majorBidi" w:eastAsia="Calibri" w:hAnsiTheme="majorBidi" w:cstheme="majorBidi"/>
                <w:b/>
                <w:bCs/>
              </w:rPr>
            </w:pPr>
            <w:r w:rsidRPr="00291E0B">
              <w:rPr>
                <w:rFonts w:asciiTheme="majorBidi" w:eastAsia="Calibri" w:hAnsiTheme="majorBidi" w:cstheme="majorBidi"/>
                <w:b/>
                <w:bCs/>
              </w:rPr>
              <w:t>Minor criteria</w:t>
            </w:r>
          </w:p>
          <w:p w:rsidR="007063D7" w:rsidRPr="007063D7" w:rsidRDefault="007063D7" w:rsidP="00291E0B">
            <w:pPr>
              <w:ind w:left="72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Serological IgG I ≥800 &lt;6,400</w:t>
            </w:r>
          </w:p>
          <w:p w:rsidR="007063D7" w:rsidRPr="007063D7" w:rsidRDefault="007063D7" w:rsidP="00291E0B">
            <w:pPr>
              <w:ind w:left="72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Fever, temperature &gt;38°C</w:t>
            </w:r>
          </w:p>
          <w:p w:rsidR="007063D7" w:rsidRPr="007063D7" w:rsidRDefault="007063D7" w:rsidP="00291E0B">
            <w:pPr>
              <w:ind w:left="72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Emboli Underlying vascular predisposition (aneurysm or vascular prosthesis)</w:t>
            </w:r>
          </w:p>
          <w:p w:rsidR="007063D7" w:rsidRPr="007063D7" w:rsidRDefault="007063D7" w:rsidP="00291E0B">
            <w:pPr>
              <w:ind w:left="60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Diagnosis definite</w:t>
            </w:r>
          </w:p>
          <w:p w:rsidR="007063D7" w:rsidRPr="007063D7" w:rsidRDefault="007063D7" w:rsidP="00291E0B">
            <w:pPr>
              <w:numPr>
                <w:ilvl w:val="0"/>
                <w:numId w:val="5"/>
              </w:numPr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1A criterion</w:t>
            </w:r>
          </w:p>
          <w:p w:rsidR="007063D7" w:rsidRPr="007063D7" w:rsidRDefault="007063D7" w:rsidP="00291E0B">
            <w:pPr>
              <w:numPr>
                <w:ilvl w:val="0"/>
                <w:numId w:val="5"/>
              </w:numPr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2B criterion</w:t>
            </w:r>
          </w:p>
          <w:p w:rsidR="007063D7" w:rsidRPr="007063D7" w:rsidRDefault="007063D7" w:rsidP="00291E0B">
            <w:pPr>
              <w:numPr>
                <w:ilvl w:val="0"/>
                <w:numId w:val="5"/>
              </w:numPr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1B and 2C criterion (including microbiology findings and vascular predisposition)</w:t>
            </w:r>
          </w:p>
          <w:p w:rsidR="007063D7" w:rsidRPr="007063D7" w:rsidRDefault="007063D7" w:rsidP="00291E0B">
            <w:pPr>
              <w:ind w:left="60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Diagnosis possible</w:t>
            </w:r>
          </w:p>
          <w:p w:rsidR="007063D7" w:rsidRPr="007063D7" w:rsidRDefault="007063D7" w:rsidP="00291E0B">
            <w:pPr>
              <w:ind w:left="600"/>
              <w:jc w:val="both"/>
              <w:rPr>
                <w:rFonts w:asciiTheme="majorBidi" w:eastAsia="Calibri" w:hAnsiTheme="majorBidi" w:cstheme="majorBidi"/>
              </w:rPr>
            </w:pPr>
            <w:r w:rsidRPr="007063D7">
              <w:rPr>
                <w:rFonts w:asciiTheme="majorBidi" w:eastAsia="Calibri" w:hAnsiTheme="majorBidi" w:cstheme="majorBidi"/>
              </w:rPr>
              <w:t>Vascular predisposition, serological evidence and fever or emboli</w:t>
            </w:r>
          </w:p>
        </w:tc>
      </w:tr>
    </w:tbl>
    <w:p w:rsidR="007063D7" w:rsidRPr="00152E9C" w:rsidRDefault="007063D7" w:rsidP="00152E9C">
      <w:pPr>
        <w:spacing w:after="0" w:line="240" w:lineRule="auto"/>
        <w:ind w:left="360"/>
        <w:jc w:val="both"/>
        <w:rPr>
          <w:rFonts w:asciiTheme="majorBidi" w:eastAsia="Calibri" w:hAnsiTheme="majorBidi" w:cstheme="majorBidi"/>
          <w:sz w:val="20"/>
          <w:szCs w:val="20"/>
        </w:rPr>
      </w:pPr>
      <w:proofErr w:type="gramStart"/>
      <w:r w:rsidRPr="00152E9C">
        <w:rPr>
          <w:rFonts w:asciiTheme="majorBidi" w:eastAsia="Calibri" w:hAnsiTheme="majorBidi" w:cstheme="majorBidi"/>
          <w:sz w:val="20"/>
          <w:szCs w:val="20"/>
        </w:rPr>
        <w:t>IE, infective endocarditis; PET, positron emission tomography; IFA, immunofluorescence</w:t>
      </w:r>
      <w:r w:rsidR="00152E9C" w:rsidRPr="00152E9C">
        <w:rPr>
          <w:rFonts w:asciiTheme="majorBidi" w:eastAsia="Calibri" w:hAnsiTheme="majorBidi" w:cstheme="majorBidi"/>
          <w:sz w:val="20"/>
          <w:szCs w:val="20"/>
        </w:rPr>
        <w:t xml:space="preserve"> assay; CT, computed tomography.</w:t>
      </w:r>
      <w:proofErr w:type="gramEnd"/>
    </w:p>
    <w:p w:rsidR="00152E9C" w:rsidRPr="00152E9C" w:rsidRDefault="00152E9C" w:rsidP="00152E9C">
      <w:pPr>
        <w:spacing w:after="0" w:line="240" w:lineRule="auto"/>
        <w:ind w:left="360"/>
        <w:jc w:val="both"/>
        <w:rPr>
          <w:rFonts w:asciiTheme="majorBidi" w:eastAsia="Calibri" w:hAnsiTheme="majorBidi" w:cstheme="majorBidi"/>
        </w:rPr>
      </w:pPr>
      <w:r w:rsidRPr="00152E9C">
        <w:rPr>
          <w:rFonts w:asciiTheme="majorBidi" w:eastAsia="Calibri" w:hAnsiTheme="majorBidi" w:cstheme="majorBidi"/>
        </w:rPr>
        <w:t>*</w:t>
      </w:r>
      <w:r>
        <w:rPr>
          <w:rFonts w:asciiTheme="majorBidi" w:eastAsia="Calibri" w:hAnsiTheme="majorBidi" w:cstheme="majorBidi"/>
        </w:rPr>
        <w:t>T</w:t>
      </w:r>
      <w:r w:rsidRPr="00152E9C">
        <w:rPr>
          <w:rFonts w:asciiTheme="majorBidi" w:eastAsia="Calibri" w:hAnsiTheme="majorBidi" w:cstheme="majorBidi"/>
        </w:rPr>
        <w:t>his table is completely adapted from the reference number.</w:t>
      </w:r>
    </w:p>
    <w:sectPr w:rsidR="00152E9C" w:rsidRPr="00152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A3B1C"/>
    <w:multiLevelType w:val="hybridMultilevel"/>
    <w:tmpl w:val="BC603D28"/>
    <w:lvl w:ilvl="0" w:tplc="708C067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3A7D1FF4"/>
    <w:multiLevelType w:val="hybridMultilevel"/>
    <w:tmpl w:val="7E786240"/>
    <w:lvl w:ilvl="0" w:tplc="D03E6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1B5103"/>
    <w:multiLevelType w:val="hybridMultilevel"/>
    <w:tmpl w:val="F1F612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E6E54"/>
    <w:multiLevelType w:val="hybridMultilevel"/>
    <w:tmpl w:val="993C2D8A"/>
    <w:lvl w:ilvl="0" w:tplc="F266BCF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70C043C9"/>
    <w:multiLevelType w:val="hybridMultilevel"/>
    <w:tmpl w:val="2F2292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DA188A"/>
    <w:multiLevelType w:val="hybridMultilevel"/>
    <w:tmpl w:val="79482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D7"/>
    <w:rsid w:val="00152E9C"/>
    <w:rsid w:val="00291E0B"/>
    <w:rsid w:val="00372AA8"/>
    <w:rsid w:val="00554F10"/>
    <w:rsid w:val="007063D7"/>
    <w:rsid w:val="00DB059E"/>
    <w:rsid w:val="00FC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06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063D7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7063D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7063D7"/>
    <w:rPr>
      <w:sz w:val="20"/>
      <w:szCs w:val="20"/>
    </w:rPr>
  </w:style>
  <w:style w:type="table" w:styleId="TableGrid">
    <w:name w:val="Table Grid"/>
    <w:basedOn w:val="TableNormal"/>
    <w:uiPriority w:val="39"/>
    <w:rsid w:val="00706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7063D7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7063D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3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06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063D7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7063D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7063D7"/>
    <w:rPr>
      <w:sz w:val="20"/>
      <w:szCs w:val="20"/>
    </w:rPr>
  </w:style>
  <w:style w:type="table" w:styleId="TableGrid">
    <w:name w:val="Table Grid"/>
    <w:basedOn w:val="TableNormal"/>
    <w:uiPriority w:val="39"/>
    <w:rsid w:val="00706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7063D7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7063D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tafaviehsa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mostafavi@pasteur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D9B9B-FBC6-4021-89E1-B8BE32845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win_10</dc:creator>
  <cp:keywords/>
  <dc:description/>
  <cp:lastModifiedBy>saberEsmaeili</cp:lastModifiedBy>
  <cp:revision>4</cp:revision>
  <dcterms:created xsi:type="dcterms:W3CDTF">2019-09-11T04:18:00Z</dcterms:created>
  <dcterms:modified xsi:type="dcterms:W3CDTF">2019-09-21T07:18:00Z</dcterms:modified>
</cp:coreProperties>
</file>