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8B" w:rsidRDefault="002D0B8B" w:rsidP="002D0B8B">
      <w:pPr>
        <w:jc w:val="both"/>
        <w:rPr>
          <w:rFonts w:eastAsia="Times New Roman"/>
          <w:b/>
          <w:lang w:val="en-GB" w:eastAsia="de-DE"/>
        </w:rPr>
      </w:pPr>
      <w:r>
        <w:rPr>
          <w:rFonts w:eastAsia="Times New Roman"/>
          <w:b/>
          <w:lang w:val="en-GB" w:eastAsia="de-DE"/>
        </w:rPr>
        <w:t xml:space="preserve">Multi-tissue network analysis for drug prioritization in knee osteoarthritis </w:t>
      </w:r>
    </w:p>
    <w:p w:rsidR="00C5629F" w:rsidRDefault="00C5629F" w:rsidP="00C5629F">
      <w:pPr>
        <w:spacing w:line="276" w:lineRule="auto"/>
        <w:jc w:val="both"/>
        <w:rPr>
          <w:b/>
          <w:sz w:val="28"/>
          <w:lang w:val="en-GB"/>
        </w:rPr>
      </w:pPr>
    </w:p>
    <w:p w:rsidR="00C5629F" w:rsidRDefault="00C5629F" w:rsidP="00C5629F">
      <w:pPr>
        <w:spacing w:line="276" w:lineRule="auto"/>
        <w:jc w:val="both"/>
        <w:rPr>
          <w:vertAlign w:val="superscript"/>
          <w:lang w:val="en-GB"/>
        </w:rPr>
      </w:pPr>
      <w:r>
        <w:rPr>
          <w:lang w:val="en-GB"/>
        </w:rPr>
        <w:t>Michael Neidlin</w:t>
      </w:r>
      <w:r w:rsidRPr="005B6A59">
        <w:rPr>
          <w:vertAlign w:val="superscript"/>
          <w:lang w:val="en-GB"/>
        </w:rPr>
        <w:t>1</w:t>
      </w:r>
      <w:r>
        <w:rPr>
          <w:lang w:val="en-GB"/>
        </w:rPr>
        <w:t xml:space="preserve">, </w:t>
      </w:r>
      <w:proofErr w:type="spellStart"/>
      <w:r>
        <w:rPr>
          <w:lang w:val="en-GB"/>
        </w:rPr>
        <w:t>Smaragda</w:t>
      </w:r>
      <w:proofErr w:type="spellEnd"/>
      <w:r>
        <w:rPr>
          <w:lang w:val="en-GB"/>
        </w:rPr>
        <w:t xml:space="preserve"> Dimitrakopoulou</w:t>
      </w:r>
      <w:r w:rsidRPr="005B6A59">
        <w:rPr>
          <w:vertAlign w:val="superscript"/>
          <w:lang w:val="en-GB"/>
        </w:rPr>
        <w:t>1</w:t>
      </w:r>
      <w:r>
        <w:rPr>
          <w:lang w:val="en-GB"/>
        </w:rPr>
        <w:t>, Leonidas G Alexopoulos</w:t>
      </w:r>
      <w:r w:rsidRPr="005B6A59">
        <w:rPr>
          <w:vertAlign w:val="superscript"/>
          <w:lang w:val="en-GB"/>
        </w:rPr>
        <w:t>1</w:t>
      </w:r>
    </w:p>
    <w:p w:rsidR="00C5629F" w:rsidRDefault="00C5629F" w:rsidP="00C5629F">
      <w:pPr>
        <w:spacing w:line="276" w:lineRule="auto"/>
        <w:jc w:val="both"/>
        <w:rPr>
          <w:lang w:val="en-GB"/>
        </w:rPr>
      </w:pPr>
    </w:p>
    <w:p w:rsidR="00C5629F" w:rsidRPr="007D170A" w:rsidRDefault="00C5629F" w:rsidP="00C5629F">
      <w:pPr>
        <w:spacing w:line="276" w:lineRule="auto"/>
        <w:jc w:val="both"/>
        <w:rPr>
          <w:b/>
          <w:lang w:val="en-GB"/>
        </w:rPr>
      </w:pPr>
      <w:r w:rsidRPr="007D170A">
        <w:rPr>
          <w:b/>
          <w:lang w:val="en-GB"/>
        </w:rPr>
        <w:t>Departmental and institutional affiliations</w:t>
      </w:r>
    </w:p>
    <w:p w:rsidR="00C5629F" w:rsidRDefault="00C5629F" w:rsidP="00C5629F">
      <w:pPr>
        <w:spacing w:line="276" w:lineRule="auto"/>
        <w:jc w:val="both"/>
        <w:rPr>
          <w:lang w:val="en-GB"/>
        </w:rPr>
      </w:pPr>
      <w:r w:rsidRPr="00806D12">
        <w:rPr>
          <w:lang w:val="en-GB"/>
        </w:rPr>
        <w:t>1</w:t>
      </w:r>
      <w:r>
        <w:rPr>
          <w:lang w:val="en-GB"/>
        </w:rPr>
        <w:t>: Department of Mechanical Engineering, National Technical University of Athens, Greece</w:t>
      </w:r>
    </w:p>
    <w:p w:rsidR="00C5629F" w:rsidRDefault="00C5629F" w:rsidP="00C5629F">
      <w:pPr>
        <w:spacing w:line="276" w:lineRule="auto"/>
        <w:jc w:val="both"/>
        <w:rPr>
          <w:lang w:val="en-GB"/>
        </w:rPr>
      </w:pPr>
    </w:p>
    <w:p w:rsidR="00C5629F" w:rsidRPr="00B16D7B" w:rsidRDefault="00C5629F" w:rsidP="00C5629F">
      <w:pPr>
        <w:spacing w:line="276" w:lineRule="auto"/>
        <w:jc w:val="both"/>
        <w:rPr>
          <w:rFonts w:eastAsia="Times New Roman"/>
          <w:b/>
          <w:szCs w:val="18"/>
          <w:lang w:val="en-GB" w:eastAsia="de-DE"/>
        </w:rPr>
      </w:pPr>
      <w:r w:rsidRPr="007D170A">
        <w:rPr>
          <w:rFonts w:eastAsia="Times New Roman"/>
          <w:b/>
          <w:szCs w:val="18"/>
          <w:lang w:val="en-GB" w:eastAsia="de-DE"/>
        </w:rPr>
        <w:t xml:space="preserve">Corresponding Author </w:t>
      </w:r>
    </w:p>
    <w:p w:rsidR="00C5629F" w:rsidRPr="007D170A" w:rsidRDefault="00C5629F" w:rsidP="00C5629F">
      <w:pPr>
        <w:spacing w:line="276" w:lineRule="auto"/>
        <w:jc w:val="both"/>
        <w:rPr>
          <w:rFonts w:eastAsia="Times New Roman"/>
          <w:szCs w:val="18"/>
          <w:lang w:val="en-GB" w:eastAsia="de-DE"/>
        </w:rPr>
      </w:pPr>
      <w:r w:rsidRPr="007D170A">
        <w:rPr>
          <w:rFonts w:eastAsia="Times New Roman"/>
          <w:szCs w:val="18"/>
          <w:lang w:val="en-GB" w:eastAsia="de-DE"/>
        </w:rPr>
        <w:t>Leonidas</w:t>
      </w:r>
      <w:r w:rsidR="002D0B8B">
        <w:rPr>
          <w:rFonts w:eastAsia="Times New Roman"/>
          <w:szCs w:val="18"/>
          <w:lang w:val="en-GB" w:eastAsia="de-DE"/>
        </w:rPr>
        <w:t xml:space="preserve"> G</w:t>
      </w:r>
      <w:r w:rsidRPr="007D170A">
        <w:rPr>
          <w:rFonts w:eastAsia="Times New Roman"/>
          <w:szCs w:val="18"/>
          <w:lang w:val="en-GB" w:eastAsia="de-DE"/>
        </w:rPr>
        <w:t xml:space="preserve"> </w:t>
      </w:r>
      <w:proofErr w:type="spellStart"/>
      <w:r w:rsidRPr="007D170A">
        <w:rPr>
          <w:rFonts w:eastAsia="Times New Roman"/>
          <w:szCs w:val="18"/>
          <w:lang w:val="en-GB" w:eastAsia="de-DE"/>
        </w:rPr>
        <w:t>Alexopoulos</w:t>
      </w:r>
      <w:proofErr w:type="spellEnd"/>
      <w:r w:rsidRPr="007D170A">
        <w:rPr>
          <w:rFonts w:eastAsia="Times New Roman"/>
          <w:szCs w:val="18"/>
          <w:lang w:val="en-GB" w:eastAsia="de-DE"/>
        </w:rPr>
        <w:t xml:space="preserve">, Department of Mechanical Engineering, </w:t>
      </w:r>
    </w:p>
    <w:p w:rsidR="00C5629F" w:rsidRDefault="00C5629F" w:rsidP="00C5629F">
      <w:pPr>
        <w:spacing w:line="276" w:lineRule="auto"/>
        <w:jc w:val="both"/>
        <w:rPr>
          <w:rFonts w:eastAsia="Times New Roman"/>
          <w:szCs w:val="18"/>
          <w:lang w:val="en-GB" w:eastAsia="de-DE"/>
        </w:rPr>
      </w:pPr>
      <w:r w:rsidRPr="007D170A">
        <w:rPr>
          <w:rFonts w:eastAsia="Times New Roman"/>
          <w:szCs w:val="18"/>
          <w:lang w:val="en-GB" w:eastAsia="de-DE"/>
        </w:rPr>
        <w:t>National Technical University of Athens,</w:t>
      </w:r>
      <w:r>
        <w:rPr>
          <w:rFonts w:eastAsia="Times New Roman"/>
          <w:szCs w:val="18"/>
          <w:lang w:val="en-GB" w:eastAsia="de-DE"/>
        </w:rPr>
        <w:t xml:space="preserve"> </w:t>
      </w:r>
    </w:p>
    <w:p w:rsidR="00C5629F" w:rsidRPr="007D170A" w:rsidRDefault="00C5629F" w:rsidP="00C5629F">
      <w:pPr>
        <w:spacing w:line="276" w:lineRule="auto"/>
        <w:jc w:val="both"/>
        <w:rPr>
          <w:rFonts w:eastAsia="Times New Roman"/>
          <w:szCs w:val="18"/>
          <w:lang w:val="en-GB" w:eastAsia="de-DE"/>
        </w:rPr>
      </w:pPr>
      <w:proofErr w:type="spellStart"/>
      <w:r w:rsidRPr="007D170A">
        <w:rPr>
          <w:rFonts w:eastAsia="Times New Roman"/>
          <w:szCs w:val="18"/>
          <w:lang w:val="en-GB" w:eastAsia="de-DE"/>
        </w:rPr>
        <w:t>Heroon</w:t>
      </w:r>
      <w:proofErr w:type="spellEnd"/>
      <w:r w:rsidRPr="007D170A">
        <w:rPr>
          <w:rFonts w:eastAsia="Times New Roman"/>
          <w:szCs w:val="18"/>
          <w:lang w:val="en-GB" w:eastAsia="de-DE"/>
        </w:rPr>
        <w:t xml:space="preserve"> </w:t>
      </w:r>
      <w:proofErr w:type="spellStart"/>
      <w:r w:rsidRPr="007D170A">
        <w:rPr>
          <w:rFonts w:eastAsia="Times New Roman"/>
          <w:szCs w:val="18"/>
          <w:lang w:val="en-GB" w:eastAsia="de-DE"/>
        </w:rPr>
        <w:t>Polytechniou</w:t>
      </w:r>
      <w:proofErr w:type="spellEnd"/>
      <w:r w:rsidRPr="007D170A">
        <w:rPr>
          <w:rFonts w:eastAsia="Times New Roman"/>
          <w:szCs w:val="18"/>
          <w:lang w:val="en-GB" w:eastAsia="de-DE"/>
        </w:rPr>
        <w:t xml:space="preserve"> 9, 15780 </w:t>
      </w:r>
      <w:proofErr w:type="spellStart"/>
      <w:r w:rsidRPr="007D170A">
        <w:rPr>
          <w:rFonts w:eastAsia="Times New Roman"/>
          <w:szCs w:val="18"/>
          <w:lang w:val="en-GB" w:eastAsia="de-DE"/>
        </w:rPr>
        <w:t>Zografou</w:t>
      </w:r>
      <w:proofErr w:type="spellEnd"/>
      <w:r w:rsidRPr="007D170A">
        <w:rPr>
          <w:rFonts w:eastAsia="Times New Roman"/>
          <w:szCs w:val="18"/>
          <w:lang w:val="en-GB" w:eastAsia="de-DE"/>
        </w:rPr>
        <w:t xml:space="preserve">, Greece </w:t>
      </w:r>
    </w:p>
    <w:p w:rsidR="00C5629F" w:rsidRPr="007D170A" w:rsidRDefault="00C5629F" w:rsidP="00C5629F">
      <w:pPr>
        <w:spacing w:line="276" w:lineRule="auto"/>
        <w:jc w:val="both"/>
        <w:rPr>
          <w:rFonts w:eastAsia="Times New Roman"/>
          <w:szCs w:val="18"/>
          <w:lang w:val="en-GB" w:eastAsia="de-DE"/>
        </w:rPr>
      </w:pPr>
      <w:r w:rsidRPr="007D170A">
        <w:rPr>
          <w:rFonts w:eastAsia="Times New Roman"/>
          <w:szCs w:val="18"/>
          <w:lang w:val="en-GB" w:eastAsia="de-DE"/>
        </w:rPr>
        <w:t xml:space="preserve">Email: </w:t>
      </w:r>
      <w:hyperlink r:id="rId4" w:history="1">
        <w:r w:rsidRPr="007D170A">
          <w:rPr>
            <w:rStyle w:val="Hyperlink"/>
            <w:rFonts w:eastAsia="Times New Roman"/>
            <w:szCs w:val="18"/>
            <w:lang w:val="en-GB" w:eastAsia="de-DE"/>
          </w:rPr>
          <w:t>leo@mail.ntua.gr</w:t>
        </w:r>
      </w:hyperlink>
      <w:r w:rsidRPr="007D170A">
        <w:rPr>
          <w:rFonts w:eastAsia="Times New Roman"/>
          <w:szCs w:val="18"/>
          <w:lang w:val="en-GB" w:eastAsia="de-DE"/>
        </w:rPr>
        <w:t xml:space="preserve">  Phone: +30 210 7721666 </w:t>
      </w:r>
    </w:p>
    <w:p w:rsidR="00C5629F" w:rsidRDefault="00C5629F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C5629F" w:rsidRPr="00C5629F" w:rsidRDefault="00C5629F" w:rsidP="00C5629F">
      <w:pPr>
        <w:spacing w:line="276" w:lineRule="auto"/>
        <w:rPr>
          <w:b/>
          <w:lang w:val="en-GB"/>
        </w:rPr>
      </w:pPr>
      <w:r w:rsidRPr="00C5629F">
        <w:rPr>
          <w:b/>
          <w:lang w:val="en-GB"/>
        </w:rPr>
        <w:lastRenderedPageBreak/>
        <w:t>Supplementary Appendix</w:t>
      </w:r>
    </w:p>
    <w:p w:rsidR="00C5629F" w:rsidRPr="00C5629F" w:rsidRDefault="00C5629F" w:rsidP="00C5629F">
      <w:pPr>
        <w:spacing w:line="276" w:lineRule="auto"/>
        <w:rPr>
          <w:b/>
          <w:lang w:val="en-GB"/>
        </w:rPr>
      </w:pPr>
    </w:p>
    <w:p w:rsidR="00C5629F" w:rsidRPr="00C5629F" w:rsidRDefault="00C5629F" w:rsidP="00C5629F">
      <w:pPr>
        <w:spacing w:line="276" w:lineRule="auto"/>
        <w:rPr>
          <w:lang w:val="en-GB"/>
        </w:rPr>
      </w:pPr>
      <w:r w:rsidRPr="00C5629F">
        <w:rPr>
          <w:lang w:val="en-GB"/>
        </w:rPr>
        <w:t>At total there are two different parts in the supplementary appendix.</w:t>
      </w:r>
    </w:p>
    <w:p w:rsidR="00C5629F" w:rsidRPr="00C5629F" w:rsidRDefault="00C5629F" w:rsidP="00C5629F">
      <w:pPr>
        <w:spacing w:line="276" w:lineRule="auto"/>
        <w:rPr>
          <w:lang w:val="en-GB"/>
        </w:rPr>
      </w:pPr>
    </w:p>
    <w:p w:rsidR="00C5629F" w:rsidRPr="00C5629F" w:rsidRDefault="00C5629F" w:rsidP="00C5629F">
      <w:pPr>
        <w:spacing w:line="276" w:lineRule="auto"/>
        <w:rPr>
          <w:lang w:val="en-GB"/>
        </w:rPr>
      </w:pPr>
      <w:r w:rsidRPr="00C5629F">
        <w:rPr>
          <w:lang w:val="en-GB"/>
        </w:rPr>
        <w:t xml:space="preserve">Supplementary Methods </w:t>
      </w:r>
    </w:p>
    <w:p w:rsidR="00C5629F" w:rsidRPr="00C5629F" w:rsidRDefault="00C5629F" w:rsidP="00C5629F">
      <w:pPr>
        <w:spacing w:line="276" w:lineRule="auto"/>
        <w:rPr>
          <w:lang w:val="en-GB"/>
        </w:rPr>
      </w:pPr>
      <w:r w:rsidRPr="00C5629F">
        <w:rPr>
          <w:lang w:val="en-GB"/>
        </w:rPr>
        <w:t>Supplementary Results 1, 2</w:t>
      </w:r>
      <w:r>
        <w:rPr>
          <w:lang w:val="en-GB"/>
        </w:rPr>
        <w:t>, 3</w:t>
      </w:r>
      <w:proofErr w:type="gramStart"/>
      <w:r w:rsidR="00A95A1D">
        <w:rPr>
          <w:lang w:val="en-GB"/>
        </w:rPr>
        <w:t>,4</w:t>
      </w:r>
      <w:proofErr w:type="gramEnd"/>
    </w:p>
    <w:p w:rsidR="00C5629F" w:rsidRPr="00C5629F" w:rsidRDefault="00C5629F" w:rsidP="00C5629F">
      <w:pPr>
        <w:spacing w:line="276" w:lineRule="auto"/>
        <w:rPr>
          <w:b/>
          <w:lang w:val="en-GB"/>
        </w:rPr>
      </w:pPr>
    </w:p>
    <w:p w:rsidR="00C5629F" w:rsidRPr="00C5629F" w:rsidRDefault="00C5629F" w:rsidP="00C5629F">
      <w:pPr>
        <w:spacing w:line="276" w:lineRule="auto"/>
        <w:rPr>
          <w:b/>
          <w:lang w:val="en-GB"/>
        </w:rPr>
      </w:pPr>
    </w:p>
    <w:p w:rsidR="00C5629F" w:rsidRPr="00C5629F" w:rsidRDefault="00C5629F" w:rsidP="00C5629F">
      <w:pPr>
        <w:spacing w:line="276" w:lineRule="auto"/>
        <w:rPr>
          <w:b/>
          <w:lang w:val="en-GB"/>
        </w:rPr>
      </w:pPr>
      <w:r w:rsidRPr="00C5629F">
        <w:rPr>
          <w:b/>
          <w:lang w:val="en-GB"/>
        </w:rPr>
        <w:t>Table of contents</w:t>
      </w:r>
    </w:p>
    <w:p w:rsidR="00C5629F" w:rsidRPr="00C5629F" w:rsidRDefault="00C5629F" w:rsidP="00C5629F">
      <w:pPr>
        <w:spacing w:line="276" w:lineRule="auto"/>
        <w:rPr>
          <w:b/>
          <w:lang w:val="en-GB"/>
        </w:rPr>
      </w:pPr>
    </w:p>
    <w:p w:rsidR="00C5629F" w:rsidRPr="00C5629F" w:rsidRDefault="00C5629F" w:rsidP="00C5629F">
      <w:pPr>
        <w:spacing w:line="276" w:lineRule="auto"/>
        <w:rPr>
          <w:b/>
          <w:lang w:val="en-GB"/>
        </w:rPr>
      </w:pPr>
      <w:r w:rsidRPr="00C5629F">
        <w:rPr>
          <w:b/>
          <w:lang w:val="en-GB"/>
        </w:rPr>
        <w:t xml:space="preserve">Supplementary Methods: </w:t>
      </w:r>
    </w:p>
    <w:p w:rsidR="00C5629F" w:rsidRPr="00C5629F" w:rsidRDefault="00C5629F" w:rsidP="00C5629F">
      <w:pPr>
        <w:spacing w:line="276" w:lineRule="auto"/>
        <w:rPr>
          <w:lang w:val="en-GB"/>
        </w:rPr>
      </w:pPr>
      <w:r>
        <w:rPr>
          <w:lang w:val="en-GB"/>
        </w:rPr>
        <w:t>MA Plots – Fig S1</w:t>
      </w:r>
    </w:p>
    <w:p w:rsidR="00C5629F" w:rsidRPr="00C5629F" w:rsidRDefault="00C5629F" w:rsidP="00C5629F">
      <w:pPr>
        <w:spacing w:line="276" w:lineRule="auto"/>
        <w:rPr>
          <w:lang w:val="en-GB"/>
        </w:rPr>
      </w:pPr>
      <w:r>
        <w:rPr>
          <w:lang w:val="en-GB"/>
        </w:rPr>
        <w:t>Outlier removal Fig.S2-S5</w:t>
      </w:r>
    </w:p>
    <w:p w:rsidR="00C5629F" w:rsidRPr="00C5629F" w:rsidRDefault="00C5629F" w:rsidP="00C5629F">
      <w:pPr>
        <w:spacing w:line="276" w:lineRule="auto"/>
        <w:rPr>
          <w:lang w:val="en-GB"/>
        </w:rPr>
      </w:pPr>
      <w:r>
        <w:rPr>
          <w:lang w:val="en-GB"/>
        </w:rPr>
        <w:t>Choice of WGCNA parameter β Fig S6</w:t>
      </w:r>
    </w:p>
    <w:p w:rsidR="00C5629F" w:rsidRPr="00C5629F" w:rsidRDefault="00C5629F" w:rsidP="00C5629F">
      <w:pPr>
        <w:spacing w:line="276" w:lineRule="auto"/>
        <w:rPr>
          <w:lang w:val="en-GB"/>
        </w:rPr>
      </w:pPr>
    </w:p>
    <w:p w:rsidR="00C5629F" w:rsidRPr="00C5629F" w:rsidRDefault="00C5629F" w:rsidP="00C5629F">
      <w:pPr>
        <w:spacing w:line="276" w:lineRule="auto"/>
        <w:rPr>
          <w:b/>
          <w:lang w:val="en-GB"/>
        </w:rPr>
      </w:pPr>
      <w:r w:rsidRPr="00C5629F">
        <w:rPr>
          <w:b/>
          <w:lang w:val="en-GB"/>
        </w:rPr>
        <w:t>Supplementary Results 1:</w:t>
      </w:r>
    </w:p>
    <w:p w:rsidR="00C5629F" w:rsidRPr="00C5629F" w:rsidRDefault="00C5629F" w:rsidP="00C5629F">
      <w:pPr>
        <w:spacing w:line="276" w:lineRule="auto"/>
        <w:rPr>
          <w:lang w:val="en-GB"/>
        </w:rPr>
      </w:pPr>
      <w:r>
        <w:rPr>
          <w:lang w:val="en-GB"/>
        </w:rPr>
        <w:t>Stability of WGCNA module detection, Fig S7-S9</w:t>
      </w:r>
    </w:p>
    <w:p w:rsidR="00C5629F" w:rsidRPr="00C5629F" w:rsidRDefault="00C5629F" w:rsidP="00C5629F">
      <w:pPr>
        <w:spacing w:line="276" w:lineRule="auto"/>
        <w:rPr>
          <w:lang w:val="en-GB"/>
        </w:rPr>
      </w:pPr>
    </w:p>
    <w:p w:rsidR="00C5629F" w:rsidRPr="00C5629F" w:rsidRDefault="00C5629F" w:rsidP="00C5629F">
      <w:pPr>
        <w:spacing w:line="276" w:lineRule="auto"/>
        <w:rPr>
          <w:b/>
          <w:lang w:val="en-GB"/>
        </w:rPr>
      </w:pPr>
      <w:r w:rsidRPr="00C5629F">
        <w:rPr>
          <w:b/>
          <w:lang w:val="en-GB"/>
        </w:rPr>
        <w:t>Supplementary Results 2:</w:t>
      </w:r>
    </w:p>
    <w:p w:rsidR="00C5629F" w:rsidRDefault="00C5629F" w:rsidP="00C5629F">
      <w:pPr>
        <w:spacing w:line="276" w:lineRule="auto"/>
        <w:rPr>
          <w:lang w:val="en-US"/>
        </w:rPr>
      </w:pPr>
      <w:r>
        <w:rPr>
          <w:lang w:val="en-US"/>
        </w:rPr>
        <w:t>Gene significance vs. gene connectivity plots for all tissues, Fig S10</w:t>
      </w:r>
    </w:p>
    <w:p w:rsidR="00A95A1D" w:rsidRDefault="00A95A1D" w:rsidP="00C5629F">
      <w:pPr>
        <w:spacing w:line="276" w:lineRule="auto"/>
        <w:rPr>
          <w:lang w:val="en-US"/>
        </w:rPr>
      </w:pPr>
    </w:p>
    <w:p w:rsidR="00A95A1D" w:rsidRDefault="00A95A1D" w:rsidP="00C5629F">
      <w:pPr>
        <w:spacing w:line="276" w:lineRule="auto"/>
        <w:rPr>
          <w:b/>
          <w:lang w:val="en-US"/>
        </w:rPr>
      </w:pPr>
      <w:r>
        <w:rPr>
          <w:b/>
          <w:lang w:val="en-US"/>
        </w:rPr>
        <w:t>Supplementary Results 3:</w:t>
      </w:r>
    </w:p>
    <w:p w:rsidR="00A95A1D" w:rsidRPr="00A95A1D" w:rsidRDefault="00A95A1D" w:rsidP="00C5629F">
      <w:pPr>
        <w:spacing w:line="276" w:lineRule="auto"/>
        <w:rPr>
          <w:lang w:val="en-US"/>
        </w:rPr>
      </w:pPr>
      <w:r>
        <w:rPr>
          <w:lang w:val="en-US"/>
        </w:rPr>
        <w:t>Sensitivity of agglomeration measures. Fig. S11</w:t>
      </w:r>
    </w:p>
    <w:p w:rsidR="00C5629F" w:rsidRDefault="00C5629F" w:rsidP="00C5629F">
      <w:pPr>
        <w:spacing w:line="276" w:lineRule="auto"/>
        <w:rPr>
          <w:lang w:val="en-US"/>
        </w:rPr>
      </w:pPr>
    </w:p>
    <w:p w:rsidR="00C5629F" w:rsidRDefault="00A95A1D" w:rsidP="00C5629F">
      <w:pPr>
        <w:spacing w:line="276" w:lineRule="auto"/>
        <w:rPr>
          <w:b/>
          <w:lang w:val="en-US"/>
        </w:rPr>
      </w:pPr>
      <w:r>
        <w:rPr>
          <w:b/>
          <w:lang w:val="en-US"/>
        </w:rPr>
        <w:t>Supplementary Results 4</w:t>
      </w:r>
      <w:r w:rsidR="00C5629F" w:rsidRPr="00C5629F">
        <w:rPr>
          <w:b/>
          <w:lang w:val="en-US"/>
        </w:rPr>
        <w:t>:</w:t>
      </w:r>
    </w:p>
    <w:p w:rsidR="00C5629F" w:rsidRPr="00C5629F" w:rsidRDefault="00C5629F" w:rsidP="00C5629F">
      <w:pPr>
        <w:spacing w:line="276" w:lineRule="auto"/>
        <w:rPr>
          <w:lang w:val="en-US"/>
        </w:rPr>
      </w:pPr>
      <w:r>
        <w:rPr>
          <w:lang w:val="en-US"/>
        </w:rPr>
        <w:t>Differential expression analysis of four joint tissues</w:t>
      </w:r>
      <w:r w:rsidR="00FE3906">
        <w:rPr>
          <w:lang w:val="en-US"/>
        </w:rPr>
        <w:t>,</w:t>
      </w:r>
      <w:bookmarkStart w:id="0" w:name="_GoBack"/>
      <w:bookmarkEnd w:id="0"/>
      <w:r>
        <w:rPr>
          <w:lang w:val="en-US"/>
        </w:rPr>
        <w:t xml:space="preserve"> Tab. S1</w:t>
      </w:r>
    </w:p>
    <w:p w:rsidR="00C5629F" w:rsidRDefault="00C5629F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DC71E5" w:rsidRDefault="00DC71E5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lastRenderedPageBreak/>
        <w:t xml:space="preserve">Supplementary </w:t>
      </w:r>
      <w:r w:rsidR="00C5629F">
        <w:rPr>
          <w:b/>
          <w:lang w:val="en-GB"/>
        </w:rPr>
        <w:t>Methods</w:t>
      </w: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t>Herein the results of data pre-processing and outlier removal are shown.</w:t>
      </w:r>
    </w:p>
    <w:p w:rsidR="00DC71E5" w:rsidRDefault="00DC71E5" w:rsidP="00C5629F">
      <w:pPr>
        <w:spacing w:line="276" w:lineRule="auto"/>
        <w:rPr>
          <w:lang w:val="en-GB"/>
        </w:rPr>
      </w:pPr>
    </w:p>
    <w:p w:rsidR="00DC71E5" w:rsidRPr="00060467" w:rsidRDefault="00DC71E5" w:rsidP="00C5629F">
      <w:pPr>
        <w:spacing w:line="276" w:lineRule="auto"/>
        <w:rPr>
          <w:b/>
          <w:lang w:val="en-GB"/>
        </w:rPr>
      </w:pPr>
      <w:r w:rsidRPr="00060467">
        <w:rPr>
          <w:b/>
          <w:lang w:val="en-GB"/>
        </w:rPr>
        <w:t>Background correction and normalisation</w:t>
      </w:r>
    </w:p>
    <w:p w:rsidR="00DC71E5" w:rsidRPr="007C731F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t>MA plots after RMA background correction and quantile normalisation. Most of the values are scattered around the zero line and thus show appropriate correction and normalisation.</w:t>
      </w:r>
    </w:p>
    <w:p w:rsidR="00DC71E5" w:rsidRDefault="00DC71E5" w:rsidP="00C5629F">
      <w:pPr>
        <w:keepNext/>
        <w:spacing w:line="276" w:lineRule="auto"/>
      </w:pPr>
      <w:r>
        <w:rPr>
          <w:b/>
          <w:noProof/>
          <w:lang w:eastAsia="de-DE"/>
        </w:rPr>
        <w:drawing>
          <wp:inline distT="0" distB="0" distL="0" distR="0" wp14:anchorId="36AD3AC6" wp14:editId="2EB48DF4">
            <wp:extent cx="5753100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lang w:val="en-GB"/>
        </w:rPr>
      </w:pPr>
      <w:r w:rsidRPr="007C731F">
        <w:rPr>
          <w:i w:val="0"/>
          <w:color w:val="auto"/>
          <w:sz w:val="22"/>
          <w:lang w:val="en-GB"/>
        </w:rPr>
        <w:t xml:space="preserve">Figure </w:t>
      </w:r>
      <w:r>
        <w:rPr>
          <w:i w:val="0"/>
          <w:color w:val="auto"/>
          <w:sz w:val="22"/>
          <w:lang w:val="en-GB"/>
        </w:rPr>
        <w:t>S</w:t>
      </w:r>
      <w:r w:rsidRPr="007C731F">
        <w:rPr>
          <w:i w:val="0"/>
          <w:color w:val="auto"/>
          <w:sz w:val="22"/>
        </w:rPr>
        <w:fldChar w:fldCharType="begin"/>
      </w:r>
      <w:r w:rsidRPr="007C731F">
        <w:rPr>
          <w:i w:val="0"/>
          <w:color w:val="auto"/>
          <w:sz w:val="22"/>
          <w:lang w:val="en-GB"/>
        </w:rPr>
        <w:instrText xml:space="preserve"> SEQ Figure \* ARABIC </w:instrText>
      </w:r>
      <w:r w:rsidRPr="007C731F">
        <w:rPr>
          <w:i w:val="0"/>
          <w:color w:val="auto"/>
          <w:sz w:val="22"/>
        </w:rPr>
        <w:fldChar w:fldCharType="separate"/>
      </w:r>
      <w:r w:rsidR="00CE60FB">
        <w:rPr>
          <w:i w:val="0"/>
          <w:noProof/>
          <w:color w:val="auto"/>
          <w:sz w:val="22"/>
          <w:lang w:val="en-GB"/>
        </w:rPr>
        <w:t>1</w:t>
      </w:r>
      <w:r w:rsidRPr="007C731F">
        <w:rPr>
          <w:i w:val="0"/>
          <w:color w:val="auto"/>
          <w:sz w:val="22"/>
        </w:rPr>
        <w:fldChar w:fldCharType="end"/>
      </w:r>
      <w:r w:rsidRPr="007C731F">
        <w:rPr>
          <w:i w:val="0"/>
          <w:color w:val="auto"/>
          <w:sz w:val="22"/>
          <w:lang w:val="en-GB"/>
        </w:rPr>
        <w:t>: MA plots of the four datasets after background correction and normalisation</w:t>
      </w: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DC71E5" w:rsidRDefault="00DC71E5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lastRenderedPageBreak/>
        <w:t>Clustering and outlier removal</w:t>
      </w: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t>Gene expression values are hierarchically clustered for the normal and the OA datasets of each of the four tissues. Outliers are marked with a red frame and removed from further analysis.</w:t>
      </w:r>
    </w:p>
    <w:p w:rsidR="00DC71E5" w:rsidRDefault="00DC71E5" w:rsidP="00C5629F">
      <w:pPr>
        <w:keepNext/>
        <w:spacing w:line="276" w:lineRule="auto"/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6A32E" wp14:editId="7C9EF7DF">
                <wp:simplePos x="0" y="0"/>
                <wp:positionH relativeFrom="column">
                  <wp:posOffset>663191</wp:posOffset>
                </wp:positionH>
                <wp:positionV relativeFrom="paragraph">
                  <wp:posOffset>248905</wp:posOffset>
                </wp:positionV>
                <wp:extent cx="1212112" cy="978196"/>
                <wp:effectExtent l="19050" t="19050" r="2667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112" cy="97819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862ED" id="Rectangle 3" o:spid="_x0000_s1026" style="position:absolute;margin-left:52.2pt;margin-top:19.6pt;width:95.45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79980FE2" wp14:editId="59A64444">
            <wp:extent cx="5433785" cy="530564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785" cy="530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lang w:val="en-GB"/>
        </w:rPr>
      </w:pPr>
      <w:r w:rsidRPr="00222DBE">
        <w:rPr>
          <w:i w:val="0"/>
          <w:color w:val="auto"/>
          <w:sz w:val="22"/>
          <w:lang w:val="en-GB"/>
        </w:rPr>
        <w:t>Figure S</w:t>
      </w:r>
      <w:r w:rsidRPr="00222DBE">
        <w:rPr>
          <w:i w:val="0"/>
          <w:color w:val="auto"/>
          <w:sz w:val="22"/>
        </w:rPr>
        <w:fldChar w:fldCharType="begin"/>
      </w:r>
      <w:r w:rsidRPr="00222DBE">
        <w:rPr>
          <w:i w:val="0"/>
          <w:color w:val="auto"/>
          <w:sz w:val="22"/>
          <w:lang w:val="en-GB"/>
        </w:rPr>
        <w:instrText xml:space="preserve"> SEQ Figure \* ARABIC </w:instrText>
      </w:r>
      <w:r w:rsidRPr="00222DBE">
        <w:rPr>
          <w:i w:val="0"/>
          <w:color w:val="auto"/>
          <w:sz w:val="22"/>
        </w:rPr>
        <w:fldChar w:fldCharType="separate"/>
      </w:r>
      <w:r w:rsidR="00CE60FB">
        <w:rPr>
          <w:i w:val="0"/>
          <w:noProof/>
          <w:color w:val="auto"/>
          <w:sz w:val="22"/>
          <w:lang w:val="en-GB"/>
        </w:rPr>
        <w:t>2</w:t>
      </w:r>
      <w:r w:rsidRPr="00222DBE">
        <w:rPr>
          <w:i w:val="0"/>
          <w:color w:val="auto"/>
          <w:sz w:val="22"/>
        </w:rPr>
        <w:fldChar w:fldCharType="end"/>
      </w:r>
      <w:r w:rsidRPr="00222DBE">
        <w:rPr>
          <w:i w:val="0"/>
          <w:color w:val="auto"/>
          <w:sz w:val="22"/>
          <w:lang w:val="en-GB"/>
        </w:rPr>
        <w:t>:</w:t>
      </w:r>
      <w:r>
        <w:rPr>
          <w:i w:val="0"/>
          <w:color w:val="auto"/>
          <w:sz w:val="22"/>
          <w:lang w:val="en-GB"/>
        </w:rPr>
        <w:t xml:space="preserve"> Hierarchical clustering of n</w:t>
      </w:r>
      <w:r w:rsidRPr="00222DBE">
        <w:rPr>
          <w:i w:val="0"/>
          <w:color w:val="auto"/>
          <w:sz w:val="22"/>
          <w:lang w:val="en-GB"/>
        </w:rPr>
        <w:t xml:space="preserve">ormal </w:t>
      </w:r>
      <w:r>
        <w:rPr>
          <w:i w:val="0"/>
          <w:color w:val="auto"/>
          <w:sz w:val="22"/>
          <w:lang w:val="en-GB"/>
        </w:rPr>
        <w:t>samples for</w:t>
      </w:r>
      <w:r w:rsidRPr="00222DBE">
        <w:rPr>
          <w:i w:val="0"/>
          <w:color w:val="auto"/>
          <w:sz w:val="22"/>
          <w:lang w:val="en-GB"/>
        </w:rPr>
        <w:t xml:space="preserve"> </w:t>
      </w:r>
      <w:r>
        <w:rPr>
          <w:i w:val="0"/>
          <w:color w:val="auto"/>
          <w:sz w:val="22"/>
          <w:lang w:val="en-GB"/>
        </w:rPr>
        <w:t>m</w:t>
      </w:r>
      <w:r w:rsidRPr="00222DBE">
        <w:rPr>
          <w:i w:val="0"/>
          <w:color w:val="auto"/>
          <w:sz w:val="22"/>
          <w:lang w:val="en-GB"/>
        </w:rPr>
        <w:t>en</w:t>
      </w:r>
      <w:r>
        <w:rPr>
          <w:i w:val="0"/>
          <w:color w:val="auto"/>
          <w:sz w:val="22"/>
          <w:lang w:val="en-GB"/>
        </w:rPr>
        <w:t>i</w:t>
      </w:r>
      <w:r w:rsidRPr="00222DBE">
        <w:rPr>
          <w:i w:val="0"/>
          <w:color w:val="auto"/>
          <w:sz w:val="22"/>
          <w:lang w:val="en-GB"/>
        </w:rPr>
        <w:t xml:space="preserve">scus and </w:t>
      </w:r>
      <w:r>
        <w:rPr>
          <w:i w:val="0"/>
          <w:color w:val="auto"/>
          <w:sz w:val="22"/>
          <w:lang w:val="en-GB"/>
        </w:rPr>
        <w:t>subchondral b</w:t>
      </w:r>
      <w:r w:rsidRPr="00222DBE">
        <w:rPr>
          <w:i w:val="0"/>
          <w:color w:val="auto"/>
          <w:sz w:val="22"/>
          <w:lang w:val="en-GB"/>
        </w:rPr>
        <w:t>one</w:t>
      </w: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DC71E5" w:rsidRDefault="00DC71E5" w:rsidP="00C5629F">
      <w:pPr>
        <w:keepNext/>
        <w:spacing w:line="276" w:lineRule="auto"/>
        <w:jc w:val="center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5C596" wp14:editId="3EC9E003">
                <wp:simplePos x="0" y="0"/>
                <wp:positionH relativeFrom="column">
                  <wp:posOffset>478629</wp:posOffset>
                </wp:positionH>
                <wp:positionV relativeFrom="paragraph">
                  <wp:posOffset>2873811</wp:posOffset>
                </wp:positionV>
                <wp:extent cx="498143" cy="648269"/>
                <wp:effectExtent l="19050" t="19050" r="1651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" cy="64826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3BB2C" id="Rectangle 5" o:spid="_x0000_s1026" style="position:absolute;margin-left:37.7pt;margin-top:226.3pt;width:39.2pt;height:5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" filled="f" strokecolor="red" strokeweight="2.25pt"/>
            </w:pict>
          </mc:Fallback>
        </mc:AlternateContent>
      </w:r>
      <w:r w:rsidR="007E4547">
        <w:rPr>
          <w:noProof/>
          <w:lang w:eastAsia="de-DE"/>
        </w:rPr>
        <w:drawing>
          <wp:inline distT="0" distB="0" distL="0" distR="0">
            <wp:extent cx="5404485" cy="5554345"/>
            <wp:effectExtent l="0" t="0" r="5715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55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Pr="00A71DAB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lang w:val="en-GB"/>
        </w:rPr>
      </w:pPr>
      <w:r w:rsidRPr="00A71DAB">
        <w:rPr>
          <w:i w:val="0"/>
          <w:color w:val="auto"/>
          <w:sz w:val="22"/>
          <w:lang w:val="en-GB"/>
        </w:rPr>
        <w:t>Figure S</w:t>
      </w:r>
      <w:r w:rsidRPr="00A71DAB">
        <w:rPr>
          <w:i w:val="0"/>
          <w:color w:val="auto"/>
          <w:sz w:val="22"/>
        </w:rPr>
        <w:fldChar w:fldCharType="begin"/>
      </w:r>
      <w:r w:rsidRPr="00A71DAB">
        <w:rPr>
          <w:i w:val="0"/>
          <w:color w:val="auto"/>
          <w:sz w:val="22"/>
          <w:lang w:val="en-GB"/>
        </w:rPr>
        <w:instrText xml:space="preserve"> SEQ Figure \* ARABIC </w:instrText>
      </w:r>
      <w:r w:rsidRPr="00A71DAB">
        <w:rPr>
          <w:i w:val="0"/>
          <w:color w:val="auto"/>
          <w:sz w:val="22"/>
        </w:rPr>
        <w:fldChar w:fldCharType="separate"/>
      </w:r>
      <w:r w:rsidR="00CE60FB">
        <w:rPr>
          <w:i w:val="0"/>
          <w:noProof/>
          <w:color w:val="auto"/>
          <w:sz w:val="22"/>
          <w:lang w:val="en-GB"/>
        </w:rPr>
        <w:t>3</w:t>
      </w:r>
      <w:r w:rsidRPr="00A71DAB">
        <w:rPr>
          <w:i w:val="0"/>
          <w:color w:val="auto"/>
          <w:sz w:val="22"/>
        </w:rPr>
        <w:fldChar w:fldCharType="end"/>
      </w:r>
      <w:r w:rsidRPr="00A71DAB">
        <w:rPr>
          <w:i w:val="0"/>
          <w:color w:val="auto"/>
          <w:sz w:val="22"/>
          <w:lang w:val="en-GB"/>
        </w:rPr>
        <w:t xml:space="preserve">: Hierarchical clustering of normal samples for </w:t>
      </w:r>
      <w:r>
        <w:rPr>
          <w:i w:val="0"/>
          <w:color w:val="auto"/>
          <w:sz w:val="22"/>
          <w:lang w:val="en-GB"/>
        </w:rPr>
        <w:t>synovium and cartilage</w:t>
      </w:r>
    </w:p>
    <w:p w:rsidR="00DC71E5" w:rsidRDefault="00DC71E5" w:rsidP="00C5629F">
      <w:pPr>
        <w:spacing w:line="276" w:lineRule="auto"/>
        <w:jc w:val="center"/>
        <w:rPr>
          <w:lang w:val="en-GB"/>
        </w:rPr>
      </w:pP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DC71E5" w:rsidRDefault="00DC71E5" w:rsidP="00C5629F">
      <w:pPr>
        <w:keepNext/>
        <w:spacing w:line="276" w:lineRule="auto"/>
        <w:jc w:val="center"/>
      </w:pPr>
      <w:r>
        <w:rPr>
          <w:noProof/>
          <w:lang w:eastAsia="de-DE"/>
        </w:rPr>
        <w:lastRenderedPageBreak/>
        <w:drawing>
          <wp:inline distT="0" distB="0" distL="0" distR="0" wp14:anchorId="622DDFDD" wp14:editId="14F200E6">
            <wp:extent cx="5747385" cy="5403215"/>
            <wp:effectExtent l="0" t="0" r="571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Pr="00B42F47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lang w:val="en-GB"/>
        </w:rPr>
      </w:pPr>
      <w:r w:rsidRPr="00B42F47">
        <w:rPr>
          <w:i w:val="0"/>
          <w:color w:val="auto"/>
          <w:sz w:val="22"/>
          <w:lang w:val="en-GB"/>
        </w:rPr>
        <w:t>Figure S</w:t>
      </w:r>
      <w:r w:rsidRPr="00B42F47">
        <w:rPr>
          <w:i w:val="0"/>
          <w:color w:val="auto"/>
          <w:sz w:val="22"/>
        </w:rPr>
        <w:fldChar w:fldCharType="begin"/>
      </w:r>
      <w:r w:rsidRPr="00B42F47">
        <w:rPr>
          <w:i w:val="0"/>
          <w:color w:val="auto"/>
          <w:sz w:val="22"/>
          <w:lang w:val="en-GB"/>
        </w:rPr>
        <w:instrText xml:space="preserve"> SEQ Figure \* ARABIC </w:instrText>
      </w:r>
      <w:r w:rsidRPr="00B42F47">
        <w:rPr>
          <w:i w:val="0"/>
          <w:color w:val="auto"/>
          <w:sz w:val="22"/>
        </w:rPr>
        <w:fldChar w:fldCharType="separate"/>
      </w:r>
      <w:r w:rsidR="00CE60FB">
        <w:rPr>
          <w:i w:val="0"/>
          <w:noProof/>
          <w:color w:val="auto"/>
          <w:sz w:val="22"/>
          <w:lang w:val="en-GB"/>
        </w:rPr>
        <w:t>4</w:t>
      </w:r>
      <w:r w:rsidRPr="00B42F47">
        <w:rPr>
          <w:i w:val="0"/>
          <w:color w:val="auto"/>
          <w:sz w:val="22"/>
        </w:rPr>
        <w:fldChar w:fldCharType="end"/>
      </w:r>
      <w:r w:rsidRPr="00B42F47">
        <w:rPr>
          <w:i w:val="0"/>
          <w:color w:val="auto"/>
          <w:sz w:val="22"/>
          <w:lang w:val="en-GB"/>
        </w:rPr>
        <w:t xml:space="preserve">: Hierarchical clustering of </w:t>
      </w:r>
      <w:r>
        <w:rPr>
          <w:i w:val="0"/>
          <w:color w:val="auto"/>
          <w:sz w:val="22"/>
          <w:lang w:val="en-GB"/>
        </w:rPr>
        <w:t>OA</w:t>
      </w:r>
      <w:r w:rsidRPr="00B42F47">
        <w:rPr>
          <w:i w:val="0"/>
          <w:color w:val="auto"/>
          <w:sz w:val="22"/>
          <w:lang w:val="en-GB"/>
        </w:rPr>
        <w:t xml:space="preserve"> samples for meniscus and subchondral bone</w:t>
      </w: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DC71E5" w:rsidRDefault="00DC71E5" w:rsidP="00C5629F">
      <w:pPr>
        <w:keepNext/>
        <w:spacing w:line="276" w:lineRule="auto"/>
        <w:jc w:val="center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92257" wp14:editId="16473295">
                <wp:simplePos x="0" y="0"/>
                <wp:positionH relativeFrom="column">
                  <wp:posOffset>638300</wp:posOffset>
                </wp:positionH>
                <wp:positionV relativeFrom="paragraph">
                  <wp:posOffset>4539035</wp:posOffset>
                </wp:positionV>
                <wp:extent cx="681836" cy="597267"/>
                <wp:effectExtent l="19050" t="19050" r="23495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36" cy="5972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EA1F5" id="Rectangle 8" o:spid="_x0000_s1026" style="position:absolute;margin-left:50.25pt;margin-top:357.4pt;width:53.7pt;height:4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" filled="f" strokecolor="red" strokeweight="2.25pt"/>
            </w:pict>
          </mc:Fallback>
        </mc:AlternateContent>
      </w:r>
      <w:r w:rsidR="007E4547">
        <w:rPr>
          <w:noProof/>
          <w:lang w:eastAsia="de-DE"/>
        </w:rPr>
        <w:drawing>
          <wp:inline distT="0" distB="0" distL="0" distR="0">
            <wp:extent cx="5622925" cy="540448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54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Pr="00B42F47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lang w:val="en-GB"/>
        </w:rPr>
      </w:pPr>
      <w:r w:rsidRPr="00B42F47">
        <w:rPr>
          <w:i w:val="0"/>
          <w:color w:val="auto"/>
          <w:sz w:val="22"/>
          <w:lang w:val="en-GB"/>
        </w:rPr>
        <w:t>Figure S</w:t>
      </w:r>
      <w:r w:rsidRPr="00B42F47">
        <w:rPr>
          <w:i w:val="0"/>
          <w:color w:val="auto"/>
          <w:sz w:val="22"/>
        </w:rPr>
        <w:fldChar w:fldCharType="begin"/>
      </w:r>
      <w:r w:rsidRPr="00B42F47">
        <w:rPr>
          <w:i w:val="0"/>
          <w:color w:val="auto"/>
          <w:sz w:val="22"/>
          <w:lang w:val="en-GB"/>
        </w:rPr>
        <w:instrText xml:space="preserve"> SEQ Figure \* ARABIC </w:instrText>
      </w:r>
      <w:r w:rsidRPr="00B42F47">
        <w:rPr>
          <w:i w:val="0"/>
          <w:color w:val="auto"/>
          <w:sz w:val="22"/>
        </w:rPr>
        <w:fldChar w:fldCharType="separate"/>
      </w:r>
      <w:r w:rsidR="00CE60FB">
        <w:rPr>
          <w:i w:val="0"/>
          <w:noProof/>
          <w:color w:val="auto"/>
          <w:sz w:val="22"/>
          <w:lang w:val="en-GB"/>
        </w:rPr>
        <w:t>5</w:t>
      </w:r>
      <w:r w:rsidRPr="00B42F47">
        <w:rPr>
          <w:i w:val="0"/>
          <w:color w:val="auto"/>
          <w:sz w:val="22"/>
        </w:rPr>
        <w:fldChar w:fldCharType="end"/>
      </w:r>
      <w:r w:rsidRPr="00B42F47">
        <w:rPr>
          <w:i w:val="0"/>
          <w:color w:val="auto"/>
          <w:sz w:val="22"/>
          <w:lang w:val="en-GB"/>
        </w:rPr>
        <w:t>:</w:t>
      </w:r>
      <w:r>
        <w:rPr>
          <w:i w:val="0"/>
          <w:color w:val="auto"/>
          <w:sz w:val="22"/>
          <w:lang w:val="en-GB"/>
        </w:rPr>
        <w:t xml:space="preserve"> </w:t>
      </w:r>
      <w:r w:rsidRPr="00B42F47">
        <w:rPr>
          <w:i w:val="0"/>
          <w:color w:val="auto"/>
          <w:sz w:val="22"/>
          <w:lang w:val="en-GB"/>
        </w:rPr>
        <w:t>Hierarchical clustering of OA samples for synovium and cartilage</w:t>
      </w: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DC71E5" w:rsidRDefault="00DC71E5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lastRenderedPageBreak/>
        <w:t>Choice of parameter β and scale-free topology model fit</w:t>
      </w:r>
    </w:p>
    <w:p w:rsidR="00DC71E5" w:rsidRDefault="00DC71E5" w:rsidP="00C5629F">
      <w:pPr>
        <w:spacing w:line="276" w:lineRule="auto"/>
        <w:rPr>
          <w:b/>
          <w:lang w:val="en-GB"/>
        </w:rPr>
      </w:pPr>
    </w:p>
    <w:p w:rsidR="00DC71E5" w:rsidRDefault="00DC71E5" w:rsidP="00C5629F">
      <w:pPr>
        <w:keepNext/>
        <w:spacing w:line="276" w:lineRule="auto"/>
        <w:jc w:val="center"/>
      </w:pPr>
      <w:r>
        <w:rPr>
          <w:noProof/>
          <w:lang w:eastAsia="de-DE"/>
        </w:rPr>
        <w:drawing>
          <wp:inline distT="0" distB="0" distL="0" distR="0" wp14:anchorId="4A7FEB3E" wp14:editId="28707CC5">
            <wp:extent cx="5741939" cy="4284921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413" cy="43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Pr="00773D43" w:rsidRDefault="00DC71E5" w:rsidP="00C5629F">
      <w:pPr>
        <w:autoSpaceDE w:val="0"/>
        <w:autoSpaceDN w:val="0"/>
        <w:adjustRightInd w:val="0"/>
        <w:spacing w:line="276" w:lineRule="auto"/>
        <w:jc w:val="center"/>
        <w:rPr>
          <w:lang w:val="en-GB"/>
        </w:rPr>
      </w:pPr>
      <w:r w:rsidRPr="00773D43">
        <w:rPr>
          <w:lang w:val="en-GB"/>
        </w:rPr>
        <w:t xml:space="preserve">Figure </w:t>
      </w:r>
      <w:r>
        <w:rPr>
          <w:lang w:val="en-GB"/>
        </w:rPr>
        <w:t>S</w:t>
      </w:r>
      <w:r w:rsidRPr="00773D43">
        <w:fldChar w:fldCharType="begin"/>
      </w:r>
      <w:r w:rsidRPr="00773D43">
        <w:rPr>
          <w:lang w:val="en-GB"/>
        </w:rPr>
        <w:instrText xml:space="preserve"> SEQ Figure \* ARABIC </w:instrText>
      </w:r>
      <w:r w:rsidRPr="00773D43">
        <w:fldChar w:fldCharType="separate"/>
      </w:r>
      <w:r w:rsidR="00CE60FB">
        <w:rPr>
          <w:noProof/>
          <w:lang w:val="en-GB"/>
        </w:rPr>
        <w:t>6</w:t>
      </w:r>
      <w:r w:rsidRPr="00773D43">
        <w:fldChar w:fldCharType="end"/>
      </w:r>
      <w:r w:rsidRPr="00773D43">
        <w:rPr>
          <w:lang w:val="en-GB"/>
        </w:rPr>
        <w:t xml:space="preserve"> (a) Plot of Scale free topology Model Fit index </w:t>
      </w:r>
      <w:r>
        <w:rPr>
          <w:lang w:val="en-GB"/>
        </w:rPr>
        <w:t>~</w:t>
      </w:r>
      <w:r w:rsidRPr="00773D43">
        <w:rPr>
          <w:lang w:val="en-GB"/>
        </w:rPr>
        <w:t xml:space="preserve"> Soft threshold power </w:t>
      </w:r>
      <w:r w:rsidRPr="00773D43">
        <w:rPr>
          <w:i/>
          <w:lang w:val="en-GB"/>
        </w:rPr>
        <w:t>β</w:t>
      </w:r>
      <w:r w:rsidRPr="00773D43">
        <w:rPr>
          <w:lang w:val="en-GB"/>
        </w:rPr>
        <w:t>.</w:t>
      </w:r>
      <w:r>
        <w:rPr>
          <w:lang w:val="en-GB"/>
        </w:rPr>
        <w:t xml:space="preserve"> </w:t>
      </w:r>
      <w:r w:rsidRPr="00773D43">
        <w:rPr>
          <w:lang w:val="en-GB"/>
        </w:rPr>
        <w:t>(b) Plot of</w:t>
      </w:r>
    </w:p>
    <w:p w:rsidR="00DC71E5" w:rsidRPr="00773D43" w:rsidRDefault="00DC71E5" w:rsidP="00C5629F">
      <w:pPr>
        <w:autoSpaceDE w:val="0"/>
        <w:autoSpaceDN w:val="0"/>
        <w:adjustRightInd w:val="0"/>
        <w:spacing w:line="276" w:lineRule="auto"/>
        <w:jc w:val="center"/>
        <w:rPr>
          <w:lang w:val="en-GB"/>
        </w:rPr>
      </w:pPr>
      <w:r w:rsidRPr="00773D43">
        <w:rPr>
          <w:lang w:val="en-GB"/>
        </w:rPr>
        <w:t xml:space="preserve">Median Connectivity </w:t>
      </w:r>
      <w:r>
        <w:rPr>
          <w:lang w:val="en-GB"/>
        </w:rPr>
        <w:t>~</w:t>
      </w:r>
      <w:r w:rsidRPr="00773D43">
        <w:rPr>
          <w:lang w:val="en-GB"/>
        </w:rPr>
        <w:t xml:space="preserve"> Soft threshold power </w:t>
      </w:r>
      <w:r w:rsidRPr="00773D43">
        <w:rPr>
          <w:i/>
          <w:lang w:val="en-GB"/>
        </w:rPr>
        <w:t>β</w:t>
      </w:r>
      <w:r w:rsidRPr="00773D43">
        <w:rPr>
          <w:lang w:val="en-GB"/>
        </w:rPr>
        <w:t>.</w:t>
      </w:r>
      <w:r>
        <w:rPr>
          <w:lang w:val="en-GB"/>
        </w:rPr>
        <w:t xml:space="preserve"> </w:t>
      </w:r>
      <w:r w:rsidRPr="00773D43">
        <w:rPr>
          <w:lang w:val="en-GB"/>
        </w:rPr>
        <w:t xml:space="preserve">(c) Plot of Mean Connectivity </w:t>
      </w:r>
      <w:r>
        <w:rPr>
          <w:lang w:val="en-GB"/>
        </w:rPr>
        <w:t>~</w:t>
      </w:r>
      <w:r w:rsidRPr="00773D43">
        <w:rPr>
          <w:lang w:val="en-GB"/>
        </w:rPr>
        <w:t xml:space="preserve"> Soft threshold</w:t>
      </w:r>
    </w:p>
    <w:p w:rsidR="00DC71E5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szCs w:val="22"/>
          <w:lang w:val="en-GB"/>
        </w:rPr>
      </w:pPr>
      <w:proofErr w:type="gramStart"/>
      <w:r w:rsidRPr="00773D43">
        <w:rPr>
          <w:i w:val="0"/>
          <w:color w:val="auto"/>
          <w:sz w:val="22"/>
          <w:szCs w:val="22"/>
          <w:lang w:val="en-GB"/>
        </w:rPr>
        <w:t>power</w:t>
      </w:r>
      <w:proofErr w:type="gramEnd"/>
      <w:r w:rsidRPr="00773D43">
        <w:rPr>
          <w:i w:val="0"/>
          <w:color w:val="auto"/>
          <w:sz w:val="22"/>
          <w:szCs w:val="22"/>
          <w:lang w:val="en-GB"/>
        </w:rPr>
        <w:t xml:space="preserve"> </w:t>
      </w:r>
      <w:r w:rsidRPr="00773D43">
        <w:rPr>
          <w:sz w:val="22"/>
          <w:lang w:val="en-GB"/>
        </w:rPr>
        <w:t>β</w:t>
      </w:r>
      <w:r w:rsidRPr="00773D43">
        <w:rPr>
          <w:i w:val="0"/>
          <w:color w:val="auto"/>
          <w:sz w:val="22"/>
          <w:szCs w:val="22"/>
          <w:lang w:val="en-GB"/>
        </w:rPr>
        <w:t xml:space="preserve">. (d) Plot of Max Connectivity </w:t>
      </w:r>
      <w:r>
        <w:rPr>
          <w:i w:val="0"/>
          <w:color w:val="auto"/>
          <w:sz w:val="22"/>
          <w:szCs w:val="22"/>
          <w:lang w:val="en-GB"/>
        </w:rPr>
        <w:t>~</w:t>
      </w:r>
      <w:r w:rsidRPr="00773D43">
        <w:rPr>
          <w:i w:val="0"/>
          <w:color w:val="auto"/>
          <w:sz w:val="22"/>
          <w:szCs w:val="22"/>
          <w:lang w:val="en-GB"/>
        </w:rPr>
        <w:t xml:space="preserve"> Soft threshold power β.</w:t>
      </w:r>
    </w:p>
    <w:p w:rsidR="00DC71E5" w:rsidRDefault="00DC71E5" w:rsidP="00C5629F">
      <w:pPr>
        <w:spacing w:line="276" w:lineRule="auto"/>
        <w:rPr>
          <w:lang w:val="en-GB"/>
        </w:rPr>
      </w:pP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C5629F" w:rsidRDefault="00C5629F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lastRenderedPageBreak/>
        <w:t>Supplementary Results 1</w:t>
      </w:r>
    </w:p>
    <w:p w:rsidR="00C5629F" w:rsidRDefault="00C5629F" w:rsidP="00C5629F">
      <w:pPr>
        <w:spacing w:line="276" w:lineRule="auto"/>
        <w:rPr>
          <w:b/>
          <w:lang w:val="en-GB"/>
        </w:rPr>
      </w:pPr>
    </w:p>
    <w:p w:rsidR="00DC71E5" w:rsidRDefault="00DC71E5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t>Module stability</w:t>
      </w:r>
    </w:p>
    <w:p w:rsidR="00DC71E5" w:rsidRDefault="00EF2A04" w:rsidP="00C5629F">
      <w:pPr>
        <w:spacing w:line="276" w:lineRule="auto"/>
        <w:rPr>
          <w:lang w:val="en-GB"/>
        </w:rPr>
      </w:pPr>
      <w:r>
        <w:rPr>
          <w:lang w:val="en-GB"/>
        </w:rPr>
        <w:t>Figure S7</w:t>
      </w:r>
      <w:r w:rsidR="00DC71E5">
        <w:rPr>
          <w:lang w:val="en-GB"/>
        </w:rPr>
        <w:t xml:space="preserve"> shows the percentage of preserved genes related to the preserved genes in the original dataset.</w:t>
      </w:r>
    </w:p>
    <w:p w:rsidR="00DC71E5" w:rsidRDefault="00DC71E5" w:rsidP="00C5629F">
      <w:pPr>
        <w:keepNext/>
        <w:spacing w:line="276" w:lineRule="auto"/>
        <w:jc w:val="center"/>
      </w:pPr>
      <w:r>
        <w:rPr>
          <w:noProof/>
          <w:lang w:eastAsia="de-DE"/>
        </w:rPr>
        <w:drawing>
          <wp:inline distT="0" distB="0" distL="0" distR="0" wp14:anchorId="7E6F63D6" wp14:editId="1255F385">
            <wp:extent cx="2814055" cy="1896055"/>
            <wp:effectExtent l="0" t="0" r="571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055" cy="18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pStyle w:val="Caption"/>
        <w:spacing w:after="0" w:line="276" w:lineRule="auto"/>
        <w:jc w:val="center"/>
        <w:rPr>
          <w:i w:val="0"/>
          <w:color w:val="auto"/>
          <w:sz w:val="22"/>
          <w:szCs w:val="22"/>
          <w:lang w:val="en-GB"/>
        </w:rPr>
      </w:pPr>
      <w:r w:rsidRPr="00593A2E">
        <w:rPr>
          <w:i w:val="0"/>
          <w:color w:val="auto"/>
          <w:sz w:val="22"/>
          <w:szCs w:val="22"/>
          <w:lang w:val="en-GB"/>
        </w:rPr>
        <w:t xml:space="preserve">Figure </w:t>
      </w:r>
      <w:r>
        <w:rPr>
          <w:i w:val="0"/>
          <w:color w:val="auto"/>
          <w:sz w:val="22"/>
          <w:szCs w:val="22"/>
          <w:lang w:val="en-GB"/>
        </w:rPr>
        <w:t>S</w:t>
      </w:r>
      <w:r w:rsidRPr="00593A2E">
        <w:rPr>
          <w:i w:val="0"/>
          <w:color w:val="auto"/>
          <w:sz w:val="22"/>
          <w:szCs w:val="22"/>
        </w:rPr>
        <w:fldChar w:fldCharType="begin"/>
      </w:r>
      <w:r w:rsidRPr="00593A2E">
        <w:rPr>
          <w:i w:val="0"/>
          <w:color w:val="auto"/>
          <w:sz w:val="22"/>
          <w:szCs w:val="22"/>
          <w:lang w:val="en-GB"/>
        </w:rPr>
        <w:instrText xml:space="preserve"> SEQ Figure \* ARABIC </w:instrText>
      </w:r>
      <w:r w:rsidRPr="00593A2E">
        <w:rPr>
          <w:i w:val="0"/>
          <w:color w:val="auto"/>
          <w:sz w:val="22"/>
          <w:szCs w:val="22"/>
        </w:rPr>
        <w:fldChar w:fldCharType="separate"/>
      </w:r>
      <w:r w:rsidR="00CE60FB">
        <w:rPr>
          <w:i w:val="0"/>
          <w:noProof/>
          <w:color w:val="auto"/>
          <w:sz w:val="22"/>
          <w:szCs w:val="22"/>
          <w:lang w:val="en-GB"/>
        </w:rPr>
        <w:t>7</w:t>
      </w:r>
      <w:r w:rsidRPr="00593A2E">
        <w:rPr>
          <w:i w:val="0"/>
          <w:color w:val="auto"/>
          <w:sz w:val="22"/>
          <w:szCs w:val="22"/>
        </w:rPr>
        <w:fldChar w:fldCharType="end"/>
      </w:r>
      <w:r w:rsidRPr="00593A2E">
        <w:rPr>
          <w:i w:val="0"/>
          <w:color w:val="auto"/>
          <w:sz w:val="22"/>
          <w:szCs w:val="22"/>
          <w:lang w:val="en-GB"/>
        </w:rPr>
        <w:t>: Percentage of preserved genes after resampling and 10% removal. Result of 50 runs.</w:t>
      </w:r>
    </w:p>
    <w:p w:rsidR="00DC71E5" w:rsidRDefault="00DC71E5" w:rsidP="00C5629F">
      <w:pPr>
        <w:spacing w:line="276" w:lineRule="auto"/>
        <w:rPr>
          <w:lang w:val="en-GB"/>
        </w:rPr>
      </w:pPr>
    </w:p>
    <w:p w:rsidR="00DC71E5" w:rsidRDefault="00DC71E5" w:rsidP="00C5629F">
      <w:pPr>
        <w:spacing w:line="276" w:lineRule="auto"/>
        <w:rPr>
          <w:lang w:val="en-GB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dendrogram</w:t>
      </w:r>
      <w:proofErr w:type="spellEnd"/>
      <w:r>
        <w:rPr>
          <w:lang w:val="en-GB"/>
        </w:rPr>
        <w:t xml:space="preserve"> plots in Figures S</w:t>
      </w:r>
      <w:r w:rsidR="00EF2A04">
        <w:rPr>
          <w:lang w:val="en-GB"/>
        </w:rPr>
        <w:t>8</w:t>
      </w:r>
      <w:r>
        <w:rPr>
          <w:lang w:val="en-GB"/>
        </w:rPr>
        <w:t xml:space="preserve"> and S</w:t>
      </w:r>
      <w:r w:rsidR="00EF2A04">
        <w:rPr>
          <w:lang w:val="en-GB"/>
        </w:rPr>
        <w:t>9</w:t>
      </w:r>
      <w:r>
        <w:rPr>
          <w:lang w:val="en-GB"/>
        </w:rPr>
        <w:t xml:space="preserve"> show the hierarchical clustering and the module identification for the “resampling” and “removal” approaches.</w:t>
      </w:r>
    </w:p>
    <w:p w:rsidR="0060217C" w:rsidRDefault="0060217C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DC71E5" w:rsidRDefault="008A62B9" w:rsidP="00C5629F">
      <w:pPr>
        <w:keepNext/>
        <w:spacing w:line="276" w:lineRule="auto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130887</wp:posOffset>
                </wp:positionH>
                <wp:positionV relativeFrom="paragraph">
                  <wp:posOffset>2377245</wp:posOffset>
                </wp:positionV>
                <wp:extent cx="174423" cy="290706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23" cy="2907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F4071" id="Rectangle 4" o:spid="_x0000_s1026" style="position:absolute;margin-left:10.3pt;margin-top:187.2pt;width:13.75pt;height:2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" fillcolor="white [3212]" stroked="f" strokeweight="1pt"/>
            </w:pict>
          </mc:Fallback>
        </mc:AlternateContent>
      </w:r>
      <w:r w:rsidR="0060217C">
        <w:rPr>
          <w:noProof/>
          <w:lang w:eastAsia="de-DE"/>
        </w:rPr>
        <w:drawing>
          <wp:inline distT="0" distB="0" distL="0" distR="0">
            <wp:extent cx="5759450" cy="41624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pStyle w:val="Caption"/>
        <w:spacing w:after="0" w:line="276" w:lineRule="auto"/>
        <w:rPr>
          <w:i w:val="0"/>
          <w:color w:val="auto"/>
          <w:sz w:val="20"/>
          <w:lang w:val="en-US"/>
        </w:rPr>
      </w:pPr>
      <w:r w:rsidRPr="00B1384A">
        <w:rPr>
          <w:i w:val="0"/>
          <w:color w:val="auto"/>
          <w:sz w:val="20"/>
          <w:lang w:val="en-US"/>
        </w:rPr>
        <w:t>Figure S</w:t>
      </w:r>
      <w:r w:rsidRPr="00B1384A">
        <w:rPr>
          <w:i w:val="0"/>
          <w:color w:val="auto"/>
          <w:sz w:val="20"/>
        </w:rPr>
        <w:fldChar w:fldCharType="begin"/>
      </w:r>
      <w:r w:rsidRPr="00B1384A">
        <w:rPr>
          <w:i w:val="0"/>
          <w:color w:val="auto"/>
          <w:sz w:val="20"/>
          <w:lang w:val="en-US"/>
        </w:rPr>
        <w:instrText xml:space="preserve"> SEQ Figure \* ARABIC </w:instrText>
      </w:r>
      <w:r w:rsidRPr="00B1384A">
        <w:rPr>
          <w:i w:val="0"/>
          <w:color w:val="auto"/>
          <w:sz w:val="20"/>
        </w:rPr>
        <w:fldChar w:fldCharType="separate"/>
      </w:r>
      <w:r w:rsidR="00CE60FB">
        <w:rPr>
          <w:i w:val="0"/>
          <w:noProof/>
          <w:color w:val="auto"/>
          <w:sz w:val="20"/>
          <w:lang w:val="en-US"/>
        </w:rPr>
        <w:t>8</w:t>
      </w:r>
      <w:r w:rsidRPr="00B1384A">
        <w:rPr>
          <w:i w:val="0"/>
          <w:color w:val="auto"/>
          <w:sz w:val="20"/>
        </w:rPr>
        <w:fldChar w:fldCharType="end"/>
      </w:r>
      <w:r w:rsidRPr="00B1384A">
        <w:rPr>
          <w:i w:val="0"/>
          <w:color w:val="auto"/>
          <w:sz w:val="20"/>
          <w:lang w:val="en-US"/>
        </w:rPr>
        <w:t xml:space="preserve">: Hierarchical clustering </w:t>
      </w:r>
      <w:proofErr w:type="spellStart"/>
      <w:r w:rsidRPr="00B1384A">
        <w:rPr>
          <w:i w:val="0"/>
          <w:color w:val="auto"/>
          <w:sz w:val="20"/>
          <w:lang w:val="en-US"/>
        </w:rPr>
        <w:t>dendrogram</w:t>
      </w:r>
      <w:proofErr w:type="spellEnd"/>
      <w:r w:rsidRPr="00B1384A">
        <w:rPr>
          <w:i w:val="0"/>
          <w:color w:val="auto"/>
          <w:sz w:val="20"/>
          <w:lang w:val="en-US"/>
        </w:rPr>
        <w:t xml:space="preserve"> and module identification for the resampling case</w:t>
      </w:r>
    </w:p>
    <w:p w:rsidR="00DC71E5" w:rsidRPr="0060217C" w:rsidRDefault="0060217C" w:rsidP="00C5629F">
      <w:pPr>
        <w:keepNext/>
        <w:spacing w:line="276" w:lineRule="auto"/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5759450" cy="42310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E5" w:rsidRPr="00B1384A" w:rsidRDefault="00DC71E5" w:rsidP="00C5629F">
      <w:pPr>
        <w:pStyle w:val="Caption"/>
        <w:spacing w:after="0" w:line="276" w:lineRule="auto"/>
        <w:rPr>
          <w:i w:val="0"/>
          <w:color w:val="auto"/>
          <w:sz w:val="20"/>
          <w:lang w:val="en-US"/>
        </w:rPr>
      </w:pPr>
      <w:r w:rsidRPr="00B1384A">
        <w:rPr>
          <w:i w:val="0"/>
          <w:color w:val="auto"/>
          <w:sz w:val="20"/>
          <w:lang w:val="en-US"/>
        </w:rPr>
        <w:t>Figure S</w:t>
      </w:r>
      <w:r w:rsidRPr="00B1384A">
        <w:rPr>
          <w:i w:val="0"/>
          <w:color w:val="auto"/>
          <w:sz w:val="20"/>
        </w:rPr>
        <w:fldChar w:fldCharType="begin"/>
      </w:r>
      <w:r w:rsidRPr="00B1384A">
        <w:rPr>
          <w:i w:val="0"/>
          <w:color w:val="auto"/>
          <w:sz w:val="20"/>
          <w:lang w:val="en-US"/>
        </w:rPr>
        <w:instrText xml:space="preserve"> SEQ Figure \* ARABIC </w:instrText>
      </w:r>
      <w:r w:rsidRPr="00B1384A">
        <w:rPr>
          <w:i w:val="0"/>
          <w:color w:val="auto"/>
          <w:sz w:val="20"/>
        </w:rPr>
        <w:fldChar w:fldCharType="separate"/>
      </w:r>
      <w:r w:rsidR="00CE60FB">
        <w:rPr>
          <w:i w:val="0"/>
          <w:noProof/>
          <w:color w:val="auto"/>
          <w:sz w:val="20"/>
          <w:lang w:val="en-US"/>
        </w:rPr>
        <w:t>9</w:t>
      </w:r>
      <w:r w:rsidRPr="00B1384A">
        <w:rPr>
          <w:i w:val="0"/>
          <w:color w:val="auto"/>
          <w:sz w:val="20"/>
        </w:rPr>
        <w:fldChar w:fldCharType="end"/>
      </w:r>
      <w:r w:rsidRPr="00B1384A">
        <w:rPr>
          <w:i w:val="0"/>
          <w:color w:val="auto"/>
          <w:sz w:val="20"/>
          <w:lang w:val="en-US"/>
        </w:rPr>
        <w:t>:</w:t>
      </w:r>
      <w:r w:rsidRPr="00B1384A">
        <w:rPr>
          <w:i w:val="0"/>
          <w:noProof/>
          <w:color w:val="auto"/>
          <w:sz w:val="20"/>
          <w:lang w:val="en-US"/>
        </w:rPr>
        <w:t xml:space="preserve"> Hierarchical clustering dendrogram and module identification for the removal case</w:t>
      </w:r>
    </w:p>
    <w:p w:rsidR="00DC71E5" w:rsidRDefault="00DC71E5" w:rsidP="00C5629F">
      <w:pPr>
        <w:spacing w:line="276" w:lineRule="auto"/>
        <w:rPr>
          <w:lang w:val="en-US"/>
        </w:rPr>
      </w:pPr>
      <w:r>
        <w:rPr>
          <w:lang w:val="en-US"/>
        </w:rPr>
        <w:br w:type="page"/>
      </w:r>
    </w:p>
    <w:p w:rsidR="00DC71E5" w:rsidRDefault="00DC71E5" w:rsidP="00C5629F">
      <w:pPr>
        <w:spacing w:line="276" w:lineRule="auto"/>
        <w:rPr>
          <w:b/>
          <w:lang w:val="en-US"/>
        </w:rPr>
      </w:pPr>
      <w:r w:rsidRPr="007B521A">
        <w:rPr>
          <w:b/>
          <w:lang w:val="en-US"/>
        </w:rPr>
        <w:lastRenderedPageBreak/>
        <w:t xml:space="preserve">Supplementary </w:t>
      </w:r>
      <w:r w:rsidR="00C5629F">
        <w:rPr>
          <w:b/>
          <w:lang w:val="en-US"/>
        </w:rPr>
        <w:t>Results 2</w:t>
      </w:r>
    </w:p>
    <w:p w:rsidR="00DC71E5" w:rsidRDefault="00DC71E5" w:rsidP="00C5629F">
      <w:pPr>
        <w:spacing w:line="276" w:lineRule="auto"/>
        <w:rPr>
          <w:b/>
          <w:lang w:val="en-US"/>
        </w:rPr>
      </w:pPr>
    </w:p>
    <w:p w:rsidR="00DC71E5" w:rsidRDefault="00DC71E5" w:rsidP="00C5629F">
      <w:pPr>
        <w:spacing w:line="276" w:lineRule="auto"/>
        <w:rPr>
          <w:lang w:val="en-US"/>
        </w:rPr>
      </w:pPr>
      <w:r>
        <w:rPr>
          <w:lang w:val="en-US"/>
        </w:rPr>
        <w:t>Gene significance vs. gene connectivity plots for all tissues:</w:t>
      </w:r>
    </w:p>
    <w:p w:rsidR="00DC71E5" w:rsidRDefault="00DC71E5" w:rsidP="00C5629F">
      <w:pPr>
        <w:spacing w:line="276" w:lineRule="auto"/>
        <w:rPr>
          <w:lang w:val="en-US"/>
        </w:rPr>
      </w:pPr>
    </w:p>
    <w:p w:rsidR="00DC71E5" w:rsidRDefault="00DC71E5" w:rsidP="00C5629F">
      <w:pPr>
        <w:spacing w:line="276" w:lineRule="auto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4D236A6C" wp14:editId="62B69749">
            <wp:extent cx="5274310" cy="328422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niscu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spacing w:line="276" w:lineRule="auto"/>
        <w:rPr>
          <w:lang w:val="en-US"/>
        </w:rPr>
      </w:pPr>
    </w:p>
    <w:p w:rsidR="00DC71E5" w:rsidRDefault="00DC71E5" w:rsidP="00C5629F">
      <w:pPr>
        <w:spacing w:line="276" w:lineRule="auto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11D6B47F" wp14:editId="74D731F8">
            <wp:extent cx="5274310" cy="328295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bchondral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spacing w:line="276" w:lineRule="auto"/>
        <w:rPr>
          <w:lang w:val="en-US"/>
        </w:rPr>
      </w:pPr>
    </w:p>
    <w:p w:rsidR="00DC71E5" w:rsidRDefault="00DC71E5" w:rsidP="00C5629F">
      <w:pPr>
        <w:spacing w:line="276" w:lineRule="auto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7EA4DC05" wp14:editId="15999F6F">
            <wp:extent cx="5274310" cy="328295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ynoviu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spacing w:line="276" w:lineRule="auto"/>
        <w:rPr>
          <w:lang w:val="en-US"/>
        </w:rPr>
      </w:pPr>
    </w:p>
    <w:p w:rsidR="00DC71E5" w:rsidRDefault="00DC71E5" w:rsidP="00C5629F">
      <w:pPr>
        <w:keepNext/>
        <w:spacing w:line="276" w:lineRule="auto"/>
      </w:pPr>
      <w:r>
        <w:rPr>
          <w:noProof/>
          <w:lang w:eastAsia="de-DE"/>
        </w:rPr>
        <w:drawing>
          <wp:inline distT="0" distB="0" distL="0" distR="0" wp14:anchorId="4186234A" wp14:editId="5204B00A">
            <wp:extent cx="5274310" cy="328295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tilag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E5" w:rsidRDefault="00DC71E5" w:rsidP="00C5629F">
      <w:pPr>
        <w:pStyle w:val="Caption"/>
        <w:spacing w:after="0" w:line="276" w:lineRule="auto"/>
        <w:rPr>
          <w:i w:val="0"/>
          <w:color w:val="auto"/>
        </w:rPr>
      </w:pPr>
    </w:p>
    <w:p w:rsidR="00DC71E5" w:rsidRPr="00A73E5E" w:rsidRDefault="00DC71E5" w:rsidP="00C5629F">
      <w:pPr>
        <w:pStyle w:val="Caption"/>
        <w:spacing w:after="0" w:line="276" w:lineRule="auto"/>
        <w:rPr>
          <w:i w:val="0"/>
          <w:color w:val="auto"/>
          <w:lang w:val="en-US"/>
        </w:rPr>
      </w:pPr>
      <w:r w:rsidRPr="00A73E5E">
        <w:rPr>
          <w:i w:val="0"/>
          <w:color w:val="auto"/>
          <w:lang w:val="en-US"/>
        </w:rPr>
        <w:t>Figure S</w:t>
      </w:r>
      <w:r w:rsidRPr="00A73E5E">
        <w:rPr>
          <w:i w:val="0"/>
          <w:color w:val="auto"/>
        </w:rPr>
        <w:fldChar w:fldCharType="begin"/>
      </w:r>
      <w:r w:rsidRPr="00A73E5E">
        <w:rPr>
          <w:i w:val="0"/>
          <w:color w:val="auto"/>
          <w:lang w:val="en-US"/>
        </w:rPr>
        <w:instrText xml:space="preserve"> SEQ Figure \* ARABIC </w:instrText>
      </w:r>
      <w:r w:rsidRPr="00A73E5E">
        <w:rPr>
          <w:i w:val="0"/>
          <w:color w:val="auto"/>
        </w:rPr>
        <w:fldChar w:fldCharType="separate"/>
      </w:r>
      <w:r w:rsidR="00CE60FB">
        <w:rPr>
          <w:i w:val="0"/>
          <w:noProof/>
          <w:color w:val="auto"/>
          <w:lang w:val="en-US"/>
        </w:rPr>
        <w:t>10</w:t>
      </w:r>
      <w:r w:rsidRPr="00A73E5E">
        <w:rPr>
          <w:i w:val="0"/>
          <w:color w:val="auto"/>
        </w:rPr>
        <w:fldChar w:fldCharType="end"/>
      </w:r>
      <w:r w:rsidRPr="00A73E5E">
        <w:rPr>
          <w:i w:val="0"/>
          <w:color w:val="auto"/>
          <w:lang w:val="en-US"/>
        </w:rPr>
        <w:t>: Plot of gene significan</w:t>
      </w:r>
      <w:r>
        <w:rPr>
          <w:i w:val="0"/>
          <w:color w:val="auto"/>
          <w:lang w:val="en-US"/>
        </w:rPr>
        <w:t>ce (correlation with disease) vs. gene degree for each meta-module and each joint tissue. A: Meniscus, B: Subchondral bone, C: Synovium, D: Cartilage.</w:t>
      </w:r>
    </w:p>
    <w:p w:rsidR="00CE60FB" w:rsidRDefault="00CE60FB" w:rsidP="00C5629F">
      <w:pPr>
        <w:spacing w:line="276" w:lineRule="auto"/>
        <w:rPr>
          <w:lang w:val="en-GB"/>
        </w:rPr>
      </w:pPr>
    </w:p>
    <w:p w:rsidR="00CE60FB" w:rsidRDefault="00CE60FB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CE60FB" w:rsidRDefault="00CE60FB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lastRenderedPageBreak/>
        <w:t>Supplementary Results 3</w:t>
      </w:r>
    </w:p>
    <w:p w:rsidR="00CE60FB" w:rsidRDefault="00CE60FB" w:rsidP="00C5629F">
      <w:pPr>
        <w:spacing w:line="276" w:lineRule="auto"/>
        <w:rPr>
          <w:b/>
          <w:lang w:val="en-GB"/>
        </w:rPr>
      </w:pPr>
    </w:p>
    <w:p w:rsidR="00CE60FB" w:rsidRDefault="00CE60FB" w:rsidP="00C5629F">
      <w:pPr>
        <w:spacing w:line="276" w:lineRule="auto"/>
        <w:rPr>
          <w:b/>
          <w:lang w:val="en-GB"/>
        </w:rPr>
      </w:pPr>
      <w:r>
        <w:rPr>
          <w:b/>
          <w:lang w:val="en-GB"/>
        </w:rPr>
        <w:t xml:space="preserve">Sensitivity of agglomeration </w:t>
      </w:r>
    </w:p>
    <w:p w:rsidR="00CE60FB" w:rsidRDefault="00CE60FB" w:rsidP="00C5629F">
      <w:pPr>
        <w:spacing w:line="276" w:lineRule="auto"/>
        <w:rPr>
          <w:b/>
          <w:lang w:val="en-GB"/>
        </w:rPr>
      </w:pPr>
    </w:p>
    <w:p w:rsidR="00CE60FB" w:rsidRPr="005D71C0" w:rsidRDefault="005D71C0" w:rsidP="00C5629F">
      <w:pPr>
        <w:spacing w:line="276" w:lineRule="auto"/>
        <w:rPr>
          <w:lang w:val="en-GB"/>
        </w:rPr>
      </w:pPr>
      <w:r w:rsidRPr="005D71C0">
        <w:rPr>
          <w:lang w:val="en-GB"/>
        </w:rPr>
        <w:fldChar w:fldCharType="begin"/>
      </w:r>
      <w:r w:rsidRPr="005D71C0">
        <w:rPr>
          <w:lang w:val="en-GB"/>
        </w:rPr>
        <w:instrText xml:space="preserve"> REF _Ref12351137 \h  \* MERGEFORMAT </w:instrText>
      </w:r>
      <w:r w:rsidRPr="005D71C0">
        <w:rPr>
          <w:lang w:val="en-GB"/>
        </w:rPr>
      </w:r>
      <w:r w:rsidRPr="005D71C0">
        <w:rPr>
          <w:lang w:val="en-GB"/>
        </w:rPr>
        <w:fldChar w:fldCharType="separate"/>
      </w:r>
      <w:r w:rsidRPr="005D71C0">
        <w:rPr>
          <w:lang w:val="en-US"/>
        </w:rPr>
        <w:t>Figure S</w:t>
      </w:r>
      <w:r w:rsidRPr="005D71C0">
        <w:rPr>
          <w:noProof/>
          <w:lang w:val="en-US"/>
        </w:rPr>
        <w:t>11</w:t>
      </w:r>
      <w:r w:rsidRPr="005D71C0">
        <w:rPr>
          <w:lang w:val="en-GB"/>
        </w:rPr>
        <w:fldChar w:fldCharType="end"/>
      </w:r>
      <w:r>
        <w:rPr>
          <w:lang w:val="en-GB"/>
        </w:rPr>
        <w:t xml:space="preserve"> shows z-scores for the largest connected component (LCC) and the mean shortest distance (MSD) for different cut-off thresholds. It can be observed that the threshold of 80% delivers the best results for both measures (12.04 and -1.75). </w:t>
      </w:r>
    </w:p>
    <w:p w:rsidR="00CE60FB" w:rsidRDefault="00CE60FB" w:rsidP="00C5629F">
      <w:pPr>
        <w:spacing w:line="276" w:lineRule="auto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6"/>
      </w:tblGrid>
      <w:tr w:rsidR="00CE60FB" w:rsidTr="00CE60FB">
        <w:tc>
          <w:tcPr>
            <w:tcW w:w="4481" w:type="dxa"/>
          </w:tcPr>
          <w:p w:rsidR="00CE60FB" w:rsidRPr="00CE60FB" w:rsidRDefault="00CE60FB" w:rsidP="00CE60FB">
            <w:pPr>
              <w:keepNext/>
              <w:spacing w:line="276" w:lineRule="auto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773032" cy="1868557"/>
                  <wp:effectExtent l="0" t="0" r="889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ZscoreLCC.jpe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712" cy="189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1" w:type="dxa"/>
          </w:tcPr>
          <w:p w:rsidR="00CE60FB" w:rsidRDefault="00CE60FB" w:rsidP="00C5629F">
            <w:pPr>
              <w:spacing w:line="276" w:lineRule="auto"/>
              <w:rPr>
                <w:lang w:val="en-GB"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2846567" cy="1918106"/>
                  <wp:effectExtent l="0" t="0" r="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zMSD.jpe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673" cy="193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1E5" w:rsidRPr="00CE60FB" w:rsidRDefault="00CE60FB" w:rsidP="00CE60FB">
      <w:pPr>
        <w:spacing w:line="276" w:lineRule="auto"/>
        <w:jc w:val="center"/>
        <w:rPr>
          <w:i/>
          <w:sz w:val="18"/>
          <w:szCs w:val="18"/>
          <w:lang w:val="en-GB"/>
        </w:rPr>
      </w:pPr>
      <w:bookmarkStart w:id="1" w:name="_Ref12351137"/>
      <w:r w:rsidRPr="00CE60FB">
        <w:rPr>
          <w:i/>
          <w:sz w:val="18"/>
          <w:szCs w:val="18"/>
          <w:lang w:val="en-US"/>
        </w:rPr>
        <w:t>Figure S</w:t>
      </w:r>
      <w:r w:rsidRPr="00CE60FB">
        <w:rPr>
          <w:i/>
          <w:sz w:val="18"/>
          <w:szCs w:val="18"/>
        </w:rPr>
        <w:fldChar w:fldCharType="begin"/>
      </w:r>
      <w:r w:rsidRPr="00CE60FB">
        <w:rPr>
          <w:i/>
          <w:sz w:val="18"/>
          <w:szCs w:val="18"/>
          <w:lang w:val="en-US"/>
        </w:rPr>
        <w:instrText xml:space="preserve"> SEQ Figure \* ARABIC </w:instrText>
      </w:r>
      <w:r w:rsidRPr="00CE60FB">
        <w:rPr>
          <w:i/>
          <w:sz w:val="18"/>
          <w:szCs w:val="18"/>
        </w:rPr>
        <w:fldChar w:fldCharType="separate"/>
      </w:r>
      <w:r w:rsidRPr="00CE60FB">
        <w:rPr>
          <w:i/>
          <w:noProof/>
          <w:sz w:val="18"/>
          <w:szCs w:val="18"/>
          <w:lang w:val="en-US"/>
        </w:rPr>
        <w:t>11</w:t>
      </w:r>
      <w:r w:rsidRPr="00CE60FB">
        <w:rPr>
          <w:i/>
          <w:sz w:val="18"/>
          <w:szCs w:val="18"/>
        </w:rPr>
        <w:fldChar w:fldCharType="end"/>
      </w:r>
      <w:bookmarkEnd w:id="1"/>
      <w:r w:rsidRPr="00CE60FB">
        <w:rPr>
          <w:i/>
          <w:sz w:val="18"/>
          <w:szCs w:val="18"/>
          <w:lang w:val="en-US"/>
        </w:rPr>
        <w:t>: Agglomeration measures vs. cutoff threshold for the definition of the disease signature. LCC: Largest connected component, MSD: mean shortest distance.</w:t>
      </w:r>
      <w:r>
        <w:rPr>
          <w:i/>
          <w:sz w:val="18"/>
          <w:szCs w:val="18"/>
          <w:lang w:val="en-US"/>
        </w:rPr>
        <w:t xml:space="preserve"> See equation (12) in the main text</w:t>
      </w:r>
      <w:r w:rsidR="00DC71E5" w:rsidRPr="00CE60FB">
        <w:rPr>
          <w:i/>
          <w:sz w:val="18"/>
          <w:szCs w:val="18"/>
          <w:lang w:val="en-GB"/>
        </w:rPr>
        <w:br w:type="page"/>
      </w:r>
    </w:p>
    <w:p w:rsidR="00C5629F" w:rsidRDefault="005D71C0" w:rsidP="00C5629F">
      <w:pPr>
        <w:spacing w:line="276" w:lineRule="auto"/>
        <w:jc w:val="both"/>
        <w:rPr>
          <w:b/>
          <w:lang w:val="en-GB"/>
        </w:rPr>
      </w:pPr>
      <w:r>
        <w:rPr>
          <w:b/>
          <w:lang w:val="en-GB"/>
        </w:rPr>
        <w:lastRenderedPageBreak/>
        <w:t>Supplementary Results 4</w:t>
      </w:r>
    </w:p>
    <w:p w:rsidR="00DC71E5" w:rsidRPr="00653C1C" w:rsidRDefault="00DC71E5" w:rsidP="00C5629F">
      <w:pPr>
        <w:spacing w:line="276" w:lineRule="auto"/>
        <w:jc w:val="both"/>
        <w:rPr>
          <w:b/>
          <w:lang w:val="en-GB"/>
        </w:rPr>
      </w:pPr>
      <w:r w:rsidRPr="00653C1C">
        <w:rPr>
          <w:b/>
          <w:lang w:val="en-GB"/>
        </w:rPr>
        <w:t>Differential expression analysis</w:t>
      </w:r>
    </w:p>
    <w:p w:rsidR="00DC71E5" w:rsidRPr="00653C1C" w:rsidRDefault="00DC71E5" w:rsidP="00C5629F">
      <w:pPr>
        <w:spacing w:line="276" w:lineRule="auto"/>
        <w:jc w:val="both"/>
        <w:rPr>
          <w:lang w:val="en-GB"/>
        </w:rPr>
      </w:pPr>
      <w:r w:rsidRPr="00653C1C">
        <w:rPr>
          <w:lang w:val="en-GB"/>
        </w:rPr>
        <w:t xml:space="preserve">The analysis revealed that the cartilage dataset had 32 DEGs (21 up/11 down), synovial tissue had 126 DEGs (85 up/41 down), meniscus had 69 DEGs (33 up/36 down) and subchondral bone had 712 DEGs (292 up/420 down). The genes with the </w:t>
      </w:r>
      <w:proofErr w:type="spellStart"/>
      <w:r w:rsidRPr="00653C1C">
        <w:rPr>
          <w:lang w:val="en-GB"/>
        </w:rPr>
        <w:t>logFC</w:t>
      </w:r>
      <w:proofErr w:type="spellEnd"/>
      <w:r w:rsidRPr="00653C1C">
        <w:rPr>
          <w:lang w:val="en-GB"/>
        </w:rPr>
        <w:t xml:space="preserve"> changes and the adjusted p-values are shown in Supplementary Table </w:t>
      </w:r>
      <w:r>
        <w:rPr>
          <w:lang w:val="en-GB"/>
        </w:rPr>
        <w:t>2</w:t>
      </w:r>
      <w:r w:rsidRPr="00653C1C">
        <w:rPr>
          <w:lang w:val="en-GB"/>
        </w:rPr>
        <w:t>. Further on, volcano plots were used to show the DEGs with |</w:t>
      </w:r>
      <w:proofErr w:type="spellStart"/>
      <w:r w:rsidRPr="00653C1C">
        <w:rPr>
          <w:lang w:val="en-GB"/>
        </w:rPr>
        <w:t>logFC</w:t>
      </w:r>
      <w:proofErr w:type="spellEnd"/>
      <w:r w:rsidRPr="00653C1C">
        <w:rPr>
          <w:lang w:val="en-GB"/>
        </w:rPr>
        <w:t>| &gt; 1.5 (yellow dots) and |</w:t>
      </w:r>
      <w:proofErr w:type="spellStart"/>
      <w:r w:rsidRPr="00653C1C">
        <w:rPr>
          <w:lang w:val="en-GB"/>
        </w:rPr>
        <w:t>logFC</w:t>
      </w:r>
      <w:proofErr w:type="spellEnd"/>
      <w:r w:rsidRPr="00653C1C">
        <w:rPr>
          <w:lang w:val="en-GB"/>
        </w:rPr>
        <w:t xml:space="preserve">| &gt;2.5 (red dots) in the individual sheets of Supplementary Table </w:t>
      </w:r>
      <w:r>
        <w:rPr>
          <w:lang w:val="en-GB"/>
        </w:rPr>
        <w:t>2</w:t>
      </w:r>
      <w:r w:rsidRPr="00653C1C">
        <w:rPr>
          <w:lang w:val="en-GB"/>
        </w:rPr>
        <w:t xml:space="preserve">. </w:t>
      </w:r>
    </w:p>
    <w:p w:rsidR="00DC71E5" w:rsidRPr="00653C1C" w:rsidRDefault="00593710" w:rsidP="00C5629F">
      <w:pPr>
        <w:spacing w:line="276" w:lineRule="auto"/>
        <w:jc w:val="both"/>
        <w:rPr>
          <w:lang w:val="en-GB"/>
        </w:rPr>
      </w:pPr>
      <w:r>
        <w:rPr>
          <w:lang w:val="en-GB"/>
        </w:rPr>
        <w:t>A Venn diagram showing the DEGs for all four tissues and their overlaps is found in Figure 5 of the main text.</w:t>
      </w:r>
    </w:p>
    <w:p w:rsidR="00DC71E5" w:rsidRPr="00653C1C" w:rsidRDefault="00DC71E5" w:rsidP="00C5629F">
      <w:pPr>
        <w:spacing w:line="276" w:lineRule="auto"/>
        <w:jc w:val="both"/>
        <w:rPr>
          <w:lang w:val="en-GB"/>
        </w:rPr>
      </w:pPr>
      <w:r w:rsidRPr="00653C1C">
        <w:rPr>
          <w:lang w:val="en-GB"/>
        </w:rPr>
        <w:t xml:space="preserve">There are no genes differentially expressed in all four datasets, however there exist 8 genes that are differentially expressed in 3 out of 4 tissues. Their names and respective function (if relevant for OA) as described in the </w:t>
      </w:r>
      <w:proofErr w:type="spellStart"/>
      <w:r w:rsidRPr="00653C1C">
        <w:rPr>
          <w:lang w:val="en-GB"/>
        </w:rPr>
        <w:t>Uniprot</w:t>
      </w:r>
      <w:proofErr w:type="spellEnd"/>
      <w:r w:rsidR="00EF2A04">
        <w:rPr>
          <w:vertAlign w:val="superscript"/>
          <w:lang w:val="en-GB"/>
        </w:rPr>
        <w:t xml:space="preserve"> </w:t>
      </w:r>
      <w:r w:rsidRPr="00653C1C">
        <w:rPr>
          <w:lang w:val="en-GB"/>
        </w:rPr>
        <w:t xml:space="preserve">database is shown in </w:t>
      </w:r>
      <w:r w:rsidRPr="00653C1C">
        <w:rPr>
          <w:lang w:val="en-GB"/>
        </w:rPr>
        <w:fldChar w:fldCharType="begin"/>
      </w:r>
      <w:r w:rsidRPr="00653C1C">
        <w:rPr>
          <w:lang w:val="en-GB"/>
        </w:rPr>
        <w:instrText xml:space="preserve"> REF _Ref4409955 \h  \* MERGEFORMAT </w:instrText>
      </w:r>
      <w:r w:rsidRPr="00653C1C">
        <w:rPr>
          <w:lang w:val="en-GB"/>
        </w:rPr>
      </w:r>
      <w:r w:rsidRPr="00653C1C">
        <w:rPr>
          <w:lang w:val="en-GB"/>
        </w:rPr>
        <w:fldChar w:fldCharType="separate"/>
      </w:r>
      <w:r w:rsidRPr="00653C1C">
        <w:rPr>
          <w:lang w:val="en-GB"/>
        </w:rPr>
        <w:t xml:space="preserve">Table </w:t>
      </w:r>
      <w:r>
        <w:rPr>
          <w:noProof/>
          <w:lang w:val="en-GB"/>
        </w:rPr>
        <w:t>S</w:t>
      </w:r>
      <w:r w:rsidRPr="00653C1C">
        <w:rPr>
          <w:lang w:val="en-GB"/>
        </w:rPr>
        <w:fldChar w:fldCharType="end"/>
      </w:r>
      <w:r w:rsidR="00EF2A04">
        <w:rPr>
          <w:lang w:val="en-GB"/>
        </w:rPr>
        <w:t>1</w:t>
      </w:r>
      <w:r w:rsidRPr="00653C1C">
        <w:rPr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DC71E5" w:rsidRPr="00653C1C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Gene name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Function</w:t>
            </w:r>
          </w:p>
        </w:tc>
      </w:tr>
      <w:tr w:rsidR="00DC71E5" w:rsidRPr="00653C1C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CSN1S1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Encodes Alpha-S1-casein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APOD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Encodes component of high density lipoprotein, involved in transport and lipoprotein metabolism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FAP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Encodes prolyl endopeptidase protein, participates in extracellular matrix degradation and tissue remodelling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COL5A2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Encodes the collagen alpha-2(V) chain, constituent of extracellular matrix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MXRA5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Encodes matrix-</w:t>
            </w:r>
            <w:proofErr w:type="spellStart"/>
            <w:r w:rsidRPr="00653C1C">
              <w:rPr>
                <w:lang w:val="en-GB"/>
              </w:rPr>
              <w:t>remodeling</w:t>
            </w:r>
            <w:proofErr w:type="spellEnd"/>
            <w:r w:rsidRPr="00653C1C">
              <w:rPr>
                <w:lang w:val="en-GB"/>
              </w:rPr>
              <w:t>-associated protein 5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DEFA3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 xml:space="preserve">Encodes </w:t>
            </w:r>
            <w:proofErr w:type="spellStart"/>
            <w:r w:rsidRPr="00653C1C">
              <w:rPr>
                <w:lang w:val="en-GB"/>
              </w:rPr>
              <w:t>defensin</w:t>
            </w:r>
            <w:proofErr w:type="spellEnd"/>
            <w:r w:rsidRPr="00653C1C">
              <w:rPr>
                <w:lang w:val="en-GB"/>
              </w:rPr>
              <w:t xml:space="preserve"> 3 protein, involved in various </w:t>
            </w:r>
            <w:proofErr w:type="spellStart"/>
            <w:r w:rsidRPr="00653C1C">
              <w:rPr>
                <w:lang w:val="en-GB"/>
              </w:rPr>
              <w:t>defense</w:t>
            </w:r>
            <w:proofErr w:type="spellEnd"/>
            <w:r w:rsidRPr="00653C1C">
              <w:rPr>
                <w:lang w:val="en-GB"/>
              </w:rPr>
              <w:t>/innate immune responses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DEFA4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 xml:space="preserve">Encodes </w:t>
            </w:r>
            <w:proofErr w:type="spellStart"/>
            <w:r w:rsidRPr="00653C1C">
              <w:rPr>
                <w:lang w:val="en-GB"/>
              </w:rPr>
              <w:t>defensin</w:t>
            </w:r>
            <w:proofErr w:type="spellEnd"/>
            <w:r w:rsidRPr="00653C1C">
              <w:rPr>
                <w:lang w:val="en-GB"/>
              </w:rPr>
              <w:t xml:space="preserve"> 4 protein, involved in various </w:t>
            </w:r>
            <w:proofErr w:type="spellStart"/>
            <w:r w:rsidRPr="00653C1C">
              <w:rPr>
                <w:lang w:val="en-GB"/>
              </w:rPr>
              <w:t>defense</w:t>
            </w:r>
            <w:proofErr w:type="spellEnd"/>
            <w:r w:rsidRPr="00653C1C">
              <w:rPr>
                <w:lang w:val="en-GB"/>
              </w:rPr>
              <w:t>/innate immune responses</w:t>
            </w:r>
          </w:p>
        </w:tc>
      </w:tr>
      <w:tr w:rsidR="00DC71E5" w:rsidRPr="00451C57" w:rsidTr="00B8110D">
        <w:tc>
          <w:tcPr>
            <w:tcW w:w="1413" w:type="dxa"/>
          </w:tcPr>
          <w:p w:rsidR="00DC71E5" w:rsidRPr="00653C1C" w:rsidRDefault="00DC71E5" w:rsidP="00C5629F">
            <w:pPr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S100A8</w:t>
            </w:r>
          </w:p>
        </w:tc>
        <w:tc>
          <w:tcPr>
            <w:tcW w:w="7649" w:type="dxa"/>
          </w:tcPr>
          <w:p w:rsidR="00DC71E5" w:rsidRPr="00653C1C" w:rsidRDefault="00DC71E5" w:rsidP="00C5629F">
            <w:pPr>
              <w:keepNext/>
              <w:spacing w:line="276" w:lineRule="auto"/>
              <w:jc w:val="both"/>
              <w:rPr>
                <w:lang w:val="en-GB"/>
              </w:rPr>
            </w:pPr>
            <w:r w:rsidRPr="00653C1C">
              <w:rPr>
                <w:lang w:val="en-GB"/>
              </w:rPr>
              <w:t>Encodes calcium –and zinc binding protein S100-A8, regulates inflammatory processes</w:t>
            </w:r>
          </w:p>
        </w:tc>
      </w:tr>
    </w:tbl>
    <w:p w:rsidR="00DC71E5" w:rsidRPr="00653C1C" w:rsidRDefault="00DC71E5" w:rsidP="00C5629F">
      <w:pPr>
        <w:pStyle w:val="Caption"/>
        <w:spacing w:after="0" w:line="276" w:lineRule="auto"/>
        <w:jc w:val="center"/>
        <w:rPr>
          <w:lang w:val="en-GB"/>
        </w:rPr>
      </w:pPr>
      <w:bookmarkStart w:id="2" w:name="_Ref4409955"/>
      <w:r w:rsidRPr="00653C1C">
        <w:rPr>
          <w:color w:val="auto"/>
          <w:lang w:val="en-GB"/>
        </w:rPr>
        <w:t xml:space="preserve">Table </w:t>
      </w:r>
      <w:r>
        <w:rPr>
          <w:color w:val="auto"/>
          <w:lang w:val="en-GB"/>
        </w:rPr>
        <w:t>S</w:t>
      </w:r>
      <w:bookmarkEnd w:id="2"/>
      <w:r w:rsidRPr="000F12A6">
        <w:rPr>
          <w:color w:val="auto"/>
          <w:lang w:val="en-GB"/>
        </w:rPr>
        <w:t>1</w:t>
      </w:r>
      <w:r w:rsidRPr="00653C1C">
        <w:rPr>
          <w:color w:val="auto"/>
          <w:lang w:val="en-GB"/>
        </w:rPr>
        <w:t>: DEGs (overlap in 3 out o</w:t>
      </w:r>
      <w:r>
        <w:rPr>
          <w:color w:val="auto"/>
          <w:lang w:val="en-GB"/>
        </w:rPr>
        <w:t>f 4 datasets) and their function</w:t>
      </w:r>
    </w:p>
    <w:sectPr w:rsidR="00DC71E5" w:rsidRPr="00653C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74"/>
    <w:rsid w:val="002D0B8B"/>
    <w:rsid w:val="00451C57"/>
    <w:rsid w:val="00593710"/>
    <w:rsid w:val="005D71C0"/>
    <w:rsid w:val="0060217C"/>
    <w:rsid w:val="006C550A"/>
    <w:rsid w:val="007E4547"/>
    <w:rsid w:val="008A62B9"/>
    <w:rsid w:val="00987C74"/>
    <w:rsid w:val="00A95A1D"/>
    <w:rsid w:val="00B12AC5"/>
    <w:rsid w:val="00C5629F"/>
    <w:rsid w:val="00CD5748"/>
    <w:rsid w:val="00CE60FB"/>
    <w:rsid w:val="00DC71E5"/>
    <w:rsid w:val="00EF2A04"/>
    <w:rsid w:val="00FE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EA0B6-B617-473A-8EF5-5A9208B4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1E5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C71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C71E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62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hyperlink" Target="mailto:leo@mail.ntua.gr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800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Neidlin</dc:creator>
  <cp:keywords/>
  <dc:description/>
  <cp:lastModifiedBy>Michael Neidlin</cp:lastModifiedBy>
  <cp:revision>4</cp:revision>
  <dcterms:created xsi:type="dcterms:W3CDTF">2019-09-26T09:15:00Z</dcterms:created>
  <dcterms:modified xsi:type="dcterms:W3CDTF">2019-09-26T09:17:00Z</dcterms:modified>
</cp:coreProperties>
</file>