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50D" w:rsidRDefault="00C9050D" w:rsidP="00B00A59">
      <w:pPr>
        <w:pStyle w:val="CitaviBibliographyEntry"/>
        <w:rPr>
          <w:rFonts w:ascii="Arial" w:eastAsia="Calibri" w:hAnsi="Arial"/>
          <w:b/>
          <w:sz w:val="22"/>
          <w:szCs w:val="22"/>
          <w:lang w:val="en-US" w:eastAsia="en-US"/>
        </w:rPr>
      </w:pPr>
      <w:r w:rsidRPr="00862D11">
        <w:rPr>
          <w:rFonts w:ascii="Arial" w:eastAsia="Calibri" w:hAnsi="Arial"/>
          <w:b/>
          <w:sz w:val="22"/>
          <w:szCs w:val="22"/>
          <w:lang w:val="en-US" w:eastAsia="en-US"/>
        </w:rPr>
        <w:t>SUPPLEMENT</w:t>
      </w:r>
      <w:r>
        <w:rPr>
          <w:rFonts w:ascii="Arial" w:eastAsia="Calibri" w:hAnsi="Arial"/>
          <w:b/>
          <w:sz w:val="22"/>
          <w:szCs w:val="22"/>
          <w:lang w:val="en-US" w:eastAsia="en-US"/>
        </w:rPr>
        <w:t>ARY INFORMATION</w:t>
      </w:r>
    </w:p>
    <w:p w:rsidR="00C9050D" w:rsidRDefault="00C9050D" w:rsidP="00B00A59">
      <w:pPr>
        <w:pStyle w:val="CitaviBibliographyEntry"/>
        <w:rPr>
          <w:rFonts w:ascii="Arial" w:eastAsia="Calibri" w:hAnsi="Arial"/>
          <w:b/>
          <w:sz w:val="22"/>
          <w:szCs w:val="22"/>
          <w:lang w:val="en-US" w:eastAsia="en-US"/>
        </w:rPr>
      </w:pPr>
    </w:p>
    <w:p w:rsidR="00C9050D" w:rsidRDefault="00C9050D" w:rsidP="00B00A59">
      <w:pPr>
        <w:pStyle w:val="CitaviBibliographyEntry"/>
        <w:rPr>
          <w:rFonts w:ascii="Arial" w:eastAsia="Calibri" w:hAnsi="Arial"/>
          <w:b/>
          <w:sz w:val="22"/>
          <w:szCs w:val="22"/>
          <w:lang w:val="en-US" w:eastAsia="en-US"/>
        </w:rPr>
      </w:pPr>
    </w:p>
    <w:p w:rsidR="00C9050D" w:rsidRPr="00C9050D" w:rsidRDefault="00C9050D" w:rsidP="00C9050D">
      <w:pPr>
        <w:pStyle w:val="Titel"/>
        <w:spacing w:line="276" w:lineRule="auto"/>
        <w:jc w:val="both"/>
        <w:rPr>
          <w:rFonts w:ascii="Arial" w:hAnsi="Arial" w:cs="Arial"/>
          <w:bCs w:val="0"/>
          <w:szCs w:val="22"/>
          <w:u w:val="none"/>
          <w:lang w:val="en-US"/>
        </w:rPr>
      </w:pPr>
      <w:r w:rsidRPr="00C9050D">
        <w:rPr>
          <w:rFonts w:ascii="Arial" w:hAnsi="Arial" w:cs="Arial"/>
          <w:b w:val="0"/>
          <w:bCs w:val="0"/>
          <w:szCs w:val="22"/>
          <w:u w:val="none"/>
          <w:lang w:val="en-US"/>
        </w:rPr>
        <w:t>Association of Vision-related Quality of Life with Visual Function in Age-Related Macular Degeneration</w:t>
      </w:r>
    </w:p>
    <w:p w:rsidR="00C9050D" w:rsidRPr="00480D99" w:rsidRDefault="00C9050D" w:rsidP="00C9050D">
      <w:pPr>
        <w:spacing w:line="276" w:lineRule="auto"/>
        <w:rPr>
          <w:lang w:val="en-US"/>
        </w:rPr>
      </w:pPr>
    </w:p>
    <w:p w:rsidR="00C9050D" w:rsidRPr="000824DA" w:rsidRDefault="00C9050D" w:rsidP="00C9050D">
      <w:pPr>
        <w:pStyle w:val="Titel"/>
        <w:spacing w:line="276" w:lineRule="auto"/>
        <w:jc w:val="both"/>
        <w:rPr>
          <w:rFonts w:ascii="Arial" w:hAnsi="Arial" w:cs="Arial"/>
          <w:b w:val="0"/>
          <w:bCs w:val="0"/>
          <w:sz w:val="22"/>
          <w:szCs w:val="22"/>
          <w:u w:val="none"/>
        </w:rPr>
      </w:pPr>
      <w:r w:rsidRPr="000824DA">
        <w:rPr>
          <w:rFonts w:ascii="Arial" w:hAnsi="Arial" w:cs="Arial"/>
          <w:b w:val="0"/>
          <w:bCs w:val="0"/>
          <w:sz w:val="22"/>
          <w:szCs w:val="22"/>
          <w:u w:val="none"/>
        </w:rPr>
        <w:t>Susanne G. Pondorfer</w:t>
      </w:r>
      <w:r w:rsidRPr="000824DA">
        <w:rPr>
          <w:rFonts w:ascii="Arial" w:hAnsi="Arial" w:cs="Arial"/>
          <w:b w:val="0"/>
          <w:bCs w:val="0"/>
          <w:sz w:val="22"/>
          <w:szCs w:val="22"/>
          <w:u w:val="none"/>
          <w:vertAlign w:val="superscript"/>
        </w:rPr>
        <w:t>1</w:t>
      </w:r>
      <w:r w:rsidRPr="000824DA">
        <w:rPr>
          <w:rFonts w:ascii="Arial" w:hAnsi="Arial" w:cs="Arial"/>
          <w:b w:val="0"/>
          <w:bCs w:val="0"/>
          <w:sz w:val="22"/>
          <w:szCs w:val="22"/>
          <w:u w:val="none"/>
        </w:rPr>
        <w:t>, Jan. H. Terheyden</w:t>
      </w:r>
      <w:r w:rsidRPr="000824DA">
        <w:rPr>
          <w:rFonts w:ascii="Arial" w:hAnsi="Arial" w:cs="Arial"/>
          <w:b w:val="0"/>
          <w:bCs w:val="0"/>
          <w:sz w:val="22"/>
          <w:szCs w:val="22"/>
          <w:u w:val="none"/>
          <w:vertAlign w:val="superscript"/>
        </w:rPr>
        <w:t>1</w:t>
      </w:r>
      <w:r w:rsidRPr="000824DA">
        <w:rPr>
          <w:rFonts w:ascii="Arial" w:hAnsi="Arial" w:cs="Arial"/>
          <w:b w:val="0"/>
          <w:bCs w:val="0"/>
          <w:sz w:val="22"/>
          <w:szCs w:val="22"/>
          <w:u w:val="none"/>
        </w:rPr>
        <w:t>, Manuel Heinemann</w:t>
      </w:r>
      <w:r w:rsidRPr="000824DA">
        <w:rPr>
          <w:rFonts w:ascii="Arial" w:hAnsi="Arial" w:cs="Arial"/>
          <w:b w:val="0"/>
          <w:bCs w:val="0"/>
          <w:sz w:val="22"/>
          <w:szCs w:val="22"/>
          <w:u w:val="none"/>
          <w:vertAlign w:val="superscript"/>
        </w:rPr>
        <w:t>1</w:t>
      </w:r>
      <w:r w:rsidRPr="000824DA">
        <w:rPr>
          <w:rFonts w:ascii="Arial" w:hAnsi="Arial" w:cs="Arial"/>
          <w:b w:val="0"/>
          <w:bCs w:val="0"/>
          <w:sz w:val="22"/>
          <w:szCs w:val="22"/>
          <w:u w:val="none"/>
        </w:rPr>
        <w:t>, Maximilian M.W. Wintergerst</w:t>
      </w:r>
      <w:r w:rsidRPr="000824DA">
        <w:rPr>
          <w:rFonts w:ascii="Arial" w:hAnsi="Arial" w:cs="Arial"/>
          <w:b w:val="0"/>
          <w:bCs w:val="0"/>
          <w:sz w:val="22"/>
          <w:szCs w:val="22"/>
          <w:u w:val="none"/>
          <w:vertAlign w:val="superscript"/>
        </w:rPr>
        <w:t>1</w:t>
      </w:r>
      <w:r w:rsidRPr="000824DA">
        <w:rPr>
          <w:rFonts w:ascii="Arial" w:hAnsi="Arial" w:cs="Arial"/>
          <w:b w:val="0"/>
          <w:bCs w:val="0"/>
          <w:sz w:val="22"/>
          <w:szCs w:val="22"/>
          <w:u w:val="none"/>
        </w:rPr>
        <w:t>,</w:t>
      </w:r>
      <w:r>
        <w:rPr>
          <w:rFonts w:ascii="Arial" w:hAnsi="Arial" w:cs="Arial"/>
          <w:b w:val="0"/>
          <w:bCs w:val="0"/>
          <w:sz w:val="22"/>
          <w:szCs w:val="22"/>
          <w:u w:val="none"/>
        </w:rPr>
        <w:t xml:space="preserve"> </w:t>
      </w:r>
      <w:r w:rsidRPr="000824DA">
        <w:rPr>
          <w:rFonts w:ascii="Arial" w:hAnsi="Arial" w:cs="Arial"/>
          <w:b w:val="0"/>
          <w:bCs w:val="0"/>
          <w:sz w:val="22"/>
          <w:szCs w:val="22"/>
          <w:u w:val="none"/>
        </w:rPr>
        <w:t>Frank G. Holz</w:t>
      </w:r>
      <w:r w:rsidRPr="000824DA">
        <w:rPr>
          <w:rFonts w:ascii="Arial" w:hAnsi="Arial" w:cs="Arial"/>
          <w:b w:val="0"/>
          <w:bCs w:val="0"/>
          <w:sz w:val="22"/>
          <w:szCs w:val="22"/>
          <w:u w:val="none"/>
          <w:vertAlign w:val="superscript"/>
        </w:rPr>
        <w:t>1</w:t>
      </w:r>
      <w:r w:rsidRPr="000824DA">
        <w:rPr>
          <w:rFonts w:ascii="Arial" w:hAnsi="Arial" w:cs="Arial"/>
          <w:b w:val="0"/>
          <w:bCs w:val="0"/>
          <w:sz w:val="22"/>
          <w:szCs w:val="22"/>
          <w:u w:val="none"/>
        </w:rPr>
        <w:t>, Robert P. Finger</w:t>
      </w:r>
      <w:r w:rsidRPr="000824DA">
        <w:rPr>
          <w:rFonts w:ascii="Arial" w:hAnsi="Arial" w:cs="Arial"/>
          <w:b w:val="0"/>
          <w:bCs w:val="0"/>
          <w:sz w:val="22"/>
          <w:szCs w:val="22"/>
          <w:u w:val="none"/>
          <w:vertAlign w:val="superscript"/>
        </w:rPr>
        <w:t>1</w:t>
      </w:r>
      <w:r>
        <w:rPr>
          <w:rFonts w:ascii="Arial" w:hAnsi="Arial" w:cs="Arial"/>
          <w:b w:val="0"/>
          <w:bCs w:val="0"/>
          <w:sz w:val="22"/>
          <w:szCs w:val="22"/>
          <w:u w:val="none"/>
          <w:vertAlign w:val="superscript"/>
        </w:rPr>
        <w:t>*</w:t>
      </w:r>
    </w:p>
    <w:p w:rsidR="00C9050D" w:rsidRPr="000824DA" w:rsidRDefault="00C9050D" w:rsidP="00C9050D">
      <w:pPr>
        <w:pStyle w:val="Titel"/>
        <w:spacing w:line="276" w:lineRule="auto"/>
        <w:jc w:val="both"/>
        <w:rPr>
          <w:rFonts w:ascii="Arial" w:hAnsi="Arial" w:cs="Arial"/>
          <w:b w:val="0"/>
          <w:bCs w:val="0"/>
          <w:sz w:val="22"/>
          <w:szCs w:val="22"/>
          <w:u w:val="none"/>
        </w:rPr>
      </w:pPr>
    </w:p>
    <w:p w:rsidR="00C9050D" w:rsidRPr="00E24D03" w:rsidRDefault="00C9050D" w:rsidP="00C9050D">
      <w:pPr>
        <w:spacing w:line="276" w:lineRule="auto"/>
        <w:jc w:val="left"/>
        <w:rPr>
          <w:rFonts w:ascii="Arial" w:hAnsi="Arial" w:cs="Arial"/>
          <w:sz w:val="22"/>
          <w:szCs w:val="22"/>
        </w:rPr>
      </w:pPr>
      <w:r w:rsidRPr="000824DA">
        <w:rPr>
          <w:rFonts w:ascii="Arial" w:hAnsi="Arial" w:cs="Arial"/>
          <w:b/>
          <w:bCs/>
          <w:sz w:val="22"/>
          <w:szCs w:val="22"/>
          <w:vertAlign w:val="superscript"/>
          <w:lang w:val="en-GB"/>
        </w:rPr>
        <w:t>1</w:t>
      </w:r>
      <w:r w:rsidRPr="00534D23">
        <w:rPr>
          <w:rFonts w:ascii="Arial" w:hAnsi="Arial" w:cs="Arial"/>
          <w:sz w:val="22"/>
          <w:szCs w:val="22"/>
          <w:lang w:val="en-US"/>
        </w:rPr>
        <w:t>Dept. of O</w:t>
      </w:r>
      <w:r>
        <w:rPr>
          <w:rFonts w:ascii="Arial" w:hAnsi="Arial" w:cs="Arial"/>
          <w:sz w:val="22"/>
          <w:szCs w:val="22"/>
          <w:lang w:val="en-US"/>
        </w:rPr>
        <w:t>phthalmology, University of Bonn</w:t>
      </w:r>
      <w:r>
        <w:rPr>
          <w:rFonts w:ascii="Arial" w:hAnsi="Arial" w:cs="Arial"/>
          <w:sz w:val="22"/>
          <w:szCs w:val="22"/>
          <w:lang w:val="en-US"/>
        </w:rPr>
        <w:br/>
        <w:t xml:space="preserve">Ernst-Abbe-Str. </w:t>
      </w:r>
      <w:r w:rsidRPr="00E24D03">
        <w:rPr>
          <w:rFonts w:ascii="Arial" w:hAnsi="Arial" w:cs="Arial"/>
          <w:sz w:val="22"/>
          <w:szCs w:val="22"/>
        </w:rPr>
        <w:t>2, D-53127 Bonn, Germany</w:t>
      </w:r>
    </w:p>
    <w:p w:rsidR="00C9050D" w:rsidRPr="00E24D03" w:rsidRDefault="00C9050D" w:rsidP="00C9050D">
      <w:pPr>
        <w:spacing w:line="276" w:lineRule="auto"/>
        <w:rPr>
          <w:rFonts w:ascii="Arial" w:hAnsi="Arial" w:cs="Arial"/>
          <w:sz w:val="22"/>
          <w:szCs w:val="22"/>
        </w:rPr>
      </w:pPr>
      <w:r w:rsidRPr="00E24D03">
        <w:rPr>
          <w:rFonts w:ascii="Helv" w:hAnsi="Helv" w:cs="Helv"/>
          <w:color w:val="000000"/>
          <w:sz w:val="22"/>
          <w:szCs w:val="22"/>
          <w:lang w:eastAsia="en-US"/>
        </w:rPr>
        <w:t>*robert.finger@ukbonn.de</w:t>
      </w:r>
    </w:p>
    <w:p w:rsidR="00C9050D" w:rsidRPr="00E24D03" w:rsidRDefault="00C9050D" w:rsidP="00B00A59">
      <w:pPr>
        <w:pStyle w:val="CitaviBibliographyEntry"/>
        <w:rPr>
          <w:rFonts w:ascii="Arial" w:eastAsia="Calibri" w:hAnsi="Arial"/>
          <w:b/>
          <w:sz w:val="22"/>
          <w:szCs w:val="22"/>
          <w:lang w:eastAsia="en-US"/>
        </w:rPr>
      </w:pPr>
    </w:p>
    <w:p w:rsidR="00C9050D" w:rsidRPr="00E24D03" w:rsidRDefault="00C9050D" w:rsidP="00B00A59">
      <w:pPr>
        <w:pStyle w:val="CitaviBibliographyEntry"/>
        <w:rPr>
          <w:rFonts w:ascii="Arial" w:eastAsia="Calibri" w:hAnsi="Arial"/>
          <w:b/>
          <w:sz w:val="22"/>
          <w:szCs w:val="22"/>
          <w:lang w:eastAsia="en-US"/>
        </w:rPr>
      </w:pPr>
    </w:p>
    <w:p w:rsidR="00C9050D" w:rsidRPr="00E24D03" w:rsidRDefault="00C9050D">
      <w:pPr>
        <w:spacing w:after="200" w:line="276" w:lineRule="auto"/>
        <w:jc w:val="left"/>
        <w:rPr>
          <w:rFonts w:ascii="Arial" w:eastAsia="Calibri" w:hAnsi="Arial"/>
          <w:b/>
          <w:sz w:val="22"/>
          <w:szCs w:val="22"/>
          <w:lang w:eastAsia="en-US"/>
        </w:rPr>
      </w:pPr>
      <w:r w:rsidRPr="00E24D03">
        <w:rPr>
          <w:rFonts w:ascii="Arial" w:eastAsia="Calibri" w:hAnsi="Arial"/>
          <w:b/>
          <w:sz w:val="22"/>
          <w:szCs w:val="22"/>
          <w:lang w:eastAsia="en-US"/>
        </w:rPr>
        <w:br w:type="page"/>
      </w:r>
    </w:p>
    <w:p w:rsidR="00B00A59" w:rsidRDefault="00B00A59" w:rsidP="00B00A59">
      <w:pPr>
        <w:pStyle w:val="CitaviBibliographyEntry"/>
        <w:rPr>
          <w:rFonts w:ascii="Arial" w:eastAsia="Calibri" w:hAnsi="Arial"/>
          <w:b/>
          <w:sz w:val="22"/>
          <w:szCs w:val="22"/>
          <w:lang w:val="en-US" w:eastAsia="en-US"/>
        </w:rPr>
      </w:pPr>
      <w:r w:rsidRPr="00862D11">
        <w:rPr>
          <w:rFonts w:ascii="Arial" w:eastAsia="Calibri" w:hAnsi="Arial"/>
          <w:b/>
          <w:sz w:val="22"/>
          <w:szCs w:val="22"/>
          <w:lang w:val="en-US" w:eastAsia="en-US"/>
        </w:rPr>
        <w:lastRenderedPageBreak/>
        <w:t>SUPPLEMEMT 2</w:t>
      </w:r>
    </w:p>
    <w:p w:rsidR="00B00A59" w:rsidRPr="00862D11" w:rsidRDefault="00B00A59" w:rsidP="00B00A59">
      <w:pPr>
        <w:pStyle w:val="CitaviBibliographyEntry"/>
        <w:rPr>
          <w:rFonts w:ascii="Arial" w:eastAsia="Calibri" w:hAnsi="Arial"/>
          <w:b/>
          <w:sz w:val="22"/>
          <w:szCs w:val="22"/>
          <w:lang w:val="en-US" w:eastAsia="en-US"/>
        </w:rPr>
      </w:pPr>
    </w:p>
    <w:p w:rsidR="00B00A59" w:rsidRDefault="00B00A59" w:rsidP="00B00A59">
      <w:pPr>
        <w:autoSpaceDE w:val="0"/>
        <w:autoSpaceDN w:val="0"/>
        <w:adjustRightInd w:val="0"/>
        <w:spacing w:line="480" w:lineRule="auto"/>
        <w:rPr>
          <w:rFonts w:ascii="Arial" w:hAnsi="Arial" w:cs="Arial"/>
          <w:color w:val="000000"/>
          <w:sz w:val="22"/>
          <w:szCs w:val="22"/>
          <w:lang w:val="en-US"/>
        </w:rPr>
      </w:pPr>
      <w:r w:rsidRPr="00862D11">
        <w:rPr>
          <w:rFonts w:ascii="Arial" w:hAnsi="Arial" w:cs="Arial"/>
          <w:color w:val="000000"/>
          <w:sz w:val="22"/>
          <w:szCs w:val="22"/>
          <w:lang w:val="en-US"/>
        </w:rPr>
        <w:t xml:space="preserve">During </w:t>
      </w:r>
      <w:proofErr w:type="spellStart"/>
      <w:r w:rsidRPr="00862D11">
        <w:rPr>
          <w:rFonts w:ascii="Arial" w:hAnsi="Arial" w:cs="Arial"/>
          <w:color w:val="000000"/>
          <w:sz w:val="22"/>
          <w:szCs w:val="22"/>
          <w:lang w:val="en-US"/>
        </w:rPr>
        <w:t>Rasch</w:t>
      </w:r>
      <w:proofErr w:type="spellEnd"/>
      <w:r w:rsidRPr="00862D11">
        <w:rPr>
          <w:rFonts w:ascii="Arial" w:hAnsi="Arial" w:cs="Arial"/>
          <w:color w:val="000000"/>
          <w:sz w:val="22"/>
          <w:szCs w:val="22"/>
          <w:lang w:val="en-US"/>
        </w:rPr>
        <w:t xml:space="preserve"> analysis, the total IVI scale suggested evidence of multidimensionality, with an eigenvalue of 3.38 (although PCA for the first factor explained &gt; 50% of the variance) and three </w:t>
      </w:r>
      <w:proofErr w:type="spellStart"/>
      <w:r w:rsidRPr="00862D11">
        <w:rPr>
          <w:rFonts w:ascii="Arial" w:hAnsi="Arial" w:cs="Arial"/>
          <w:color w:val="000000"/>
          <w:sz w:val="22"/>
          <w:szCs w:val="22"/>
          <w:lang w:val="en-US"/>
        </w:rPr>
        <w:t>misfitting</w:t>
      </w:r>
      <w:proofErr w:type="spellEnd"/>
      <w:r w:rsidRPr="00862D11">
        <w:rPr>
          <w:rFonts w:ascii="Arial" w:hAnsi="Arial" w:cs="Arial"/>
          <w:color w:val="000000"/>
          <w:sz w:val="22"/>
          <w:szCs w:val="22"/>
          <w:lang w:val="en-US"/>
        </w:rPr>
        <w:t xml:space="preserve"> items, and it was subsequently split into its three component scales: “Reading and Accessing Information” (9 items), “Mobility and Independence” (10 items) and “Emotional well-being” (8 items). For the reading subscale, PSI and PR were 2.28 and 0.84, respectively, indicating that three levels of person strata can be detected. There was minimal evidence of multidimensionality with the PCA for the first factor explaining &gt;60% of the variance and the eigenvalue for the first contrast of 1.86. No DIF was found was for sex and age. The mobility subscale had a PSI of 2.06 and a PR of 0.81. Item 4 displayed misfit, but was retained as its removal did not improve fit statistics. The PCA of the residuals was 58.9%, and the first contrast of the residuals was 1.97 eigenvalue, which is acceptable for the requirements of </w:t>
      </w:r>
      <w:proofErr w:type="spellStart"/>
      <w:r w:rsidRPr="00862D11">
        <w:rPr>
          <w:rFonts w:ascii="Arial" w:hAnsi="Arial" w:cs="Arial"/>
          <w:color w:val="000000"/>
          <w:sz w:val="22"/>
          <w:szCs w:val="22"/>
          <w:lang w:val="en-US"/>
        </w:rPr>
        <w:t>unidimensionality</w:t>
      </w:r>
      <w:proofErr w:type="spellEnd"/>
      <w:r w:rsidRPr="00862D11">
        <w:rPr>
          <w:rFonts w:ascii="Arial" w:hAnsi="Arial" w:cs="Arial"/>
          <w:color w:val="000000"/>
          <w:sz w:val="22"/>
          <w:szCs w:val="22"/>
          <w:lang w:val="en-US"/>
        </w:rPr>
        <w:t>. No DIF was found for sex but item 19 displayed DIF for age (the younger age group responded differently to this item compared to the older age group &gt;</w:t>
      </w:r>
      <w:r w:rsidRPr="00AF7698">
        <w:rPr>
          <w:rFonts w:ascii="Arial" w:hAnsi="Arial" w:cs="Arial"/>
          <w:color w:val="000000"/>
          <w:sz w:val="22"/>
          <w:szCs w:val="22"/>
          <w:lang w:val="en-US"/>
        </w:rPr>
        <w:t>75 years). As we adjusted for age in the regression models we did not remove the item. For the</w:t>
      </w:r>
      <w:r w:rsidRPr="00862D11">
        <w:rPr>
          <w:rFonts w:ascii="Arial" w:hAnsi="Arial" w:cs="Arial"/>
          <w:color w:val="000000"/>
          <w:sz w:val="22"/>
          <w:szCs w:val="22"/>
          <w:lang w:val="en-US"/>
        </w:rPr>
        <w:t xml:space="preserve"> emotional subscale, PSI and PR were 2.02 and 0.80, also indicating that three levels of person strata can be detected. There was no evidence of multidimensionality with the PCA of the residuals of 67.5% and the eigenvalue for the first contrast of 1.85. DIF was found for age, where item 21 had a DIF contrast of 1.47 logits. The item was retained, as it captures important information pertaining to emotional well-being and its removal did not alter the fit statistics relevantly. Targeting was suboptimal for the total IVI scale as well as for the three domains (difference between person and item mean &gt;1.0 for all) indicating that participants had higher ability levels than the mean difficulty of the items.</w:t>
      </w:r>
      <w:r>
        <w:rPr>
          <w:rFonts w:ascii="Arial" w:hAnsi="Arial" w:cs="Arial"/>
          <w:color w:val="000000"/>
          <w:sz w:val="22"/>
          <w:szCs w:val="22"/>
          <w:lang w:val="en-US"/>
        </w:rPr>
        <w:t xml:space="preserve"> </w:t>
      </w:r>
    </w:p>
    <w:p w:rsidR="00E24D03" w:rsidRDefault="00E24D03">
      <w:pPr>
        <w:spacing w:after="200" w:line="276" w:lineRule="auto"/>
        <w:jc w:val="left"/>
        <w:rPr>
          <w:lang w:val="en-US"/>
        </w:rPr>
      </w:pPr>
      <w:r>
        <w:rPr>
          <w:lang w:val="en-US"/>
        </w:rPr>
        <w:br w:type="page"/>
      </w:r>
    </w:p>
    <w:p w:rsidR="00B00A59" w:rsidRPr="0074087F" w:rsidRDefault="00B00A59" w:rsidP="00B00A59">
      <w:pPr>
        <w:rPr>
          <w:rFonts w:ascii="Arial" w:eastAsiaTheme="minorHAnsi" w:hAnsi="Arial" w:cstheme="minorBidi"/>
          <w:b/>
          <w:sz w:val="18"/>
          <w:szCs w:val="22"/>
          <w:lang w:val="en-US" w:eastAsia="en-US"/>
        </w:rPr>
      </w:pPr>
      <w:bookmarkStart w:id="0" w:name="_GoBack"/>
      <w:bookmarkEnd w:id="0"/>
      <w:r w:rsidRPr="004C2223">
        <w:rPr>
          <w:rFonts w:ascii="Arial" w:eastAsiaTheme="minorHAnsi" w:hAnsi="Arial" w:cstheme="minorBidi"/>
          <w:b/>
          <w:sz w:val="18"/>
          <w:szCs w:val="22"/>
          <w:lang w:val="en-US" w:eastAsia="en-US"/>
        </w:rPr>
        <w:lastRenderedPageBreak/>
        <w:t>Table 7</w:t>
      </w:r>
      <w:r>
        <w:rPr>
          <w:rFonts w:ascii="Arial" w:eastAsiaTheme="minorHAnsi" w:hAnsi="Arial" w:cstheme="minorBidi"/>
          <w:sz w:val="18"/>
          <w:szCs w:val="22"/>
          <w:lang w:val="en-US" w:eastAsia="en-US"/>
        </w:rPr>
        <w:t xml:space="preserve">: </w:t>
      </w:r>
      <w:r w:rsidRPr="0074087F">
        <w:rPr>
          <w:rFonts w:ascii="Arial" w:eastAsiaTheme="minorHAnsi" w:hAnsi="Arial" w:cstheme="minorBidi"/>
          <w:sz w:val="18"/>
          <w:szCs w:val="22"/>
          <w:lang w:val="en-US" w:eastAsia="en-US"/>
        </w:rPr>
        <w:t xml:space="preserve">Fit parameters of the Complete IVI, Reading IVI, Mobility IVI and Emotional IVI compared with </w:t>
      </w:r>
      <w:proofErr w:type="spellStart"/>
      <w:r w:rsidRPr="0074087F">
        <w:rPr>
          <w:rFonts w:ascii="Arial" w:eastAsiaTheme="minorHAnsi" w:hAnsi="Arial" w:cstheme="minorBidi"/>
          <w:sz w:val="18"/>
          <w:szCs w:val="22"/>
          <w:lang w:val="en-US" w:eastAsia="en-US"/>
        </w:rPr>
        <w:t>Rasch</w:t>
      </w:r>
      <w:proofErr w:type="spellEnd"/>
      <w:r w:rsidRPr="0074087F">
        <w:rPr>
          <w:rFonts w:ascii="Arial" w:eastAsiaTheme="minorHAnsi" w:hAnsi="Arial" w:cstheme="minorBidi"/>
          <w:sz w:val="18"/>
          <w:szCs w:val="22"/>
          <w:lang w:val="en-US" w:eastAsia="en-US"/>
        </w:rPr>
        <w:t xml:space="preserve"> Model Requirements</w:t>
      </w:r>
    </w:p>
    <w:tbl>
      <w:tblPr>
        <w:tblStyle w:val="Tabellenraster11"/>
        <w:tblW w:w="8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928"/>
        <w:gridCol w:w="1382"/>
        <w:gridCol w:w="859"/>
        <w:gridCol w:w="1058"/>
        <w:gridCol w:w="1119"/>
      </w:tblGrid>
      <w:tr w:rsidR="00B00A59" w:rsidRPr="0074087F" w:rsidTr="00B26486">
        <w:tc>
          <w:tcPr>
            <w:tcW w:w="2802" w:type="dxa"/>
            <w:tcBorders>
              <w:top w:val="single" w:sz="4" w:space="0" w:color="auto"/>
              <w:bottom w:val="single" w:sz="4" w:space="0" w:color="auto"/>
            </w:tcBorders>
          </w:tcPr>
          <w:p w:rsidR="00B00A59" w:rsidRPr="0074087F" w:rsidRDefault="00B00A59" w:rsidP="00B26486">
            <w:pPr>
              <w:rPr>
                <w:rFonts w:ascii="Arial" w:eastAsiaTheme="minorHAnsi" w:hAnsi="Arial" w:cstheme="minorBidi"/>
                <w:b/>
                <w:sz w:val="18"/>
                <w:szCs w:val="22"/>
                <w:lang w:val="en-US" w:eastAsia="en-US"/>
              </w:rPr>
            </w:pPr>
            <w:r w:rsidRPr="0074087F">
              <w:rPr>
                <w:rFonts w:ascii="Arial" w:eastAsiaTheme="minorHAnsi" w:hAnsi="Arial" w:cstheme="minorBidi"/>
                <w:b/>
                <w:sz w:val="18"/>
                <w:szCs w:val="22"/>
                <w:lang w:val="en-US" w:eastAsia="en-US"/>
              </w:rPr>
              <w:t>Parameters</w:t>
            </w:r>
          </w:p>
        </w:tc>
        <w:tc>
          <w:tcPr>
            <w:tcW w:w="928" w:type="dxa"/>
            <w:tcBorders>
              <w:top w:val="single" w:sz="4" w:space="0" w:color="auto"/>
              <w:bottom w:val="single" w:sz="4" w:space="0" w:color="auto"/>
            </w:tcBorders>
          </w:tcPr>
          <w:p w:rsidR="00B00A59" w:rsidRPr="0074087F" w:rsidRDefault="00B00A59" w:rsidP="00B26486">
            <w:pPr>
              <w:rPr>
                <w:rFonts w:ascii="Arial" w:eastAsiaTheme="minorHAnsi" w:hAnsi="Arial" w:cstheme="minorBidi"/>
                <w:b/>
                <w:sz w:val="18"/>
                <w:szCs w:val="22"/>
                <w:lang w:val="en-US" w:eastAsia="en-US"/>
              </w:rPr>
            </w:pPr>
            <w:proofErr w:type="spellStart"/>
            <w:r w:rsidRPr="0074087F">
              <w:rPr>
                <w:rFonts w:ascii="Arial" w:eastAsiaTheme="minorHAnsi" w:hAnsi="Arial" w:cstheme="minorBidi"/>
                <w:b/>
                <w:sz w:val="18"/>
                <w:szCs w:val="22"/>
                <w:lang w:val="en-US" w:eastAsia="en-US"/>
              </w:rPr>
              <w:t>Rasch</w:t>
            </w:r>
            <w:proofErr w:type="spellEnd"/>
            <w:r w:rsidRPr="0074087F">
              <w:rPr>
                <w:rFonts w:ascii="Arial" w:eastAsiaTheme="minorHAnsi" w:hAnsi="Arial" w:cstheme="minorBidi"/>
                <w:b/>
                <w:sz w:val="18"/>
                <w:szCs w:val="22"/>
                <w:lang w:val="en-US" w:eastAsia="en-US"/>
              </w:rPr>
              <w:t xml:space="preserve"> </w:t>
            </w:r>
          </w:p>
          <w:p w:rsidR="00B00A59" w:rsidRPr="0074087F" w:rsidRDefault="00B00A59" w:rsidP="00B26486">
            <w:pPr>
              <w:rPr>
                <w:rFonts w:ascii="Arial" w:eastAsiaTheme="minorHAnsi" w:hAnsi="Arial" w:cstheme="minorBidi"/>
                <w:b/>
                <w:sz w:val="18"/>
                <w:szCs w:val="22"/>
                <w:lang w:val="en-US" w:eastAsia="en-US"/>
              </w:rPr>
            </w:pPr>
            <w:r w:rsidRPr="0074087F">
              <w:rPr>
                <w:rFonts w:ascii="Arial" w:eastAsiaTheme="minorHAnsi" w:hAnsi="Arial" w:cstheme="minorBidi"/>
                <w:b/>
                <w:sz w:val="18"/>
                <w:szCs w:val="22"/>
                <w:lang w:val="en-US" w:eastAsia="en-US"/>
              </w:rPr>
              <w:t>Model</w:t>
            </w:r>
          </w:p>
        </w:tc>
        <w:tc>
          <w:tcPr>
            <w:tcW w:w="1382" w:type="dxa"/>
            <w:tcBorders>
              <w:top w:val="single" w:sz="4" w:space="0" w:color="auto"/>
              <w:bottom w:val="single" w:sz="4" w:space="0" w:color="auto"/>
            </w:tcBorders>
          </w:tcPr>
          <w:p w:rsidR="00B00A59" w:rsidRPr="0074087F" w:rsidRDefault="00B00A59" w:rsidP="00B26486">
            <w:pPr>
              <w:rPr>
                <w:rFonts w:ascii="Arial" w:eastAsiaTheme="minorHAnsi" w:hAnsi="Arial" w:cstheme="minorBidi"/>
                <w:b/>
                <w:sz w:val="18"/>
                <w:szCs w:val="22"/>
                <w:lang w:val="en-US" w:eastAsia="en-US"/>
              </w:rPr>
            </w:pPr>
            <w:r w:rsidRPr="0074087F">
              <w:rPr>
                <w:rFonts w:ascii="Arial" w:eastAsiaTheme="minorHAnsi" w:hAnsi="Arial" w:cstheme="minorBidi"/>
                <w:b/>
                <w:sz w:val="18"/>
                <w:szCs w:val="22"/>
                <w:lang w:val="en-US" w:eastAsia="en-US"/>
              </w:rPr>
              <w:t>IVI_C</w:t>
            </w:r>
          </w:p>
        </w:tc>
        <w:tc>
          <w:tcPr>
            <w:tcW w:w="859" w:type="dxa"/>
            <w:tcBorders>
              <w:top w:val="single" w:sz="4" w:space="0" w:color="auto"/>
              <w:bottom w:val="single" w:sz="4" w:space="0" w:color="auto"/>
            </w:tcBorders>
          </w:tcPr>
          <w:p w:rsidR="00B00A59" w:rsidRPr="0074087F" w:rsidRDefault="00B00A59" w:rsidP="00B26486">
            <w:pPr>
              <w:rPr>
                <w:rFonts w:ascii="Arial" w:eastAsiaTheme="minorHAnsi" w:hAnsi="Arial" w:cstheme="minorBidi"/>
                <w:b/>
                <w:sz w:val="18"/>
                <w:szCs w:val="22"/>
                <w:lang w:val="en-US" w:eastAsia="en-US"/>
              </w:rPr>
            </w:pPr>
            <w:r w:rsidRPr="0074087F">
              <w:rPr>
                <w:rFonts w:ascii="Arial" w:eastAsiaTheme="minorHAnsi" w:hAnsi="Arial" w:cstheme="minorBidi"/>
                <w:b/>
                <w:sz w:val="18"/>
                <w:szCs w:val="22"/>
                <w:lang w:val="en-US" w:eastAsia="en-US"/>
              </w:rPr>
              <w:t>IVI_R</w:t>
            </w:r>
          </w:p>
        </w:tc>
        <w:tc>
          <w:tcPr>
            <w:tcW w:w="1058" w:type="dxa"/>
            <w:tcBorders>
              <w:top w:val="single" w:sz="4" w:space="0" w:color="auto"/>
              <w:bottom w:val="single" w:sz="4" w:space="0" w:color="auto"/>
            </w:tcBorders>
          </w:tcPr>
          <w:p w:rsidR="00B00A59" w:rsidRPr="0074087F" w:rsidRDefault="00B00A59" w:rsidP="00B26486">
            <w:pPr>
              <w:rPr>
                <w:rFonts w:ascii="Arial" w:eastAsiaTheme="minorHAnsi" w:hAnsi="Arial" w:cstheme="minorBidi"/>
                <w:b/>
                <w:sz w:val="18"/>
                <w:szCs w:val="22"/>
                <w:lang w:val="en-US" w:eastAsia="en-US"/>
              </w:rPr>
            </w:pPr>
            <w:r w:rsidRPr="0074087F">
              <w:rPr>
                <w:rFonts w:ascii="Arial" w:eastAsiaTheme="minorHAnsi" w:hAnsi="Arial" w:cstheme="minorBidi"/>
                <w:b/>
                <w:sz w:val="18"/>
                <w:szCs w:val="22"/>
                <w:lang w:val="en-US" w:eastAsia="en-US"/>
              </w:rPr>
              <w:t>IVI_M</w:t>
            </w:r>
          </w:p>
        </w:tc>
        <w:tc>
          <w:tcPr>
            <w:tcW w:w="1119" w:type="dxa"/>
            <w:tcBorders>
              <w:top w:val="single" w:sz="4" w:space="0" w:color="auto"/>
              <w:bottom w:val="single" w:sz="4" w:space="0" w:color="auto"/>
            </w:tcBorders>
          </w:tcPr>
          <w:p w:rsidR="00B00A59" w:rsidRPr="0074087F" w:rsidRDefault="00B00A59" w:rsidP="00B26486">
            <w:pPr>
              <w:rPr>
                <w:rFonts w:ascii="Arial" w:eastAsiaTheme="minorHAnsi" w:hAnsi="Arial" w:cstheme="minorBidi"/>
                <w:b/>
                <w:sz w:val="18"/>
                <w:szCs w:val="22"/>
                <w:lang w:val="en-US" w:eastAsia="en-US"/>
              </w:rPr>
            </w:pPr>
            <w:r w:rsidRPr="0074087F">
              <w:rPr>
                <w:rFonts w:ascii="Arial" w:eastAsiaTheme="minorHAnsi" w:hAnsi="Arial" w:cstheme="minorBidi"/>
                <w:b/>
                <w:sz w:val="18"/>
                <w:szCs w:val="22"/>
                <w:lang w:val="en-US" w:eastAsia="en-US"/>
              </w:rPr>
              <w:t>IVI_E</w:t>
            </w:r>
          </w:p>
        </w:tc>
      </w:tr>
      <w:tr w:rsidR="00B00A59" w:rsidRPr="0074087F" w:rsidTr="00B26486">
        <w:tc>
          <w:tcPr>
            <w:tcW w:w="2802" w:type="dxa"/>
            <w:tcBorders>
              <w:top w:val="single" w:sz="4" w:space="0" w:color="auto"/>
            </w:tcBorders>
          </w:tcPr>
          <w:p w:rsidR="00B00A59" w:rsidRPr="0074087F" w:rsidRDefault="00B00A59" w:rsidP="00B26486">
            <w:pPr>
              <w:jc w:val="left"/>
              <w:rPr>
                <w:rFonts w:asciiTheme="minorHAnsi" w:eastAsiaTheme="minorHAnsi" w:hAnsiTheme="minorHAnsi" w:cstheme="minorBidi"/>
                <w:sz w:val="20"/>
                <w:szCs w:val="22"/>
                <w:lang w:val="en-US" w:eastAsia="en-US"/>
              </w:rPr>
            </w:pPr>
            <w:proofErr w:type="spellStart"/>
            <w:r w:rsidRPr="0074087F">
              <w:rPr>
                <w:rFonts w:asciiTheme="minorHAnsi" w:eastAsiaTheme="minorHAnsi" w:hAnsiTheme="minorHAnsi" w:cstheme="minorBidi"/>
                <w:sz w:val="20"/>
                <w:szCs w:val="22"/>
                <w:lang w:val="en-US" w:eastAsia="en-US"/>
              </w:rPr>
              <w:t>Misfitting</w:t>
            </w:r>
            <w:proofErr w:type="spellEnd"/>
            <w:r w:rsidRPr="0074087F">
              <w:rPr>
                <w:rFonts w:asciiTheme="minorHAnsi" w:eastAsiaTheme="minorHAnsi" w:hAnsiTheme="minorHAnsi" w:cstheme="minorBidi"/>
                <w:sz w:val="20"/>
                <w:szCs w:val="22"/>
                <w:lang w:val="en-US" w:eastAsia="en-US"/>
              </w:rPr>
              <w:t xml:space="preserve"> items, n</w:t>
            </w:r>
          </w:p>
        </w:tc>
        <w:tc>
          <w:tcPr>
            <w:tcW w:w="928" w:type="dxa"/>
            <w:tcBorders>
              <w:top w:val="single" w:sz="4" w:space="0" w:color="auto"/>
            </w:tcBorders>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0</w:t>
            </w:r>
          </w:p>
        </w:tc>
        <w:tc>
          <w:tcPr>
            <w:tcW w:w="1382" w:type="dxa"/>
            <w:tcBorders>
              <w:top w:val="single" w:sz="4" w:space="0" w:color="auto"/>
            </w:tcBorders>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b/>
                <w:sz w:val="20"/>
                <w:szCs w:val="22"/>
                <w:lang w:val="en-US" w:eastAsia="en-US"/>
              </w:rPr>
              <w:t xml:space="preserve">3 </w:t>
            </w:r>
            <w:r w:rsidRPr="0074087F">
              <w:rPr>
                <w:rFonts w:asciiTheme="minorHAnsi" w:eastAsiaTheme="minorHAnsi" w:hAnsiTheme="minorHAnsi" w:cstheme="minorBidi"/>
                <w:sz w:val="20"/>
                <w:szCs w:val="22"/>
                <w:lang w:val="en-US" w:eastAsia="en-US"/>
              </w:rPr>
              <w:t>(23, 21, 25)</w:t>
            </w:r>
          </w:p>
        </w:tc>
        <w:tc>
          <w:tcPr>
            <w:tcW w:w="859" w:type="dxa"/>
            <w:tcBorders>
              <w:top w:val="single" w:sz="4" w:space="0" w:color="auto"/>
            </w:tcBorders>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1 (6)</w:t>
            </w:r>
          </w:p>
        </w:tc>
        <w:tc>
          <w:tcPr>
            <w:tcW w:w="1058" w:type="dxa"/>
            <w:tcBorders>
              <w:top w:val="single" w:sz="4" w:space="0" w:color="auto"/>
            </w:tcBorders>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1 (4)</w:t>
            </w:r>
          </w:p>
        </w:tc>
        <w:tc>
          <w:tcPr>
            <w:tcW w:w="1119" w:type="dxa"/>
            <w:tcBorders>
              <w:top w:val="single" w:sz="4" w:space="0" w:color="auto"/>
            </w:tcBorders>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1 (21)</w:t>
            </w:r>
          </w:p>
        </w:tc>
      </w:tr>
      <w:tr w:rsidR="00B00A59" w:rsidRPr="0074087F" w:rsidTr="00B26486">
        <w:tc>
          <w:tcPr>
            <w:tcW w:w="2802"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PSI</w:t>
            </w:r>
          </w:p>
        </w:tc>
        <w:tc>
          <w:tcPr>
            <w:tcW w:w="928"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&gt;2.0</w:t>
            </w:r>
          </w:p>
        </w:tc>
        <w:tc>
          <w:tcPr>
            <w:tcW w:w="1382"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 xml:space="preserve">2.92 </w:t>
            </w:r>
          </w:p>
        </w:tc>
        <w:tc>
          <w:tcPr>
            <w:tcW w:w="859"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2.28</w:t>
            </w:r>
          </w:p>
        </w:tc>
        <w:tc>
          <w:tcPr>
            <w:tcW w:w="1058"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2.06</w:t>
            </w:r>
          </w:p>
        </w:tc>
        <w:tc>
          <w:tcPr>
            <w:tcW w:w="1119"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2.02</w:t>
            </w:r>
          </w:p>
        </w:tc>
      </w:tr>
      <w:tr w:rsidR="00B00A59" w:rsidRPr="0074087F" w:rsidTr="00B26486">
        <w:tc>
          <w:tcPr>
            <w:tcW w:w="2802"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PR</w:t>
            </w:r>
          </w:p>
        </w:tc>
        <w:tc>
          <w:tcPr>
            <w:tcW w:w="928"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&gt;0.8</w:t>
            </w:r>
          </w:p>
        </w:tc>
        <w:tc>
          <w:tcPr>
            <w:tcW w:w="1382"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 xml:space="preserve">0.90 </w:t>
            </w:r>
          </w:p>
        </w:tc>
        <w:tc>
          <w:tcPr>
            <w:tcW w:w="859"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0.84</w:t>
            </w:r>
          </w:p>
        </w:tc>
        <w:tc>
          <w:tcPr>
            <w:tcW w:w="1058"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0.81</w:t>
            </w:r>
          </w:p>
        </w:tc>
        <w:tc>
          <w:tcPr>
            <w:tcW w:w="1119"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0.80</w:t>
            </w:r>
          </w:p>
        </w:tc>
      </w:tr>
      <w:tr w:rsidR="00B00A59" w:rsidRPr="0074087F" w:rsidTr="00B26486">
        <w:tc>
          <w:tcPr>
            <w:tcW w:w="2802"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Difference in person and item mean</w:t>
            </w:r>
          </w:p>
        </w:tc>
        <w:tc>
          <w:tcPr>
            <w:tcW w:w="928"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&lt;1</w:t>
            </w:r>
          </w:p>
        </w:tc>
        <w:tc>
          <w:tcPr>
            <w:tcW w:w="1382" w:type="dxa"/>
          </w:tcPr>
          <w:p w:rsidR="00B00A59" w:rsidRPr="0074087F" w:rsidRDefault="00B00A59" w:rsidP="00B26486">
            <w:pPr>
              <w:jc w:val="left"/>
              <w:rPr>
                <w:rFonts w:asciiTheme="minorHAnsi" w:eastAsiaTheme="minorHAnsi" w:hAnsiTheme="minorHAnsi" w:cstheme="minorBidi"/>
                <w:b/>
                <w:sz w:val="20"/>
                <w:szCs w:val="22"/>
                <w:lang w:val="en-US" w:eastAsia="en-US"/>
              </w:rPr>
            </w:pPr>
            <w:r w:rsidRPr="0074087F">
              <w:rPr>
                <w:rFonts w:asciiTheme="minorHAnsi" w:eastAsiaTheme="minorHAnsi" w:hAnsiTheme="minorHAnsi" w:cstheme="minorBidi"/>
                <w:b/>
                <w:sz w:val="20"/>
                <w:szCs w:val="22"/>
                <w:lang w:val="en-US" w:eastAsia="en-US"/>
              </w:rPr>
              <w:t xml:space="preserve">-1.80 </w:t>
            </w:r>
          </w:p>
          <w:p w:rsidR="00B00A59" w:rsidRPr="0074087F" w:rsidRDefault="00B00A59" w:rsidP="00B26486">
            <w:pPr>
              <w:jc w:val="left"/>
              <w:rPr>
                <w:rFonts w:asciiTheme="minorHAnsi" w:eastAsiaTheme="minorHAnsi" w:hAnsiTheme="minorHAnsi" w:cstheme="minorBidi"/>
                <w:b/>
                <w:sz w:val="20"/>
                <w:szCs w:val="22"/>
                <w:lang w:val="en-US" w:eastAsia="en-US"/>
              </w:rPr>
            </w:pPr>
          </w:p>
        </w:tc>
        <w:tc>
          <w:tcPr>
            <w:tcW w:w="859" w:type="dxa"/>
          </w:tcPr>
          <w:p w:rsidR="00B00A59" w:rsidRPr="0074087F" w:rsidRDefault="00B00A59" w:rsidP="00B26486">
            <w:pPr>
              <w:jc w:val="left"/>
              <w:rPr>
                <w:rFonts w:asciiTheme="minorHAnsi" w:eastAsiaTheme="minorHAnsi" w:hAnsiTheme="minorHAnsi" w:cstheme="minorBidi"/>
                <w:b/>
                <w:sz w:val="20"/>
                <w:szCs w:val="22"/>
                <w:lang w:val="en-US" w:eastAsia="en-US"/>
              </w:rPr>
            </w:pPr>
            <w:r w:rsidRPr="0074087F">
              <w:rPr>
                <w:rFonts w:asciiTheme="minorHAnsi" w:eastAsiaTheme="minorHAnsi" w:hAnsiTheme="minorHAnsi" w:cstheme="minorBidi"/>
                <w:b/>
                <w:sz w:val="20"/>
                <w:szCs w:val="22"/>
                <w:lang w:val="en-US" w:eastAsia="en-US"/>
              </w:rPr>
              <w:t>-1.58</w:t>
            </w:r>
          </w:p>
        </w:tc>
        <w:tc>
          <w:tcPr>
            <w:tcW w:w="1058" w:type="dxa"/>
          </w:tcPr>
          <w:p w:rsidR="00B00A59" w:rsidRPr="0074087F" w:rsidRDefault="00B00A59" w:rsidP="00B26486">
            <w:pPr>
              <w:jc w:val="left"/>
              <w:rPr>
                <w:rFonts w:asciiTheme="minorHAnsi" w:eastAsiaTheme="minorHAnsi" w:hAnsiTheme="minorHAnsi" w:cstheme="minorBidi"/>
                <w:b/>
                <w:sz w:val="20"/>
                <w:szCs w:val="22"/>
                <w:lang w:val="en-US" w:eastAsia="en-US"/>
              </w:rPr>
            </w:pPr>
            <w:r w:rsidRPr="0074087F">
              <w:rPr>
                <w:rFonts w:asciiTheme="minorHAnsi" w:eastAsiaTheme="minorHAnsi" w:hAnsiTheme="minorHAnsi" w:cstheme="minorBidi"/>
                <w:b/>
                <w:sz w:val="20"/>
                <w:szCs w:val="22"/>
                <w:lang w:val="en-US" w:eastAsia="en-US"/>
              </w:rPr>
              <w:t>-2.32</w:t>
            </w:r>
          </w:p>
        </w:tc>
        <w:tc>
          <w:tcPr>
            <w:tcW w:w="1119" w:type="dxa"/>
          </w:tcPr>
          <w:p w:rsidR="00B00A59" w:rsidRPr="0074087F" w:rsidRDefault="00B00A59" w:rsidP="00B26486">
            <w:pPr>
              <w:jc w:val="left"/>
              <w:rPr>
                <w:rFonts w:asciiTheme="minorHAnsi" w:eastAsiaTheme="minorHAnsi" w:hAnsiTheme="minorHAnsi" w:cstheme="minorBidi"/>
                <w:b/>
                <w:sz w:val="20"/>
                <w:szCs w:val="22"/>
                <w:lang w:val="en-US" w:eastAsia="en-US"/>
              </w:rPr>
            </w:pPr>
            <w:r w:rsidRPr="0074087F">
              <w:rPr>
                <w:rFonts w:asciiTheme="minorHAnsi" w:eastAsiaTheme="minorHAnsi" w:hAnsiTheme="minorHAnsi" w:cstheme="minorBidi"/>
                <w:b/>
                <w:sz w:val="20"/>
                <w:szCs w:val="22"/>
                <w:lang w:val="en-US" w:eastAsia="en-US"/>
              </w:rPr>
              <w:t xml:space="preserve">- 2.45 </w:t>
            </w:r>
          </w:p>
          <w:p w:rsidR="00B00A59" w:rsidRPr="0074087F" w:rsidRDefault="00B00A59" w:rsidP="00B26486">
            <w:pPr>
              <w:jc w:val="left"/>
              <w:rPr>
                <w:rFonts w:asciiTheme="minorHAnsi" w:eastAsiaTheme="minorHAnsi" w:hAnsiTheme="minorHAnsi" w:cstheme="minorBidi"/>
                <w:b/>
                <w:sz w:val="20"/>
                <w:szCs w:val="22"/>
                <w:lang w:val="en-US" w:eastAsia="en-US"/>
              </w:rPr>
            </w:pPr>
          </w:p>
        </w:tc>
      </w:tr>
      <w:tr w:rsidR="00B00A59" w:rsidRPr="0074087F" w:rsidTr="00B26486">
        <w:tc>
          <w:tcPr>
            <w:tcW w:w="2802"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Variance by the first factor</w:t>
            </w:r>
          </w:p>
        </w:tc>
        <w:tc>
          <w:tcPr>
            <w:tcW w:w="928"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&gt;50%</w:t>
            </w:r>
          </w:p>
        </w:tc>
        <w:tc>
          <w:tcPr>
            <w:tcW w:w="1382"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 xml:space="preserve">55.6 % </w:t>
            </w:r>
          </w:p>
        </w:tc>
        <w:tc>
          <w:tcPr>
            <w:tcW w:w="859"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61.0 %</w:t>
            </w:r>
          </w:p>
        </w:tc>
        <w:tc>
          <w:tcPr>
            <w:tcW w:w="1058"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 xml:space="preserve">58.9% </w:t>
            </w:r>
          </w:p>
        </w:tc>
        <w:tc>
          <w:tcPr>
            <w:tcW w:w="1119"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 xml:space="preserve">67.5 % </w:t>
            </w:r>
          </w:p>
        </w:tc>
      </w:tr>
      <w:tr w:rsidR="00B00A59" w:rsidRPr="0074087F" w:rsidTr="00B26486">
        <w:tc>
          <w:tcPr>
            <w:tcW w:w="2802"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PCA (eigenvalue for  1st contrast)</w:t>
            </w:r>
          </w:p>
        </w:tc>
        <w:tc>
          <w:tcPr>
            <w:tcW w:w="928"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&lt;2.0</w:t>
            </w:r>
          </w:p>
        </w:tc>
        <w:tc>
          <w:tcPr>
            <w:tcW w:w="1382" w:type="dxa"/>
          </w:tcPr>
          <w:p w:rsidR="00B00A59" w:rsidRPr="0074087F" w:rsidRDefault="00B00A59" w:rsidP="00B26486">
            <w:pPr>
              <w:jc w:val="left"/>
              <w:rPr>
                <w:rFonts w:asciiTheme="minorHAnsi" w:eastAsiaTheme="minorHAnsi" w:hAnsiTheme="minorHAnsi" w:cstheme="minorBidi"/>
                <w:b/>
                <w:sz w:val="20"/>
                <w:szCs w:val="22"/>
                <w:lang w:val="en-US" w:eastAsia="en-US"/>
              </w:rPr>
            </w:pPr>
            <w:r w:rsidRPr="0074087F">
              <w:rPr>
                <w:rFonts w:asciiTheme="minorHAnsi" w:eastAsiaTheme="minorHAnsi" w:hAnsiTheme="minorHAnsi" w:cstheme="minorBidi"/>
                <w:b/>
                <w:sz w:val="20"/>
                <w:szCs w:val="22"/>
                <w:lang w:val="en-US" w:eastAsia="en-US"/>
              </w:rPr>
              <w:t xml:space="preserve">3.38 </w:t>
            </w:r>
          </w:p>
        </w:tc>
        <w:tc>
          <w:tcPr>
            <w:tcW w:w="859"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1.86</w:t>
            </w:r>
          </w:p>
        </w:tc>
        <w:tc>
          <w:tcPr>
            <w:tcW w:w="1058"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 xml:space="preserve">1.97 </w:t>
            </w:r>
          </w:p>
        </w:tc>
        <w:tc>
          <w:tcPr>
            <w:tcW w:w="1119"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 xml:space="preserve">1.85 </w:t>
            </w:r>
          </w:p>
        </w:tc>
      </w:tr>
      <w:tr w:rsidR="00B00A59" w:rsidRPr="0074087F" w:rsidTr="00B26486">
        <w:tc>
          <w:tcPr>
            <w:tcW w:w="2802"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Differential item functioning</w:t>
            </w:r>
          </w:p>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(Item number [DIF contrast])</w:t>
            </w:r>
          </w:p>
        </w:tc>
        <w:tc>
          <w:tcPr>
            <w:tcW w:w="928"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&lt;1.0</w:t>
            </w:r>
          </w:p>
        </w:tc>
        <w:tc>
          <w:tcPr>
            <w:tcW w:w="1382" w:type="dxa"/>
          </w:tcPr>
          <w:p w:rsidR="00B00A59" w:rsidRPr="0074087F" w:rsidRDefault="00B00A59" w:rsidP="00B26486">
            <w:pPr>
              <w:jc w:val="left"/>
              <w:rPr>
                <w:rFonts w:asciiTheme="minorHAnsi" w:eastAsiaTheme="minorHAnsi" w:hAnsiTheme="minorHAnsi" w:cstheme="minorBidi"/>
                <w:sz w:val="20"/>
                <w:szCs w:val="22"/>
                <w:lang w:val="en-US" w:eastAsia="en-US"/>
              </w:rPr>
            </w:pPr>
          </w:p>
        </w:tc>
        <w:tc>
          <w:tcPr>
            <w:tcW w:w="859" w:type="dxa"/>
          </w:tcPr>
          <w:p w:rsidR="00B00A59" w:rsidRPr="0074087F" w:rsidRDefault="00B00A59" w:rsidP="00B26486">
            <w:pPr>
              <w:jc w:val="left"/>
              <w:rPr>
                <w:rFonts w:asciiTheme="minorHAnsi" w:eastAsiaTheme="minorHAnsi" w:hAnsiTheme="minorHAnsi" w:cstheme="minorBidi"/>
                <w:sz w:val="20"/>
                <w:szCs w:val="22"/>
                <w:lang w:val="en-US" w:eastAsia="en-US"/>
              </w:rPr>
            </w:pPr>
          </w:p>
        </w:tc>
        <w:tc>
          <w:tcPr>
            <w:tcW w:w="1058" w:type="dxa"/>
          </w:tcPr>
          <w:p w:rsidR="00B00A59" w:rsidRPr="0074087F" w:rsidRDefault="00B00A59" w:rsidP="00B26486">
            <w:pPr>
              <w:jc w:val="left"/>
              <w:rPr>
                <w:rFonts w:asciiTheme="minorHAnsi" w:eastAsiaTheme="minorHAnsi" w:hAnsiTheme="minorHAnsi" w:cstheme="minorBidi"/>
                <w:sz w:val="20"/>
                <w:szCs w:val="22"/>
                <w:lang w:val="en-US" w:eastAsia="en-US"/>
              </w:rPr>
            </w:pPr>
          </w:p>
        </w:tc>
        <w:tc>
          <w:tcPr>
            <w:tcW w:w="1119" w:type="dxa"/>
          </w:tcPr>
          <w:p w:rsidR="00B00A59" w:rsidRPr="0074087F" w:rsidRDefault="00B00A59" w:rsidP="00B26486">
            <w:pPr>
              <w:jc w:val="left"/>
              <w:rPr>
                <w:rFonts w:asciiTheme="minorHAnsi" w:eastAsiaTheme="minorHAnsi" w:hAnsiTheme="minorHAnsi" w:cstheme="minorBidi"/>
                <w:sz w:val="20"/>
                <w:szCs w:val="22"/>
                <w:lang w:val="en-US" w:eastAsia="en-US"/>
              </w:rPr>
            </w:pPr>
          </w:p>
        </w:tc>
      </w:tr>
      <w:tr w:rsidR="00B00A59" w:rsidRPr="0074087F" w:rsidTr="00B26486">
        <w:tc>
          <w:tcPr>
            <w:tcW w:w="2802"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 xml:space="preserve">         Gender</w:t>
            </w:r>
          </w:p>
        </w:tc>
        <w:tc>
          <w:tcPr>
            <w:tcW w:w="928" w:type="dxa"/>
          </w:tcPr>
          <w:p w:rsidR="00B00A59" w:rsidRPr="0074087F" w:rsidRDefault="00B00A59" w:rsidP="00B26486">
            <w:pPr>
              <w:jc w:val="left"/>
              <w:rPr>
                <w:rFonts w:asciiTheme="minorHAnsi" w:eastAsiaTheme="minorHAnsi" w:hAnsiTheme="minorHAnsi" w:cstheme="minorBidi"/>
                <w:sz w:val="20"/>
                <w:szCs w:val="22"/>
                <w:lang w:val="en-US" w:eastAsia="en-US"/>
              </w:rPr>
            </w:pPr>
          </w:p>
        </w:tc>
        <w:tc>
          <w:tcPr>
            <w:tcW w:w="1382"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 xml:space="preserve">6 (-1.14) </w:t>
            </w:r>
          </w:p>
        </w:tc>
        <w:tc>
          <w:tcPr>
            <w:tcW w:w="859"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None</w:t>
            </w:r>
          </w:p>
        </w:tc>
        <w:tc>
          <w:tcPr>
            <w:tcW w:w="1058"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None</w:t>
            </w:r>
          </w:p>
        </w:tc>
        <w:tc>
          <w:tcPr>
            <w:tcW w:w="1119" w:type="dxa"/>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None</w:t>
            </w:r>
          </w:p>
        </w:tc>
      </w:tr>
      <w:tr w:rsidR="00B00A59" w:rsidRPr="0074087F" w:rsidTr="00B26486">
        <w:tc>
          <w:tcPr>
            <w:tcW w:w="2802" w:type="dxa"/>
            <w:tcBorders>
              <w:bottom w:val="single" w:sz="4" w:space="0" w:color="auto"/>
            </w:tcBorders>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 xml:space="preserve">         Age group (≤75; ≥76)</w:t>
            </w:r>
          </w:p>
          <w:p w:rsidR="00B00A59" w:rsidRPr="0074087F" w:rsidRDefault="00B00A59" w:rsidP="00B26486">
            <w:pPr>
              <w:jc w:val="left"/>
              <w:rPr>
                <w:rFonts w:asciiTheme="minorHAnsi" w:eastAsiaTheme="minorHAnsi" w:hAnsiTheme="minorHAnsi" w:cstheme="minorBidi"/>
                <w:sz w:val="20"/>
                <w:szCs w:val="22"/>
                <w:lang w:val="en-US" w:eastAsia="en-US"/>
              </w:rPr>
            </w:pPr>
          </w:p>
        </w:tc>
        <w:tc>
          <w:tcPr>
            <w:tcW w:w="928" w:type="dxa"/>
            <w:tcBorders>
              <w:bottom w:val="single" w:sz="4" w:space="0" w:color="auto"/>
            </w:tcBorders>
          </w:tcPr>
          <w:p w:rsidR="00B00A59" w:rsidRPr="0074087F" w:rsidRDefault="00B00A59" w:rsidP="00B26486">
            <w:pPr>
              <w:jc w:val="left"/>
              <w:rPr>
                <w:rFonts w:asciiTheme="minorHAnsi" w:eastAsiaTheme="minorHAnsi" w:hAnsiTheme="minorHAnsi" w:cstheme="minorBidi"/>
                <w:sz w:val="20"/>
                <w:szCs w:val="22"/>
                <w:lang w:val="en-US" w:eastAsia="en-US"/>
              </w:rPr>
            </w:pPr>
          </w:p>
        </w:tc>
        <w:tc>
          <w:tcPr>
            <w:tcW w:w="1382" w:type="dxa"/>
            <w:tcBorders>
              <w:bottom w:val="single" w:sz="4" w:space="0" w:color="auto"/>
            </w:tcBorders>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19 (1.12)</w:t>
            </w:r>
          </w:p>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 xml:space="preserve"> 21 (-1.27)</w:t>
            </w:r>
          </w:p>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25 (-1.36)</w:t>
            </w:r>
          </w:p>
        </w:tc>
        <w:tc>
          <w:tcPr>
            <w:tcW w:w="859" w:type="dxa"/>
            <w:tcBorders>
              <w:bottom w:val="single" w:sz="4" w:space="0" w:color="auto"/>
            </w:tcBorders>
          </w:tcPr>
          <w:p w:rsidR="00B00A59" w:rsidRPr="0074087F" w:rsidRDefault="00B00A59" w:rsidP="00B26486">
            <w:pPr>
              <w:jc w:val="left"/>
              <w:rPr>
                <w:rFonts w:asciiTheme="minorHAnsi" w:eastAsiaTheme="minorHAnsi" w:hAnsiTheme="minorHAnsi" w:cstheme="minorBidi"/>
                <w:sz w:val="20"/>
                <w:szCs w:val="22"/>
                <w:lang w:val="en-US" w:eastAsia="en-US"/>
              </w:rPr>
            </w:pPr>
          </w:p>
        </w:tc>
        <w:tc>
          <w:tcPr>
            <w:tcW w:w="1058" w:type="dxa"/>
            <w:tcBorders>
              <w:bottom w:val="single" w:sz="4" w:space="0" w:color="auto"/>
            </w:tcBorders>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19 (1.06)</w:t>
            </w:r>
          </w:p>
          <w:p w:rsidR="00B00A59" w:rsidRPr="0074087F" w:rsidRDefault="00B00A59" w:rsidP="00B26486">
            <w:pPr>
              <w:jc w:val="left"/>
              <w:rPr>
                <w:rFonts w:asciiTheme="minorHAnsi" w:eastAsiaTheme="minorHAnsi" w:hAnsiTheme="minorHAnsi" w:cstheme="minorBidi"/>
                <w:sz w:val="20"/>
                <w:szCs w:val="22"/>
                <w:lang w:val="en-US" w:eastAsia="en-US"/>
              </w:rPr>
            </w:pPr>
          </w:p>
        </w:tc>
        <w:tc>
          <w:tcPr>
            <w:tcW w:w="1119" w:type="dxa"/>
            <w:tcBorders>
              <w:bottom w:val="single" w:sz="4" w:space="0" w:color="auto"/>
            </w:tcBorders>
          </w:tcPr>
          <w:p w:rsidR="00B00A59" w:rsidRPr="0074087F" w:rsidRDefault="00B00A59" w:rsidP="00B26486">
            <w:pPr>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21 (-1.47)</w:t>
            </w:r>
          </w:p>
          <w:p w:rsidR="00B00A59" w:rsidRPr="0074087F" w:rsidRDefault="00B00A59" w:rsidP="00B26486">
            <w:pPr>
              <w:jc w:val="left"/>
              <w:rPr>
                <w:rFonts w:asciiTheme="minorHAnsi" w:eastAsiaTheme="minorHAnsi" w:hAnsiTheme="minorHAnsi" w:cstheme="minorBidi"/>
                <w:sz w:val="20"/>
                <w:szCs w:val="22"/>
                <w:lang w:val="en-US" w:eastAsia="en-US"/>
              </w:rPr>
            </w:pPr>
          </w:p>
        </w:tc>
      </w:tr>
    </w:tbl>
    <w:p w:rsidR="00B00A59" w:rsidRDefault="00B00A59" w:rsidP="00B00A59">
      <w:pPr>
        <w:spacing w:after="200"/>
        <w:jc w:val="left"/>
        <w:rPr>
          <w:rFonts w:asciiTheme="minorHAnsi" w:eastAsiaTheme="minorHAnsi" w:hAnsiTheme="minorHAnsi" w:cstheme="minorBidi"/>
          <w:sz w:val="20"/>
          <w:szCs w:val="22"/>
          <w:lang w:val="en-US" w:eastAsia="en-US"/>
        </w:rPr>
      </w:pPr>
      <w:r w:rsidRPr="0074087F">
        <w:rPr>
          <w:rFonts w:asciiTheme="minorHAnsi" w:eastAsiaTheme="minorHAnsi" w:hAnsiTheme="minorHAnsi" w:cstheme="minorBidi"/>
          <w:sz w:val="20"/>
          <w:szCs w:val="22"/>
          <w:lang w:val="en-US" w:eastAsia="en-US"/>
        </w:rPr>
        <w:t xml:space="preserve">IVI_C, complete IVI; IVI_R, Reading and accessing information subscale of the IVI; IVI_M, Mobility and independence subscale of the IVI; IVI_E, Emotional well-being subscale of the IVI. Bold values represent misfit to the </w:t>
      </w:r>
      <w:proofErr w:type="spellStart"/>
      <w:r w:rsidRPr="0074087F">
        <w:rPr>
          <w:rFonts w:asciiTheme="minorHAnsi" w:eastAsiaTheme="minorHAnsi" w:hAnsiTheme="minorHAnsi" w:cstheme="minorBidi"/>
          <w:sz w:val="20"/>
          <w:szCs w:val="22"/>
          <w:lang w:val="en-US" w:eastAsia="en-US"/>
        </w:rPr>
        <w:t>Rasch</w:t>
      </w:r>
      <w:proofErr w:type="spellEnd"/>
      <w:r w:rsidRPr="0074087F">
        <w:rPr>
          <w:rFonts w:asciiTheme="minorHAnsi" w:eastAsiaTheme="minorHAnsi" w:hAnsiTheme="minorHAnsi" w:cstheme="minorBidi"/>
          <w:sz w:val="20"/>
          <w:szCs w:val="22"/>
          <w:lang w:val="en-US" w:eastAsia="en-US"/>
        </w:rPr>
        <w:t xml:space="preserve"> model. </w:t>
      </w:r>
    </w:p>
    <w:p w:rsidR="00B00A59" w:rsidRPr="001C519B" w:rsidRDefault="00B00A59" w:rsidP="00B00A59">
      <w:pPr>
        <w:pStyle w:val="CitaviBibliographyEntry"/>
        <w:rPr>
          <w:lang w:val="en-US"/>
        </w:rPr>
      </w:pPr>
    </w:p>
    <w:p w:rsidR="00D11AF8" w:rsidRDefault="00D11AF8"/>
    <w:sectPr w:rsidR="00D11AF8" w:rsidSect="00B0185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C35" w:rsidRDefault="002B5C35">
      <w:r>
        <w:separator/>
      </w:r>
    </w:p>
  </w:endnote>
  <w:endnote w:type="continuationSeparator" w:id="0">
    <w:p w:rsidR="002B5C35" w:rsidRDefault="002B5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17D" w:rsidRDefault="00B00A59" w:rsidP="00B0185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39117D" w:rsidRDefault="002B5C3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17D" w:rsidRPr="00381018" w:rsidRDefault="00B00A59">
    <w:pPr>
      <w:pStyle w:val="Fuzeile"/>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Arabic  \* MERGEFORMAT </w:instrText>
    </w:r>
    <w:r>
      <w:rPr>
        <w:rFonts w:ascii="Arial" w:hAnsi="Arial" w:cs="Arial"/>
        <w:sz w:val="20"/>
        <w:szCs w:val="20"/>
      </w:rPr>
      <w:fldChar w:fldCharType="separate"/>
    </w:r>
    <w:r w:rsidR="00E24D03" w:rsidRPr="00E24D03">
      <w:rPr>
        <w:rFonts w:cs="Arial"/>
        <w:noProof/>
        <w:sz w:val="20"/>
        <w:szCs w:val="20"/>
      </w:rPr>
      <w:t>1</w:t>
    </w:r>
    <w:r>
      <w:rPr>
        <w:rFonts w:ascii="Arial" w:hAnsi="Arial" w:cs="Arial"/>
        <w:sz w:val="20"/>
        <w:szCs w:val="20"/>
      </w:rPr>
      <w:fldChar w:fldCharType="end"/>
    </w:r>
  </w:p>
  <w:p w:rsidR="0039117D" w:rsidRDefault="002B5C35">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17D" w:rsidRDefault="002B5C3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C35" w:rsidRDefault="002B5C35">
      <w:r>
        <w:separator/>
      </w:r>
    </w:p>
  </w:footnote>
  <w:footnote w:type="continuationSeparator" w:id="0">
    <w:p w:rsidR="002B5C35" w:rsidRDefault="002B5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17D" w:rsidRDefault="002B5C3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17D" w:rsidRPr="004D0E4C" w:rsidRDefault="00B00A59">
    <w:pPr>
      <w:pStyle w:val="Kopfzeile"/>
      <w:rPr>
        <w:lang w:val="en-US"/>
      </w:rPr>
    </w:pPr>
    <w:proofErr w:type="spellStart"/>
    <w:r w:rsidRPr="00751EDA">
      <w:rPr>
        <w:rFonts w:ascii="Arial" w:hAnsi="Arial" w:cs="Arial"/>
        <w:sz w:val="20"/>
        <w:szCs w:val="20"/>
        <w:lang w:val="en-US"/>
      </w:rPr>
      <w:t>P</w:t>
    </w:r>
    <w:r>
      <w:rPr>
        <w:rFonts w:ascii="Arial" w:hAnsi="Arial" w:cs="Arial"/>
        <w:sz w:val="20"/>
        <w:szCs w:val="20"/>
        <w:lang w:val="en-US"/>
      </w:rPr>
      <w:t>ondorfer</w:t>
    </w:r>
    <w:proofErr w:type="spellEnd"/>
    <w:r w:rsidRPr="004D0E4C">
      <w:rPr>
        <w:rFonts w:ascii="Arial" w:hAnsi="Arial" w:cs="Arial"/>
        <w:sz w:val="20"/>
        <w:szCs w:val="20"/>
        <w:lang w:val="en-US"/>
      </w:rPr>
      <w:t xml:space="preserve"> et al., </w:t>
    </w:r>
    <w:r w:rsidRPr="009C701F">
      <w:rPr>
        <w:rFonts w:ascii="Arial" w:hAnsi="Arial" w:cs="Arial"/>
        <w:bCs/>
        <w:sz w:val="20"/>
        <w:szCs w:val="22"/>
        <w:lang w:val="en-US"/>
      </w:rPr>
      <w:t xml:space="preserve">Visual function and </w:t>
    </w:r>
    <w:proofErr w:type="spellStart"/>
    <w:r w:rsidRPr="009C701F">
      <w:rPr>
        <w:rFonts w:ascii="Arial" w:hAnsi="Arial" w:cs="Arial"/>
        <w:bCs/>
        <w:sz w:val="20"/>
        <w:szCs w:val="22"/>
        <w:lang w:val="en-US"/>
      </w:rPr>
      <w:t>VRQoL</w:t>
    </w:r>
    <w:proofErr w:type="spellEnd"/>
    <w:r w:rsidRPr="009C701F">
      <w:rPr>
        <w:rFonts w:ascii="Arial" w:hAnsi="Arial" w:cs="Arial"/>
        <w:bCs/>
        <w:sz w:val="20"/>
        <w:szCs w:val="22"/>
        <w:lang w:val="en-US"/>
      </w:rPr>
      <w:t xml:space="preserve"> in AMD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17D" w:rsidRDefault="002B5C3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A59"/>
    <w:rsid w:val="000706A2"/>
    <w:rsid w:val="0012788F"/>
    <w:rsid w:val="002052F4"/>
    <w:rsid w:val="002B5C35"/>
    <w:rsid w:val="007A095E"/>
    <w:rsid w:val="00A9154E"/>
    <w:rsid w:val="00B00A59"/>
    <w:rsid w:val="00C9050D"/>
    <w:rsid w:val="00D11AF8"/>
    <w:rsid w:val="00E24D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00A59"/>
    <w:pPr>
      <w:spacing w:after="0" w:line="240" w:lineRule="auto"/>
      <w:jc w:val="both"/>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B00A59"/>
    <w:pPr>
      <w:tabs>
        <w:tab w:val="center" w:pos="4536"/>
        <w:tab w:val="right" w:pos="9072"/>
      </w:tabs>
    </w:pPr>
  </w:style>
  <w:style w:type="character" w:customStyle="1" w:styleId="FuzeileZchn">
    <w:name w:val="Fußzeile Zchn"/>
    <w:basedOn w:val="Absatz-Standardschriftart"/>
    <w:link w:val="Fuzeile"/>
    <w:uiPriority w:val="99"/>
    <w:rsid w:val="00B00A59"/>
    <w:rPr>
      <w:rFonts w:ascii="Times New Roman" w:eastAsia="Times New Roman" w:hAnsi="Times New Roman" w:cs="Times New Roman"/>
      <w:sz w:val="24"/>
      <w:szCs w:val="24"/>
      <w:lang w:eastAsia="de-DE"/>
    </w:rPr>
  </w:style>
  <w:style w:type="character" w:styleId="Seitenzahl">
    <w:name w:val="page number"/>
    <w:basedOn w:val="Absatz-Standardschriftart"/>
    <w:rsid w:val="00B00A59"/>
  </w:style>
  <w:style w:type="paragraph" w:styleId="Kopfzeile">
    <w:name w:val="header"/>
    <w:basedOn w:val="Standard"/>
    <w:link w:val="KopfzeileZchn"/>
    <w:uiPriority w:val="99"/>
    <w:rsid w:val="00B00A59"/>
    <w:pPr>
      <w:tabs>
        <w:tab w:val="center" w:pos="4536"/>
        <w:tab w:val="right" w:pos="9072"/>
      </w:tabs>
    </w:pPr>
  </w:style>
  <w:style w:type="character" w:customStyle="1" w:styleId="KopfzeileZchn">
    <w:name w:val="Kopfzeile Zchn"/>
    <w:basedOn w:val="Absatz-Standardschriftart"/>
    <w:link w:val="Kopfzeile"/>
    <w:uiPriority w:val="99"/>
    <w:rsid w:val="00B00A59"/>
    <w:rPr>
      <w:rFonts w:ascii="Times New Roman" w:eastAsia="Times New Roman" w:hAnsi="Times New Roman" w:cs="Times New Roman"/>
      <w:sz w:val="24"/>
      <w:szCs w:val="24"/>
      <w:lang w:eastAsia="de-DE"/>
    </w:rPr>
  </w:style>
  <w:style w:type="paragraph" w:customStyle="1" w:styleId="CitaviBibliographyEntry">
    <w:name w:val="Citavi Bibliography Entry"/>
    <w:basedOn w:val="Standard"/>
    <w:link w:val="CitaviBibliographyEntryZchn"/>
    <w:rsid w:val="00B00A59"/>
    <w:pPr>
      <w:tabs>
        <w:tab w:val="left" w:pos="340"/>
      </w:tabs>
      <w:ind w:left="340" w:hanging="340"/>
    </w:pPr>
  </w:style>
  <w:style w:type="character" w:customStyle="1" w:styleId="CitaviBibliographyEntryZchn">
    <w:name w:val="Citavi Bibliography Entry Zchn"/>
    <w:basedOn w:val="Absatz-Standardschriftart"/>
    <w:link w:val="CitaviBibliographyEntry"/>
    <w:rsid w:val="00B00A59"/>
    <w:rPr>
      <w:rFonts w:ascii="Times New Roman" w:eastAsia="Times New Roman" w:hAnsi="Times New Roman" w:cs="Times New Roman"/>
      <w:sz w:val="24"/>
      <w:szCs w:val="24"/>
      <w:lang w:eastAsia="de-DE"/>
    </w:rPr>
  </w:style>
  <w:style w:type="table" w:styleId="Tabellenraster">
    <w:name w:val="Table Grid"/>
    <w:basedOn w:val="NormaleTabelle"/>
    <w:uiPriority w:val="59"/>
    <w:rsid w:val="00B00A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B00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B00A59"/>
  </w:style>
  <w:style w:type="paragraph" w:styleId="Titel">
    <w:name w:val="Title"/>
    <w:basedOn w:val="Standard"/>
    <w:link w:val="TitelZchn"/>
    <w:qFormat/>
    <w:rsid w:val="00C9050D"/>
    <w:pPr>
      <w:jc w:val="center"/>
    </w:pPr>
    <w:rPr>
      <w:b/>
      <w:bCs/>
      <w:u w:val="single"/>
    </w:rPr>
  </w:style>
  <w:style w:type="character" w:customStyle="1" w:styleId="TitelZchn">
    <w:name w:val="Titel Zchn"/>
    <w:basedOn w:val="Absatz-Standardschriftart"/>
    <w:link w:val="Titel"/>
    <w:rsid w:val="00C9050D"/>
    <w:rPr>
      <w:rFonts w:ascii="Times New Roman" w:eastAsia="Times New Roman" w:hAnsi="Times New Roman" w:cs="Times New Roman"/>
      <w:b/>
      <w:bCs/>
      <w:sz w:val="24"/>
      <w:szCs w:val="24"/>
      <w:u w:val="single"/>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00A59"/>
    <w:pPr>
      <w:spacing w:after="0" w:line="240" w:lineRule="auto"/>
      <w:jc w:val="both"/>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B00A59"/>
    <w:pPr>
      <w:tabs>
        <w:tab w:val="center" w:pos="4536"/>
        <w:tab w:val="right" w:pos="9072"/>
      </w:tabs>
    </w:pPr>
  </w:style>
  <w:style w:type="character" w:customStyle="1" w:styleId="FuzeileZchn">
    <w:name w:val="Fußzeile Zchn"/>
    <w:basedOn w:val="Absatz-Standardschriftart"/>
    <w:link w:val="Fuzeile"/>
    <w:uiPriority w:val="99"/>
    <w:rsid w:val="00B00A59"/>
    <w:rPr>
      <w:rFonts w:ascii="Times New Roman" w:eastAsia="Times New Roman" w:hAnsi="Times New Roman" w:cs="Times New Roman"/>
      <w:sz w:val="24"/>
      <w:szCs w:val="24"/>
      <w:lang w:eastAsia="de-DE"/>
    </w:rPr>
  </w:style>
  <w:style w:type="character" w:styleId="Seitenzahl">
    <w:name w:val="page number"/>
    <w:basedOn w:val="Absatz-Standardschriftart"/>
    <w:rsid w:val="00B00A59"/>
  </w:style>
  <w:style w:type="paragraph" w:styleId="Kopfzeile">
    <w:name w:val="header"/>
    <w:basedOn w:val="Standard"/>
    <w:link w:val="KopfzeileZchn"/>
    <w:uiPriority w:val="99"/>
    <w:rsid w:val="00B00A59"/>
    <w:pPr>
      <w:tabs>
        <w:tab w:val="center" w:pos="4536"/>
        <w:tab w:val="right" w:pos="9072"/>
      </w:tabs>
    </w:pPr>
  </w:style>
  <w:style w:type="character" w:customStyle="1" w:styleId="KopfzeileZchn">
    <w:name w:val="Kopfzeile Zchn"/>
    <w:basedOn w:val="Absatz-Standardschriftart"/>
    <w:link w:val="Kopfzeile"/>
    <w:uiPriority w:val="99"/>
    <w:rsid w:val="00B00A59"/>
    <w:rPr>
      <w:rFonts w:ascii="Times New Roman" w:eastAsia="Times New Roman" w:hAnsi="Times New Roman" w:cs="Times New Roman"/>
      <w:sz w:val="24"/>
      <w:szCs w:val="24"/>
      <w:lang w:eastAsia="de-DE"/>
    </w:rPr>
  </w:style>
  <w:style w:type="paragraph" w:customStyle="1" w:styleId="CitaviBibliographyEntry">
    <w:name w:val="Citavi Bibliography Entry"/>
    <w:basedOn w:val="Standard"/>
    <w:link w:val="CitaviBibliographyEntryZchn"/>
    <w:rsid w:val="00B00A59"/>
    <w:pPr>
      <w:tabs>
        <w:tab w:val="left" w:pos="340"/>
      </w:tabs>
      <w:ind w:left="340" w:hanging="340"/>
    </w:pPr>
  </w:style>
  <w:style w:type="character" w:customStyle="1" w:styleId="CitaviBibliographyEntryZchn">
    <w:name w:val="Citavi Bibliography Entry Zchn"/>
    <w:basedOn w:val="Absatz-Standardschriftart"/>
    <w:link w:val="CitaviBibliographyEntry"/>
    <w:rsid w:val="00B00A59"/>
    <w:rPr>
      <w:rFonts w:ascii="Times New Roman" w:eastAsia="Times New Roman" w:hAnsi="Times New Roman" w:cs="Times New Roman"/>
      <w:sz w:val="24"/>
      <w:szCs w:val="24"/>
      <w:lang w:eastAsia="de-DE"/>
    </w:rPr>
  </w:style>
  <w:style w:type="table" w:styleId="Tabellenraster">
    <w:name w:val="Table Grid"/>
    <w:basedOn w:val="NormaleTabelle"/>
    <w:uiPriority w:val="59"/>
    <w:rsid w:val="00B00A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B00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B00A59"/>
  </w:style>
  <w:style w:type="paragraph" w:styleId="Titel">
    <w:name w:val="Title"/>
    <w:basedOn w:val="Standard"/>
    <w:link w:val="TitelZchn"/>
    <w:qFormat/>
    <w:rsid w:val="00C9050D"/>
    <w:pPr>
      <w:jc w:val="center"/>
    </w:pPr>
    <w:rPr>
      <w:b/>
      <w:bCs/>
      <w:u w:val="single"/>
    </w:rPr>
  </w:style>
  <w:style w:type="character" w:customStyle="1" w:styleId="TitelZchn">
    <w:name w:val="Titel Zchn"/>
    <w:basedOn w:val="Absatz-Standardschriftart"/>
    <w:link w:val="Titel"/>
    <w:rsid w:val="00C9050D"/>
    <w:rPr>
      <w:rFonts w:ascii="Times New Roman" w:eastAsia="Times New Roman" w:hAnsi="Times New Roman" w:cs="Times New Roman"/>
      <w:b/>
      <w:bCs/>
      <w:sz w:val="24"/>
      <w:szCs w:val="24"/>
      <w:u w:val="single"/>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455</Words>
  <Characters>2869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UKB</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Welker</dc:creator>
  <cp:lastModifiedBy>Susanne Welker</cp:lastModifiedBy>
  <cp:revision>3</cp:revision>
  <cp:lastPrinted>2019-07-18T09:36:00Z</cp:lastPrinted>
  <dcterms:created xsi:type="dcterms:W3CDTF">2019-07-18T10:12:00Z</dcterms:created>
  <dcterms:modified xsi:type="dcterms:W3CDTF">2019-07-18T10:12:00Z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6">
    <vt:lpwstr>True</vt:lpwstr>
  </property>
</Properties>
</file>