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89900" w14:textId="77777777" w:rsidR="008906C4" w:rsidRPr="007621E8" w:rsidRDefault="008906C4" w:rsidP="00F302D2">
      <w:pPr>
        <w:spacing w:after="0" w:line="360" w:lineRule="auto"/>
        <w:jc w:val="center"/>
        <w:rPr>
          <w:rFonts w:cstheme="minorHAnsi"/>
          <w:lang w:val="en-GB"/>
        </w:rPr>
      </w:pPr>
      <w:r w:rsidRPr="007621E8">
        <w:rPr>
          <w:rFonts w:cstheme="minorHAnsi"/>
          <w:lang w:val="en-GB"/>
        </w:rPr>
        <w:t>Supplementary Information for</w:t>
      </w:r>
    </w:p>
    <w:p w14:paraId="52626074" w14:textId="77777777" w:rsidR="008906C4" w:rsidRDefault="008906C4" w:rsidP="00F302D2">
      <w:pPr>
        <w:spacing w:after="0" w:line="360" w:lineRule="auto"/>
        <w:jc w:val="center"/>
        <w:rPr>
          <w:rFonts w:cstheme="minorHAnsi"/>
          <w:b/>
          <w:lang w:val="en-GB"/>
        </w:rPr>
      </w:pPr>
    </w:p>
    <w:p w14:paraId="231B189C" w14:textId="77777777" w:rsidR="008906C4" w:rsidRPr="007621E8" w:rsidRDefault="008906C4" w:rsidP="00F302D2">
      <w:pPr>
        <w:spacing w:after="0" w:line="360" w:lineRule="auto"/>
        <w:jc w:val="center"/>
        <w:rPr>
          <w:rFonts w:cstheme="minorHAnsi"/>
          <w:b/>
          <w:lang w:val="en-GB"/>
        </w:rPr>
      </w:pPr>
      <w:r w:rsidRPr="007621E8">
        <w:rPr>
          <w:rFonts w:cstheme="minorHAnsi"/>
          <w:b/>
          <w:lang w:val="en-GB"/>
        </w:rPr>
        <w:t xml:space="preserve">Chemical characterization of pterosaur melanin challenges color inferences </w:t>
      </w:r>
      <w:r w:rsidR="0045436B">
        <w:rPr>
          <w:rFonts w:cstheme="minorHAnsi"/>
          <w:b/>
          <w:lang w:val="en-GB"/>
        </w:rPr>
        <w:t>in</w:t>
      </w:r>
      <w:r w:rsidRPr="007621E8">
        <w:rPr>
          <w:rFonts w:cstheme="minorHAnsi"/>
          <w:b/>
          <w:lang w:val="en-GB"/>
        </w:rPr>
        <w:t xml:space="preserve"> extinct animals</w:t>
      </w:r>
    </w:p>
    <w:p w14:paraId="618BE3AC" w14:textId="77777777" w:rsidR="008906C4" w:rsidRPr="007621E8" w:rsidRDefault="008906C4" w:rsidP="00F302D2">
      <w:pPr>
        <w:spacing w:after="0" w:line="360" w:lineRule="auto"/>
        <w:jc w:val="center"/>
        <w:rPr>
          <w:rFonts w:eastAsia="Times New Roman" w:cstheme="minorHAnsi"/>
          <w:vertAlign w:val="superscript"/>
          <w:lang w:val="en-GB"/>
        </w:rPr>
      </w:pPr>
      <w:r w:rsidRPr="007621E8">
        <w:rPr>
          <w:rFonts w:eastAsia="Times New Roman" w:cstheme="minorHAnsi"/>
          <w:lang w:val="en-GB"/>
        </w:rPr>
        <w:t xml:space="preserve">Felipe L. Pinheiro; Gustavo Prado; </w:t>
      </w:r>
      <w:proofErr w:type="spellStart"/>
      <w:r w:rsidRPr="007621E8">
        <w:rPr>
          <w:rFonts w:eastAsia="Times New Roman" w:cstheme="minorHAnsi"/>
          <w:lang w:val="en-GB"/>
        </w:rPr>
        <w:t>Shosuke</w:t>
      </w:r>
      <w:proofErr w:type="spellEnd"/>
      <w:r w:rsidRPr="007621E8">
        <w:rPr>
          <w:rFonts w:eastAsia="Times New Roman" w:cstheme="minorHAnsi"/>
          <w:lang w:val="en-GB"/>
        </w:rPr>
        <w:t xml:space="preserve"> Ito; John D. Simon;</w:t>
      </w:r>
      <w:r w:rsidRPr="007621E8">
        <w:rPr>
          <w:rFonts w:eastAsia="Times New Roman" w:cstheme="minorHAnsi"/>
          <w:vertAlign w:val="superscript"/>
          <w:lang w:val="en-GB"/>
        </w:rPr>
        <w:t xml:space="preserve"> </w:t>
      </w:r>
      <w:r w:rsidRPr="007621E8">
        <w:rPr>
          <w:rFonts w:eastAsia="Times New Roman" w:cstheme="minorHAnsi"/>
          <w:lang w:val="en-GB"/>
        </w:rPr>
        <w:t>Kazumasa Wakamatsu; Luiz E. Anelli; José A. F. Andrade; Keely Glass</w:t>
      </w:r>
    </w:p>
    <w:p w14:paraId="4EAA36DE" w14:textId="77777777" w:rsidR="008906C4" w:rsidRPr="00235AB3" w:rsidRDefault="008906C4" w:rsidP="008906C4">
      <w:pPr>
        <w:spacing w:after="0" w:line="360" w:lineRule="auto"/>
        <w:rPr>
          <w:rFonts w:cstheme="minorHAnsi"/>
          <w:lang w:val="en-GB"/>
        </w:rPr>
      </w:pPr>
    </w:p>
    <w:p w14:paraId="7307C660" w14:textId="77777777" w:rsidR="008906C4" w:rsidRPr="00894922" w:rsidRDefault="008906C4" w:rsidP="008906C4">
      <w:pPr>
        <w:spacing w:after="0" w:line="360" w:lineRule="auto"/>
        <w:rPr>
          <w:rFonts w:cstheme="minorHAnsi"/>
          <w:lang w:val="pt-BR"/>
        </w:rPr>
      </w:pPr>
      <w:r w:rsidRPr="00894922">
        <w:rPr>
          <w:rFonts w:cstheme="minorHAnsi"/>
          <w:lang w:val="pt-BR"/>
        </w:rPr>
        <w:t>Felipe L. Pinheiro</w:t>
      </w:r>
    </w:p>
    <w:p w14:paraId="0C524804" w14:textId="77777777" w:rsidR="008906C4" w:rsidRPr="00894922" w:rsidRDefault="008906C4" w:rsidP="008906C4">
      <w:pPr>
        <w:spacing w:after="0" w:line="360" w:lineRule="auto"/>
        <w:rPr>
          <w:rFonts w:cstheme="minorHAnsi"/>
          <w:lang w:val="pt-BR"/>
        </w:rPr>
      </w:pPr>
      <w:proofErr w:type="spellStart"/>
      <w:r w:rsidRPr="00894922">
        <w:rPr>
          <w:rFonts w:cstheme="minorHAnsi"/>
          <w:lang w:val="pt-BR"/>
        </w:rPr>
        <w:t>Email</w:t>
      </w:r>
      <w:proofErr w:type="spellEnd"/>
      <w:r w:rsidRPr="00894922">
        <w:rPr>
          <w:rFonts w:cstheme="minorHAnsi"/>
          <w:lang w:val="pt-BR"/>
        </w:rPr>
        <w:t>: felipepinheiro@unipampa.edu.br</w:t>
      </w:r>
    </w:p>
    <w:p w14:paraId="4BA16DBC" w14:textId="77777777" w:rsidR="008906C4" w:rsidRPr="00894922" w:rsidRDefault="008906C4" w:rsidP="008906C4">
      <w:pPr>
        <w:spacing w:after="0" w:line="360" w:lineRule="auto"/>
        <w:rPr>
          <w:rFonts w:cstheme="minorHAnsi"/>
          <w:lang w:val="pt-BR"/>
        </w:rPr>
      </w:pPr>
    </w:p>
    <w:p w14:paraId="0AFBAC8D" w14:textId="77777777" w:rsidR="008906C4" w:rsidRPr="007621E8" w:rsidRDefault="008906C4" w:rsidP="008906C4">
      <w:pPr>
        <w:spacing w:after="0" w:line="360" w:lineRule="auto"/>
        <w:rPr>
          <w:rFonts w:cstheme="minorHAnsi"/>
          <w:b/>
          <w:lang w:val="en-GB"/>
        </w:rPr>
      </w:pPr>
      <w:r w:rsidRPr="007621E8">
        <w:rPr>
          <w:rFonts w:cstheme="minorHAnsi"/>
          <w:b/>
          <w:lang w:val="en-GB"/>
        </w:rPr>
        <w:t>This PDF file includes:</w:t>
      </w:r>
    </w:p>
    <w:p w14:paraId="74175C3C" w14:textId="77777777" w:rsidR="008906C4" w:rsidRPr="007621E8" w:rsidRDefault="008906C4" w:rsidP="008906C4">
      <w:pPr>
        <w:spacing w:after="0" w:line="360" w:lineRule="auto"/>
        <w:rPr>
          <w:rFonts w:cstheme="minorHAnsi"/>
          <w:lang w:val="en-GB"/>
        </w:rPr>
      </w:pPr>
      <w:r w:rsidRPr="007621E8">
        <w:rPr>
          <w:rFonts w:cstheme="minorHAnsi"/>
          <w:lang w:val="en-GB"/>
        </w:rPr>
        <w:t>Supporting methods</w:t>
      </w:r>
    </w:p>
    <w:p w14:paraId="3F3A60C9" w14:textId="77777777" w:rsidR="008906C4" w:rsidRPr="007621E8" w:rsidRDefault="008906C4" w:rsidP="008906C4">
      <w:pPr>
        <w:spacing w:after="0" w:line="360" w:lineRule="auto"/>
        <w:rPr>
          <w:rFonts w:cstheme="minorHAnsi"/>
          <w:lang w:val="en-GB"/>
        </w:rPr>
      </w:pPr>
      <w:r w:rsidRPr="007621E8">
        <w:rPr>
          <w:rFonts w:cstheme="minorHAnsi"/>
          <w:lang w:val="en-GB"/>
        </w:rPr>
        <w:t>Figures S1 to S5</w:t>
      </w:r>
    </w:p>
    <w:p w14:paraId="3D9FC394" w14:textId="77777777" w:rsidR="008906C4" w:rsidRPr="007621E8" w:rsidRDefault="008906C4" w:rsidP="008906C4">
      <w:pPr>
        <w:spacing w:after="0" w:line="360" w:lineRule="auto"/>
        <w:rPr>
          <w:rFonts w:cstheme="minorHAnsi"/>
          <w:b/>
          <w:lang w:val="en-GB"/>
        </w:rPr>
        <w:sectPr w:rsidR="008906C4" w:rsidRPr="007621E8" w:rsidSect="0045436B">
          <w:pgSz w:w="11906" w:h="16838"/>
          <w:pgMar w:top="1417" w:right="1701" w:bottom="1417" w:left="1701" w:header="708" w:footer="708" w:gutter="0"/>
          <w:lnNumType w:countBy="1" w:restart="continuous"/>
          <w:cols w:space="708"/>
          <w:docGrid w:linePitch="360"/>
        </w:sectPr>
      </w:pPr>
      <w:r w:rsidRPr="007621E8">
        <w:rPr>
          <w:rFonts w:cstheme="minorHAnsi"/>
          <w:lang w:val="en-GB"/>
        </w:rPr>
        <w:t>Tables S1 to S3</w:t>
      </w:r>
    </w:p>
    <w:p w14:paraId="351EE653" w14:textId="77777777" w:rsidR="008906C4" w:rsidRPr="007621E8" w:rsidRDefault="008906C4" w:rsidP="008906C4">
      <w:pPr>
        <w:spacing w:after="0" w:line="360" w:lineRule="auto"/>
        <w:rPr>
          <w:rFonts w:cstheme="minorHAnsi"/>
          <w:b/>
          <w:lang w:val="en-GB"/>
        </w:rPr>
      </w:pPr>
      <w:r w:rsidRPr="007621E8">
        <w:rPr>
          <w:rFonts w:cstheme="minorHAnsi"/>
          <w:b/>
          <w:lang w:val="en-GB"/>
        </w:rPr>
        <w:lastRenderedPageBreak/>
        <w:t>1. Supporting text</w:t>
      </w:r>
    </w:p>
    <w:p w14:paraId="7D76C4A8" w14:textId="77777777" w:rsidR="008906C4" w:rsidRPr="007621E8" w:rsidRDefault="008906C4" w:rsidP="008906C4">
      <w:pPr>
        <w:pStyle w:val="PargrafodaLista"/>
        <w:numPr>
          <w:ilvl w:val="1"/>
          <w:numId w:val="1"/>
        </w:numPr>
        <w:spacing w:after="0" w:line="360" w:lineRule="auto"/>
        <w:rPr>
          <w:rFonts w:cstheme="minorHAnsi"/>
          <w:b/>
          <w:lang w:val="en-GB"/>
        </w:rPr>
      </w:pPr>
      <w:r w:rsidRPr="007621E8">
        <w:rPr>
          <w:rFonts w:cstheme="minorHAnsi"/>
          <w:b/>
          <w:lang w:val="en-GB"/>
        </w:rPr>
        <w:t>Geologic Setting</w:t>
      </w:r>
    </w:p>
    <w:p w14:paraId="50635E50" w14:textId="72B45D55" w:rsidR="008906C4" w:rsidRPr="007621E8" w:rsidRDefault="008906C4" w:rsidP="008906C4">
      <w:pPr>
        <w:spacing w:after="0" w:line="360" w:lineRule="auto"/>
        <w:rPr>
          <w:color w:val="0070C0"/>
          <w:lang w:val="en-GB"/>
        </w:rPr>
      </w:pPr>
      <w:r w:rsidRPr="007621E8">
        <w:rPr>
          <w:rFonts w:cstheme="minorHAnsi"/>
          <w:lang w:val="en-GB"/>
        </w:rPr>
        <w:t xml:space="preserve">Within the geological succession of the Araripe Basin, Northeastern Brazil (Fig. S1, A), the Crato Formation is one of the four Lower Cretaceous units of the Santana Group </w:t>
      </w:r>
      <w:r w:rsidRPr="007621E8">
        <w:rPr>
          <w:rFonts w:cstheme="minorHAnsi"/>
          <w:lang w:val="en-GB"/>
        </w:rPr>
        <w:fldChar w:fldCharType="begin" w:fldLock="1"/>
      </w:r>
      <w:r w:rsidR="00F302D2">
        <w:rPr>
          <w:rFonts w:cstheme="minorHAnsi"/>
          <w:lang w:val="en-GB"/>
        </w:rPr>
        <w:instrText>ADDIN CSL_CITATION {"citationItems":[{"id":"ITEM-1","itemData":{"DOI":"10.1016/S0016-6995(02)00082-7","ISSN":"00166995","abstract":"A biostratigraphic study was carried out in the Lower Cretaceous Araripe basin, northeastern Brazil, allowing the recognition of several chronostratigraphic units: the Dom João (Jurassic?–Lower Cretaceous?), the Rio da Serra (Neocomian) and the Alagoas (Aptian/Albian) local stages. For the first time a large hiatus between the Rio da Serra and Alagoas local stages is carefully documented. The palynomorphs and the ostracode associations throughout the Jurassic?–Aptian/Albian sequence allow the interpretation of the paleoenvironmental evolution of the Araripe basin which otherwise confirms that a polycyclical sedimentation occurred in the basin, being one of the controlling factors on the distribution of ostracodes and palynomorphes.","author":[{"dropping-particle":"","family":"Coimbra","given":"João Carlos","non-dropping-particle":"","parse-names":false,"suffix":""},{"dropping-particle":"","family":"Arai","given":"Mitsuru","non-dropping-particle":"","parse-names":false,"suffix":""},{"dropping-particle":"","family":"Carreño","given":"Ana Luisa","non-dropping-particle":"","parse-names":false,"suffix":""}],"container-title":"Geobios","id":"ITEM-1","issue":"6","issued":{"date-parts":[["2002","11"]]},"page":"687-698","title":"Biostratigraphy of Lower Cretaceous microfossils from the Araripe basin, northeastern Brazil","type":"article-journal","volume":"35"},"uris":["http://www.mendeley.com/documents/?uuid=b1a17078-4c67-4ba8-8417-269940fe1447"]}],"mendeley":{"formattedCitation":"&lt;sup&gt;1&lt;/sup&gt;","plainTextFormattedCitation":"1","previouslyFormattedCitation":"(Coimbra et al., 2002)"},"properties":{"noteIndex":0},"schema":"https://github.com/citation-style-language/schema/raw/master/csl-citation.json"}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1</w:t>
      </w:r>
      <w:r w:rsidRPr="007621E8">
        <w:rPr>
          <w:rFonts w:cstheme="minorHAnsi"/>
          <w:lang w:val="en-GB"/>
        </w:rPr>
        <w:fldChar w:fldCharType="end"/>
      </w:r>
      <w:r w:rsidRPr="007621E8">
        <w:rPr>
          <w:rFonts w:cstheme="minorHAnsi"/>
          <w:lang w:val="en-GB"/>
        </w:rPr>
        <w:t xml:space="preserve">, the others being the Barbalha, Ipubi and Romualdo formations </w:t>
      </w:r>
      <w:r w:rsidRPr="007621E8">
        <w:rPr>
          <w:rFonts w:cstheme="minorHAnsi"/>
          <w:lang w:val="en-GB"/>
        </w:rPr>
        <w:fldChar w:fldCharType="begin" w:fldLock="1"/>
      </w:r>
      <w:r w:rsidR="00F302D2">
        <w:rPr>
          <w:rFonts w:cstheme="minorHAnsi"/>
          <w:lang w:val="en-GB"/>
        </w:rPr>
        <w:instrText>ADDIN CSL_CITATION {"citationItems":[{"id":"ITEM-1","itemData":{"abstract":"The Araripe Basin is composed of strati- graphic units associated to the Gondwana break-up and the South Atlantic Ocean opening. The record of the Alagoas Stage (late Aptian to very early Al- bian) is materialized by the post-rift megasequence of the basin, which corresponds to the Santana Group comprising, from base to top, the Barbalha, Crato, Ipubi and Romualdo formations. Two internal disconformities allow us to subdivide the Alagoas Stage into three depositional sequences. The lower sequence comprises the Barbalha Formation and includes a vertical facies succession of fluvial chan- nels that culminate with lacustrine shales with great lateral extension and up to 10m thick. The middle sequence begins with thin conglomerate beds, fol- lowed by sandstones interbedded with fine-grained rocks, belonging to the upper portion of the Barb- alha Formation. These facies are organized in fluvial cycles and replaced by lacustrine dark/greenish gray shales and laminated limestones from the Crato Formation, arranged in a vertical facies succession of transgressive systems tract. The mixed Crato suc- cession is composed of laminated limestone beds and siliciclastic facies typical of highstand system tract and ends up with deposition of evaporites (gypsum/anhydrite) of the Ipubi Formation under extreme aridity conditions. The upper sequence, which corresponds to the Romualdo Formation, is characterized by coastal sandstones in its lower portion, that interfinger with thin conglomerate and gravelly sandstone beds towards the basin margin. The stacking pattern is transgressive, with coastal onlap from southeast to northwest. Marine facies occur directly over the basement rocks at the west and northwest basin margins, where thin shell beds and bioclastic limestones overly fossiliferous marine shales. Regressive sandstones deposited in tidally influenced highstand coastal systems complete the sequence and record the return to continental environments. The top of the Alagoas Stage is a regional unconformity between the Santana Group and the overlying mid-Cretaceous fluvial facies of the Araripe Group (Araripina and Exu formations).","author":[{"dropping-particle":"","family":"Assine","given":"Mario Luis","non-dropping-particle":"","parse-names":false,"suffix":""},{"dropping-particle":"","family":"Perinotto","given":"José Alexandre de Jesus","non-dropping-particle":"","parse-names":false,"suffix":""},{"dropping-particle":"","family":"Custódio","given":"Michele Andriolli","non-dropping-particle":"","parse-names":false,"suffix":""},{"dropping-particle":"","family":"Neumann","given":"Virgínio Henrique","non-dropping-particle":"","parse-names":false,"suffix":""},{"dropping-particle":"","family":"Varejão","given":"Filipe Giovanini","non-dropping-particle":"","parse-names":false,"suffix":""},{"dropping-particle":"","family":"Mescolotti","given":"Patricia Colombo","non-dropping-particle":"","parse-names":false,"suffix":""}],"container-title":"Boletim de Geociencias da Petrobras","id":"ITEM-1","issue":"1","issued":{"date-parts":[["2014"]]},"page":"3-28","title":"Sequências deposicionais do Andar Alagoas da Bacia do Araripe, Nordeste do Brasil","type":"article-journal","volume":"22"},"uris":["http://www.mendeley.com/documents/?uuid=8eeecc2a-7cef-4917-865c-f466452854b8"]}],"mendeley":{"formattedCitation":"&lt;sup&gt;2&lt;/sup&gt;","plainTextFormattedCitation":"2","previouslyFormattedCitation":"(Assine et al., 2014)"},"properties":{"noteIndex":0},"schema":"https://github.com/citation-style-language/schema/raw/master/csl-citation.json"}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w:t>
      </w:r>
      <w:r w:rsidRPr="007621E8">
        <w:rPr>
          <w:rFonts w:cstheme="minorHAnsi"/>
          <w:lang w:val="en-GB"/>
        </w:rPr>
        <w:fldChar w:fldCharType="end"/>
      </w:r>
      <w:r w:rsidRPr="007621E8">
        <w:rPr>
          <w:rFonts w:cstheme="minorHAnsi"/>
          <w:lang w:val="en-GB"/>
        </w:rPr>
        <w:t>. The Crato Formation is limited to the N-SE portions of the basin, more conspicuously in the Cariri Valley, Ceará State. Lithologically (Fig. S1, B), this unit consists of laminated limestones and greenish shales sequences with virtually the same thickness, which are also interbedded by sandstones and, occasionally, by thin layers of evaporitic minerals, predominantly gypsum.</w:t>
      </w:r>
    </w:p>
    <w:p w14:paraId="0F25F184" w14:textId="593FF7D6" w:rsidR="008906C4" w:rsidRPr="007621E8" w:rsidRDefault="008906C4" w:rsidP="008906C4">
      <w:pPr>
        <w:spacing w:after="0" w:line="360" w:lineRule="auto"/>
        <w:ind w:firstLine="709"/>
        <w:rPr>
          <w:rFonts w:cstheme="minorHAnsi"/>
          <w:lang w:val="en-GB"/>
        </w:rPr>
      </w:pPr>
      <w:r w:rsidRPr="007621E8">
        <w:rPr>
          <w:rFonts w:cstheme="minorHAnsi"/>
          <w:lang w:val="en-GB"/>
        </w:rPr>
        <w:t xml:space="preserve">The Crato Formation limestone is composed of fine-grained calcite crystals (micrite and spate), with varying content of amorphous organic matter and siliciclastic minerals </w:t>
      </w:r>
      <w:r w:rsidRPr="007621E8">
        <w:rPr>
          <w:rFonts w:cstheme="minorHAnsi"/>
          <w:lang w:val="en-GB"/>
        </w:rPr>
        <w:fldChar w:fldCharType="begin" w:fldLock="1"/>
      </w:r>
      <w:r w:rsidR="00F302D2">
        <w:rPr>
          <w:rFonts w:cstheme="minorHAnsi"/>
          <w:lang w:val="en-GB"/>
        </w:rPr>
        <w:instrText>ADDIN CSL_CITATION {"citationItems":[{"id":"ITEM-1","itemData":{"author":[{"dropping-particle":"","family":"Neumann","given":"Virgínio H. M. L.","non-dropping-particle":"","parse-names":false,"suffix":""},{"dropping-particle":"","family":"Cabrera","given":"Lluis","non-dropping-particle":"","parse-names":false,"suffix":""}],"container-title":"Revista de Geologia","id":"ITEM-1","issued":{"date-parts":[["2002"]]},"page":"43-54","title":"Características Hidrogeológicas gerais, mudanças de salinidade e caráter endorréico do sistema lacustre Cretáceo do Araripe, NE Brasil","type":"article-journal","volume":"15"},"uris":["http://www.mendeley.com/documents/?uuid=cc25c98b-facd-42b8-934d-daa97d79707a"]},{"id":"ITEM-2","itemData":{"DOI":"10.1016/S0166-5162(03)00018-1","ISSN":"01665162","abstract":"The main characteristics and distribution of organic matter have been studied through several Aptian-Albian lacustrine units (Rio da Batateira, Crato and Ipubí Formations, Araripe Basin, NE Brazil). Six main facies have been distinguished on the basis of their lithological-sedimentological characteristics and the type and amount of organic matter: (1) marginal lacustrine deltaic massive to coarsely laminated mudstones and sandstones found as lenticular sheet and channel-infills; (2) oxic marginal lacustrine massive to poorly laminated mudstones; (3) oxic-suboxic inner lacustrine mudstones and laminated bioclastic mudstones; (4) anoxic, inner lacustrine dark mudstones; (5) anoxic, inner lacustrine dark clay-carbonate rhythmites; and (6) anoxic, inner lacustrine finely laminated dark micritic limestones. These facies make up decimeter- to several meter-thick parasequences, which stack up in several tens of meters thick successions. Water level changes and variations of the detritic sediment contribution in the basin controlled the evolution of the depositional system. Palynomorph associations showed that the lacustrine system evolved in an arid-semiarid tropical area where the most characteristic flora consisted of conifers, Gnetales, Bennettitales and early angiosperms. In facies 1 to 3, organic matter was scarce, poorly preserved and mainly derived from higher land plants. Facies 4 is characterised by containing abundant algal/bacterial-derived well-preserved organic matter. Facies 5 and 6 contained mainly branchlets and pollen debris blown by the wind or fed by lacustrine underflows. The pattern of organic matter accumulation and preservation corresponds well with cyclical palaeoenvironmental changes (from anoxic to oxic bottom conditions and from a fresh to saline upper water layer), which affected the shallow lacustrine system. The deposition of thin, organic matter-rich mudstones (facies 4) probably occurred during higher water levels, which resulted in relatively low salinity waters and low detrital contribution to the inner lacustrine zones. Less significant organic matter accumulation is recorded in the clay-carbonate rhythmites and in the limestones (facies 5 and 6) due to scarce autochthonous aquatic organic matter deposition and pervasive intense bacterial degradation, caused by persistent meromictic conditions. Large differences in the degree and path of evolution of the humic material derived from higher land plants have been detected, depen…","author":[{"dropping-particle":"","family":"Neumann","given":"V. H.","non-dropping-particle":"","parse-names":false,"suffix":""},{"dropping-particle":"","family":"Borrego","given":"A. G.","non-dropping-particle":"","parse-names":false,"suffix":""},{"dropping-particle":"","family":"Cabrera","given":"Lluis","non-dropping-particle":"","parse-names":false,"suffix":""},{"dropping-particle":"","family":"Dino","given":"R.","non-dropping-particle":"","parse-names":false,"suffix":""}],"container-title":"International Journal of Coal Geology","id":"ITEM-2","issue":"1-2","issued":{"date-parts":[["2003"]]},"page":"21-40","title":"Organic matter composition and distribution through the Aptian-Albian lacustrine sequences of the Araripe Basin, northeastern Brazil","type":"article-journal","volume":"54"},"uris":["http://www.mendeley.com/documents/?uuid=9cc937d8-1082-4a69-b037-d0b2c6ff012b"]},{"id":"ITEM-3","itemData":{"DOI":"10.1111/j.1365-3091.2009.01114.x","ISBN":"0037-0746","ISSN":"00370746","PMID":"19474462","abstract":"The laminated limestones of the Early Cretaceous Crato Formation of the Araripe Basin (North-eastern Brazil) are world-famous for their exceptionally well-preserved and taxonomically diverse fossil fauna and flora. Whereas the fossil biota has received considerable attention, only a few studies have focused on the sedimentary characteristics and palaeoenvironmental conditions which prevailed during formation of the Crato Fossil Lagersta¨ tte. The Nova Olinda Member represents the lowermost and thickest unit (up to 10 m) of the Crato Formation and is characterized by a pronounced rhythmically bedded, pale to dark lamination. To obtain information on palaeoenvironmental conditions, sample slabs derived from three local stratigraphic sections within the Araripe Basin were studied using high- resolution multiproxy techniques including detailed logging, petrography, µ-XRF scanning and stable isotope geochemistry. Integration of lithological and petrographic evidence indicates that the bulk of the Nova Olinda limestone formed via authigenic precipitation of calcite from within the upper water column, most probably induced and/or mediated by phytoplankton and picoplankton activity. A significant contribution from a benthonic, carbonate-secreting microbial mat community is not supported by these results. Deposition took place under anoxic and, at least during certain episodes, hypersaline bottom water conditions, as evidenced by the virtually undisturbed lamination pattern, the absence of a benthonic fauna and by the occurrence of halite pseudomorphs. Input of allochthonous, catchment- derived siliciclastics to the basin during times of laminite formation was strongly reduced. The δ18O values of authigenic carbonate precipitates (between -7.1 and -5,1‰) point to a 18O-poor meteoric water source and support a continental freshwater setting for the Nova Olinda Member. The δ13C values, which are comparatively rich in 13C (between-0.1 and +1.9‰), are interpreted to reflect reduced throughflow of water in a restricted basin, promoting equilibration with atmospheric CO2, probably in concert with stagnant conditions and low input of soil-derived carbon. Integration of lithological and isotopic evidence indicates a shift from closed to semi-closed conditions towards a more open lake system during the onset of laminite deposition in the Crato Formation.","author":[{"dropping-particle":"","family":"Heimhofer","given":"Ulrich","non-dropping-particle":"","parse-names":false,"suffix":""},{"dropping-particle":"","family":"Ariztegui","given":"Daniel","non-dropping-particle":"","parse-names":false,"suffix":""},{"dropping-particle":"","family":"Lenniger","given":"Marc","non-dropping-particle":"","parse-names":false,"suffix":""},{"dropping-particle":"","family":"Hesselbo","given":"Stephen P.","non-dropping-particle":"","parse-names":false,"suffix":""},{"dropping-particle":"","family":"Martill","given":"David M.","non-dropping-particle":"","parse-names":false,"suffix":""},{"dropping-particle":"","family":"Rios-Netto","given":"Aristoteles M.","non-dropping-particle":"","parse-names":false,"suffix":""}],"container-title":"Sedimentology","id":"ITEM-3","issue":"2","issued":{"date-parts":[["2010"]]},"page":"677-694","title":"Deciphering the depositional environment of the laminated Crato fossil beds (Early Cretaceous, Araripe Basin, North-eastern Brazil)","type":"article-journal","volume":"57"},"uris":["http://www.mendeley.com/documents/?uuid=fa8b417e-9ba2-4ca1-840c-c0109f6c18df"]}],"mendeley":{"formattedCitation":"&lt;sup&gt;3–5&lt;/sup&gt;","plainTextFormattedCitation":"3–5","previouslyFormattedCitation":"(Heimhofer et al., 2010; Neumann et al., 2003; Neumann and Cabrera, 2002)"},"properties":{"noteIndex":0},"schema":"https://github.com/citation-style-language/schema/raw/master/csl-citation.json"}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3–5</w:t>
      </w:r>
      <w:r w:rsidRPr="007621E8">
        <w:rPr>
          <w:rFonts w:cstheme="minorHAnsi"/>
          <w:lang w:val="en-GB"/>
        </w:rPr>
        <w:fldChar w:fldCharType="end"/>
      </w:r>
      <w:r w:rsidRPr="007621E8">
        <w:rPr>
          <w:rFonts w:cstheme="minorHAnsi"/>
          <w:lang w:val="en-GB"/>
        </w:rPr>
        <w:t xml:space="preserve">. According to some authors, the carbonate-siliciclastic sequences were deposited in a protected lacustrine environment, with a strong chemocline gradient, especially with respect to salinity and oxygen concentrations </w:t>
      </w:r>
      <w:r w:rsidRPr="007621E8">
        <w:rPr>
          <w:rFonts w:cstheme="minorHAnsi"/>
          <w:lang w:val="en-GB"/>
        </w:rPr>
        <w:fldChar w:fldCharType="begin" w:fldLock="1"/>
      </w:r>
      <w:r w:rsidR="00F302D2">
        <w:rPr>
          <w:rFonts w:cstheme="minorHAnsi"/>
          <w:lang w:val="en-GB"/>
        </w:rPr>
        <w:instrText>ADDIN CSL_CITATION {"citationItems":[{"id":"ITEM-1","itemData":{"author":[{"dropping-particle":"","family":"Neumann","given":"Virgínio H.","non-dropping-particle":"","parse-names":false,"suffix":""},{"dropping-particle":"","family":"Cabrera","given":"Lluis","non-dropping-particle":"","parse-names":false,"suffix":""}],"container-title":"Anais da Academia Brasileira de Ciências","id":"ITEM-1","issue":"4","issued":{"date-parts":[["2000"]]},"page":"607-608","title":"Significance and genetic interpretation of the sequential organization of the Aptian-Albian","type":"article-journal","volume":"72"},"uris":["http://www.mendeley.com/documents/?uuid=867cb399-cfdd-42e1-993d-cdc94c7cccdc"]},{"id":"ITEM-2","itemData":{"author":[{"dropping-particle":"","family":"Neumann","given":"Virgínio H. M. L.","non-dropping-particle":"","parse-names":false,"suffix":""},{"dropping-particle":"","family":"Cabrera","given":"Lluis","non-dropping-particle":"","parse-names":false,"suffix":""}],"container-title":"Revista de Geologia","id":"ITEM-2","issued":{"date-parts":[["2002"]]},"page":"43-54","title":"Características Hidrogeológicas gerais, mudanças de salinidade e caráter endorréico do sistema lacustre Cretáceo do Araripe, NE Brasil","type":"article-journal","volume":"15"},"uris":["http://www.mendeley.com/documents/?uuid=cc25c98b-facd-42b8-934d-daa97d79707a"]}],"mendeley":{"formattedCitation":"&lt;sup&gt;3,6&lt;/sup&gt;","plainTextFormattedCitation":"3,6","previouslyFormattedCitation":"(Neumann and Cabrera, 2000, 2002)"},"properties":{"noteIndex":0},"schema":"https://github.com/citation-style-language/schema/raw/master/csl-citation.json"}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3,6</w:t>
      </w:r>
      <w:r w:rsidRPr="007621E8">
        <w:rPr>
          <w:rFonts w:cstheme="minorHAnsi"/>
          <w:lang w:val="en-GB"/>
        </w:rPr>
        <w:fldChar w:fldCharType="end"/>
      </w:r>
      <w:r w:rsidRPr="007621E8">
        <w:rPr>
          <w:rFonts w:cstheme="minorHAnsi"/>
          <w:lang w:val="en-GB"/>
        </w:rPr>
        <w:t xml:space="preserve">. Other authors however argue that only the lowermost beds of the Crato Formation (i.e. Nova Olinda member </w:t>
      </w:r>
      <w:r w:rsidRPr="007621E8">
        <w:rPr>
          <w:rFonts w:cstheme="minorHAnsi"/>
          <w:i/>
          <w:lang w:val="en-GB"/>
        </w:rPr>
        <w:t>sensu</w:t>
      </w:r>
      <w:r w:rsidRPr="007621E8">
        <w:rPr>
          <w:rFonts w:cstheme="minorHAnsi"/>
          <w:lang w:val="en-GB"/>
        </w:rPr>
        <w:t xml:space="preserve"> (</w:t>
      </w:r>
      <w:r w:rsidRPr="007621E8">
        <w:rPr>
          <w:rFonts w:cstheme="minorHAnsi"/>
          <w:lang w:val="en-GB"/>
        </w:rPr>
        <w:fldChar w:fldCharType="begin" w:fldLock="1"/>
      </w:r>
      <w:r w:rsidR="00F302D2">
        <w:rPr>
          <w:rFonts w:cstheme="minorHAnsi"/>
          <w:lang w:val="en-GB"/>
        </w:rPr>
        <w:instrText>ADDIN CSL_CITATION {"citationItems":[{"id":"ITEM-1","itemData":{"DOI":"10.1017/CBO9780511535512.005","ISBN":"9780511535512","abstract":"Although the exceptionally preserved fossils from the Crato Formation have attracted a multitude of palaeontological studies dealing predominantly with the systematics and taxonomy of the assemblage, reports on the sedimentology and depositional environment of this important Fossil Lagerst¨atte are rather scarce. There are even fewer studies on the geochemistry and sedimentary diagenesis of the formation. A few exceptions include analyses of the organic matter composition (Baudin and Berthou, 1996; Neumann, 1999; Neumann et al., 2003) and a study of evaporite mineral pseudomorphism in the Nova Olinda Member (Martill et al., 2007). Some workers have examined spot samples from the Crato Formation in studies on the Araripe Group as a whole (e.g. Berthou et al., 1990) and a few assessments of the palaeoenvironment have been undertaken (Cavalcanti andViana, 1990; Martill and Wilby, 1993). For a better understanding of the unusual taphonomy and exceptional preservation of the Crato fossils, a more detailed knowledge of the physico-chemical conditions of the aquatic palaeoenvironment is necessary. Because the Crato Formation is a heterolithic sequence with both clastic and carbonate deposition, it is clear that many different and often contrasting environments are represented by the sedimentary sequence. Many previous analyses fail to address the situation, preferring to summarize the unit as a whole, and providing generally unsatisfactory interpretations. Here we concentrate on the sedimentology and geochemistry of the Nova Olinda Member of the Crato Formation, with a view to elucidating the sedimentary and diagenetic environment that resulted in the exquisite preservation of the fossil assemblage. We draw on data from other parts of the Crato Formation sequence to enable us to place the Nova Olinda Member sedimentary environment in its wider context","author":[{"dropping-particle":"","family":"Heimhofer","given":"Ulrich","non-dropping-particle":"","parse-names":false,"suffix":""},{"dropping-particle":"","family":"Martill","given":"David M.","non-dropping-particle":"","parse-names":false,"suffix":""}],"container-title":"The Crato Fossil Beds of Brazil: Window into an Ancient World","editor":[{"dropping-particle":"","family":"Martill","given":"David M.","non-dropping-particle":"","parse-names":false,"suffix":""},{"dropping-particle":"","family":"Bechly","given":"Günther","non-dropping-particle":"","parse-names":false,"suffix":""},{"dropping-particle":"","family":"Loveridge","given":"Robert F.","non-dropping-particle":"","parse-names":false,"suffix":""}],"id":"ITEM-1","issued":{"date-parts":[["2007"]]},"page":"44-62","publisher":"Cambridge University Press","publisher-place":"Oxford, UK","title":"The sedimentology and depositional environment of the Crato Formation","type":"chapter"},"uris":["http://www.mendeley.com/documents/?uuid=953ecd1a-0079-4b0a-909c-9861fda22359"]}],"mendeley":{"formattedCitation":"&lt;sup&gt;7&lt;/sup&gt;","manualFormatting":"6","plainTextFormattedCitation":"7","previouslyFormattedCitation":"(Heimhofer and Martill, 2007)"},"properties":{"noteIndex":0},"schema":"https://github.com/citation-style-language/schema/raw/master/csl-citation.json"}</w:instrText>
      </w:r>
      <w:r w:rsidRPr="007621E8">
        <w:rPr>
          <w:rFonts w:cstheme="minorHAnsi"/>
          <w:lang w:val="en-GB"/>
        </w:rPr>
        <w:fldChar w:fldCharType="separate"/>
      </w:r>
      <w:r w:rsidRPr="007621E8">
        <w:rPr>
          <w:rFonts w:cstheme="minorHAnsi"/>
          <w:noProof/>
          <w:lang w:val="en-GB"/>
        </w:rPr>
        <w:t>6</w:t>
      </w:r>
      <w:r w:rsidRPr="007621E8">
        <w:rPr>
          <w:rFonts w:cstheme="minorHAnsi"/>
          <w:lang w:val="en-GB"/>
        </w:rPr>
        <w:fldChar w:fldCharType="end"/>
      </w:r>
      <w:r w:rsidRPr="007621E8">
        <w:rPr>
          <w:rFonts w:cstheme="minorHAnsi"/>
          <w:lang w:val="en-GB"/>
        </w:rPr>
        <w:t xml:space="preserve">), which is the thicker carbonate sequence, can be considered as lacustrine </w:t>
      </w:r>
      <w:r w:rsidRPr="007621E8">
        <w:rPr>
          <w:rFonts w:cstheme="minorHAnsi"/>
          <w:lang w:val="en-GB"/>
        </w:rPr>
        <w:fldChar w:fldCharType="begin" w:fldLock="1"/>
      </w:r>
      <w:r w:rsidR="00F302D2">
        <w:rPr>
          <w:rFonts w:cstheme="minorHAnsi"/>
          <w:lang w:val="en-GB"/>
        </w:rPr>
        <w:instrText>ADDIN CSL_CITATION {"citationItems":[{"id":"ITEM-1","itemData":{"abstract":"The Araripe Basin is composed of strati- graphic units associated to the Gondwana break-up and the South Atlantic Ocean opening. The record of the Alagoas Stage (late Aptian to very early Al- bian) is materialized by the post-rift megasequence of the basin, which corresponds to the Santana Group comprising, from base to top, the Barbalha, Crato, Ipubi and Romualdo formations. Two internal disconformities allow us to subdivide the Alagoas Stage into three depositional sequences. The lower sequence comprises the Barbalha Formation and includes a vertical facies succession of fluvial chan- nels that culminate with lacustrine shales with great lateral extension and up to 10m thick. The middle sequence begins with thin conglomerate beds, fol- lowed by sandstones interbedded with fine-grained rocks, belonging to the upper portion of the Barb- alha Formation. These facies are organized in fluvial cycles and replaced by lacustrine dark/greenish gray shales and laminated limestones from the Crato Formation, arranged in a vertical facies succession of transgressive systems tract. The mixed Crato suc- cession is composed of laminated limestone beds and siliciclastic facies typical of highstand system tract and ends up with deposition of evaporites (gypsum/anhydrite) of the Ipubi Formation under extreme aridity conditions. The upper sequence, which corresponds to the Romualdo Formation, is characterized by coastal sandstones in its lower portion, that interfinger with thin conglomerate and gravelly sandstone beds towards the basin margin. The stacking pattern is transgressive, with coastal onlap from southeast to northwest. Marine facies occur directly over the basement rocks at the west and northwest basin margins, where thin shell beds and bioclastic limestones overly fossiliferous marine shales. Regressive sandstones deposited in tidally influenced highstand coastal systems complete the sequence and record the return to continental environments. The top of the Alagoas Stage is a regional unconformity between the Santana Group and the overlying mid-Cretaceous fluvial facies of the Araripe Group (Araripina and Exu formations).","author":[{"dropping-particle":"","family":"Assine","given":"Mario Luis","non-dropping-particle":"","parse-names":false,"suffix":""},{"dropping-particle":"","family":"Perinotto","given":"José Alexandre de Jesus","non-dropping-particle":"","parse-names":false,"suffix":""},{"dropping-particle":"","family":"Custódio","given":"Michele Andriolli","non-dropping-particle":"","parse-names":false,"suffix":""},{"dropping-particle":"","family":"Neumann","given":"Virgínio Henrique","non-dropping-particle":"","parse-names":false,"suffix":""},{"dropping-particle":"","family":"Varejão","given":"Filipe Giovanini","non-dropping-particle":"","parse-names":false,"suffix":""},{"dropping-particle":"","family":"Mescolotti","given":"Patricia Colombo","non-dropping-particle":"","parse-names":false,"suffix":""}],"container-title":"Boletim de Geociencias da Petrobras","id":"ITEM-1","issue":"1","issued":{"date-parts":[["2014"]]},"page":"3-28","title":"Sequências deposicionais do Andar Alagoas da Bacia do Araripe, Nordeste do Brasil","type":"article-journal","volume":"22"},"uris":["http://www.mendeley.com/documents/?uuid=8eeecc2a-7cef-4917-865c-f466452854b8"]}],"mendeley":{"formattedCitation":"&lt;sup&gt;2&lt;/sup&gt;","plainTextFormattedCitation":"2","previouslyFormattedCitation":"(Assine et al., 2014)"},"properties":{"noteIndex":0},"schema":"https://github.com/citation-style-language/schema/raw/master/csl-citation.json"}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w:t>
      </w:r>
      <w:r w:rsidRPr="007621E8">
        <w:rPr>
          <w:rFonts w:cstheme="minorHAnsi"/>
          <w:lang w:val="en-GB"/>
        </w:rPr>
        <w:fldChar w:fldCharType="end"/>
      </w:r>
      <w:r w:rsidRPr="007621E8">
        <w:rPr>
          <w:rFonts w:cstheme="minorHAnsi"/>
          <w:lang w:val="en-GB"/>
        </w:rPr>
        <w:t xml:space="preserve">. All other sedimentary series may represent a palaeolake with direct contact with seawater, Sabkha or lagoon environment </w:t>
      </w:r>
      <w:r w:rsidRPr="007621E8">
        <w:rPr>
          <w:rFonts w:cstheme="minorHAnsi"/>
          <w:lang w:val="en-GB"/>
        </w:rPr>
        <w:fldChar w:fldCharType="begin" w:fldLock="1"/>
      </w:r>
      <w:r w:rsidR="00F302D2">
        <w:rPr>
          <w:rFonts w:cstheme="minorHAnsi"/>
          <w:lang w:val="en-GB"/>
        </w:rPr>
        <w:instrText>ADDIN CSL_CITATION {"citationItems":[{"id":"ITEM-1","itemData":{"abstract":"The Araripe Basin is composed of strati- graphic units associated to the Gondwana break-up and the South Atlantic Ocean opening. The record of the Alagoas Stage (late Aptian to very early Al- bian) is materialized by the post-rift megasequence of the basin, which corresponds to the Santana Group comprising, from base to top, the Barbalha, Crato, Ipubi and Romualdo formations. Two internal disconformities allow us to subdivide the Alagoas Stage into three depositional sequences. The lower sequence comprises the Barbalha Formation and includes a vertical facies succession of fluvial chan- nels that culminate with lacustrine shales with great lateral extension and up to 10m thick. The middle sequence begins with thin conglomerate beds, fol- lowed by sandstones interbedded with fine-grained rocks, belonging to the upper portion of the Barb- alha Formation. These facies are organized in fluvial cycles and replaced by lacustrine dark/greenish gray shales and laminated limestones from the Crato Formation, arranged in a vertical facies succession of transgressive systems tract. The mixed Crato suc- cession is composed of laminated limestone beds and siliciclastic facies typical of highstand system tract and ends up with deposition of evaporites (gypsum/anhydrite) of the Ipubi Formation under extreme aridity conditions. The upper sequence, which corresponds to the Romualdo Formation, is characterized by coastal sandstones in its lower portion, that interfinger with thin conglomerate and gravelly sandstone beds towards the basin margin. The stacking pattern is transgressive, with coastal onlap from southeast to northwest. Marine facies occur directly over the basement rocks at the west and northwest basin margins, where thin shell beds and bioclastic limestones overly fossiliferous marine shales. Regressive sandstones deposited in tidally influenced highstand coastal systems complete the sequence and record the return to continental environments. The top of the Alagoas Stage is a regional unconformity between the Santana Group and the overlying mid-Cretaceous fluvial facies of the Araripe Group (Araripina and Exu formations).","author":[{"dropping-particle":"","family":"Assine","given":"Mario Luis","non-dropping-particle":"","parse-names":false,"suffix":""},{"dropping-particle":"","family":"Perinotto","given":"José Alexandre de Jesus","non-dropping-particle":"","parse-names":false,"suffix":""},{"dropping-particle":"","family":"Custódio","given":"Michele Andriolli","non-dropping-particle":"","parse-names":false,"suffix":""},{"dropping-particle":"","family":"Neumann","given":"Virgínio Henrique","non-dropping-particle":"","parse-names":false,"suffix":""},{"dropping-particle":"","family":"Varejão","given":"Filipe Giovanini","non-dropping-particle":"","parse-names":false,"suffix":""},{"dropping-particle":"","family":"Mescolotti","given":"Patricia Colombo","non-dropping-particle":"","parse-names":false,"suffix":""}],"container-title":"Boletim de Geociencias da Petrobras","id":"ITEM-1","issue":"1","issued":{"date-parts":[["2014"]]},"page":"3-28","title":"Sequências deposicionais do Andar Alagoas da Bacia do Araripe, Nordeste do Brasil","type":"article-journal","volume":"22"},"uris":["http://www.mendeley.com/documents/?uuid=8eeecc2a-7cef-4917-865c-f466452854b8"]}],"mendeley":{"formattedCitation":"&lt;sup&gt;2&lt;/sup&gt;","plainTextFormattedCitation":"2","previouslyFormattedCitation":"(Assine et al., 2014)"},"properties":{"noteIndex":0},"schema":"https://github.com/citation-style-language/schema/raw/master/csl-citation.json"}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w:t>
      </w:r>
      <w:r w:rsidRPr="007621E8">
        <w:rPr>
          <w:rFonts w:cstheme="minorHAnsi"/>
          <w:lang w:val="en-GB"/>
        </w:rPr>
        <w:fldChar w:fldCharType="end"/>
      </w:r>
      <w:r w:rsidRPr="007621E8">
        <w:rPr>
          <w:rFonts w:cstheme="minorHAnsi"/>
          <w:lang w:val="en-GB"/>
        </w:rPr>
        <w:t xml:space="preserve">. The presence of marine bivalves at the top of Crato Formation succession seems to support this interpretation </w:t>
      </w:r>
      <w:r w:rsidRPr="007621E8">
        <w:rPr>
          <w:rFonts w:cstheme="minorHAnsi"/>
          <w:lang w:val="en-GB"/>
        </w:rPr>
        <w:fldChar w:fldCharType="begin" w:fldLock="1"/>
      </w:r>
      <w:r w:rsidR="00F302D2">
        <w:rPr>
          <w:rFonts w:cstheme="minorHAnsi"/>
          <w:lang w:val="en-GB"/>
        </w:rPr>
        <w:instrText>ADDIN CSL_CITATION {"citationItems":[{"id":"ITEM-1","itemData":{"author":[{"dropping-particle":"","family":"Silva","given":"V.R.","non-dropping-particle":"","parse-names":false,"suffix":""},{"dropping-particle":"","family":"Matos","given":"S.A.","non-dropping-particle":"","parse-names":false,"suffix":""},{"dropping-particle":"","family":"Fürsich","given":"F.T.","non-dropping-particle":"","parse-names":false,"suffix":""},{"dropping-particle":"","family":"Assine","given":"M.L.","non-dropping-particle":"","parse-names":false,"suffix":""},{"dropping-particle":"","family":"Varejão","given":"F.G.","non-dropping-particle":"","parse-names":false,"suffix":""},{"dropping-particle":"","family":"Warren","given":"L.V.","non-dropping-particle":"","parse-names":false,"suffix":""},{"dropping-particle":"","family":"Custódio","given":"M.A.","non-dropping-particle":"","parse-names":false,"suffix":""},{"dropping-particle":"","family":"Simões","given":"M.G.","non-dropping-particle":"","parse-names":false,"suffix":""}],"container-title":"Boletim de resumos do XXV Congresso Brasileiro de Paleontologia","id":"ITEM-1","issued":{"date-parts":[["2017"]]},"page":"320-320","publisher":"Sociedade Brasileira de Paleontologia","publisher-place":"Ribeirão Preto-SP","title":"First record of Neithea from the Aptian Crato Formation, Araripe Basin, Brazil, and it's significance","type":"paper-conference"},"uris":["http://www.mendeley.com/documents/?uuid=235f5f7f-21d4-401c-9576-400a9e9521d7"]}],"mendeley":{"formattedCitation":"&lt;sup&gt;8&lt;/sup&gt;","plainTextFormattedCitation":"8","previouslyFormattedCitation":"(Silva et al., 2017)"},"properties":{"noteIndex":0},"schema":"https://github.com/citation-style-language/schema/raw/master/csl-citation.json"}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8</w:t>
      </w:r>
      <w:r w:rsidRPr="007621E8">
        <w:rPr>
          <w:rFonts w:cstheme="minorHAnsi"/>
          <w:lang w:val="en-GB"/>
        </w:rPr>
        <w:fldChar w:fldCharType="end"/>
      </w:r>
      <w:r w:rsidRPr="007621E8">
        <w:rPr>
          <w:rFonts w:cstheme="minorHAnsi"/>
          <w:lang w:val="en-GB"/>
        </w:rPr>
        <w:t xml:space="preserve">. </w:t>
      </w:r>
    </w:p>
    <w:p w14:paraId="3DAF0F3F" w14:textId="11AD3ED7" w:rsidR="008906C4" w:rsidRPr="007621E8" w:rsidRDefault="008906C4" w:rsidP="008906C4">
      <w:pPr>
        <w:spacing w:after="0" w:line="360" w:lineRule="auto"/>
        <w:ind w:firstLine="708"/>
        <w:rPr>
          <w:rFonts w:cstheme="minorHAnsi"/>
          <w:lang w:val="en-GB"/>
        </w:rPr>
      </w:pPr>
      <w:r w:rsidRPr="007621E8">
        <w:rPr>
          <w:rFonts w:cstheme="minorHAnsi"/>
          <w:lang w:val="en-GB"/>
        </w:rPr>
        <w:t xml:space="preserve">Independent of the environment, the genesis of the Crato Formation limestones is related to authigenic precipitation of low-Mg calcite. Crystals were precipitated following seasonal phyto- and picoplankton blooms </w:t>
      </w:r>
      <w:r w:rsidRPr="007621E8">
        <w:rPr>
          <w:rFonts w:cstheme="minorHAnsi"/>
          <w:lang w:val="en-GB"/>
        </w:rPr>
        <w:fldChar w:fldCharType="begin" w:fldLock="1"/>
      </w:r>
      <w:r w:rsidR="00F302D2">
        <w:rPr>
          <w:rFonts w:cstheme="minorHAnsi"/>
          <w:lang w:val="en-GB"/>
        </w:rPr>
        <w:instrText>ADDIN CSL_CITATION {"citationItems":[{"id":"ITEM-1","itemData":{"DOI":"10.1111/j.1365-3091.2009.01114.x","ISBN":"0037-0746","ISSN":"00370746","PMID":"19474462","abstract":"The laminated limestones of the Early Cretaceous Crato Formation of the Araripe Basin (North-eastern Brazil) are world-famous for their exceptionally well-preserved and taxonomically diverse fossil fauna and flora. Whereas the fossil biota has received considerable attention, only a few studies have focused on the sedimentary characteristics and palaeoenvironmental conditions which prevailed during formation of the Crato Fossil Lagersta¨ tte. The Nova Olinda Member represents the lowermost and thickest unit (up to 10 m) of the Crato Formation and is characterized by a pronounced rhythmically bedded, pale to dark lamination. To obtain information on palaeoenvironmental conditions, sample slabs derived from three local stratigraphic sections within the Araripe Basin were studied using high- resolution multiproxy techniques including detailed logging, petrography, µ-XRF scanning and stable isotope geochemistry. Integration of lithological and petrographic evidence indicates that the bulk of the Nova Olinda limestone formed via authigenic precipitation of calcite from within the upper water column, most probably induced and/or mediated by phytoplankton and picoplankton activity. A significant contribution from a benthonic, carbonate-secreting microbial mat community is not supported by these results. Deposition took place under anoxic and, at least during certain episodes, hypersaline bottom water conditions, as evidenced by the virtually undisturbed lamination pattern, the absence of a benthonic fauna and by the occurrence of halite pseudomorphs. Input of allochthonous, catchment- derived siliciclastics to the basin during times of laminite formation was strongly reduced. The δ18O values of authigenic carbonate precipitates (between -7.1 and -5,1‰) point to a 18O-poor meteoric water source and support a continental freshwater setting for the Nova Olinda Member. The δ13C values, which are comparatively rich in 13C (between-0.1 and +1.9‰), are interpreted to reflect reduced throughflow of water in a restricted basin, promoting equilibration with atmospheric CO2, probably in concert with stagnant conditions and low input of soil-derived carbon. Integration of lithological and isotopic evidence indicates a shift from closed to semi-closed conditions towards a more open lake system during the onset of laminite deposition in the Crato Formation.","author":[{"dropping-particle":"","family":"Heimhofer","given":"Ulrich","non-dropping-particle":"","parse-names":false,"suffix":""},{"dropping-particle":"","family":"Ariztegui","given":"Daniel","non-dropping-particle":"","parse-names":false,"suffix":""},{"dropping-particle":"","family":"Lenniger","given":"Marc","non-dropping-particle":"","parse-names":false,"suffix":""},{"dropping-particle":"","family":"Hesselbo","given":"Stephen P.","non-dropping-particle":"","parse-names":false,"suffix":""},{"dropping-particle":"","family":"Martill","given":"David M.","non-dropping-particle":"","parse-names":false,"suffix":""},{"dropping-particle":"","family":"Rios-Netto","given":"Aristoteles M.","non-dropping-particle":"","parse-names":false,"suffix":""}],"container-title":"Sedimentology","id":"ITEM-1","issue":"2","issued":{"date-parts":[["2010"]]},"page":"677-694","title":"Deciphering the depositional environment of the laminated Crato fossil beds (Early Cretaceous, Araripe Basin, North-eastern Brazil)","type":"article-journal","volume":"57"},"uris":["http://www.mendeley.com/documents/?uuid=fa8b417e-9ba2-4ca1-840c-c0109f6c18df"]}],"mendeley":{"formattedCitation":"&lt;sup&gt;5&lt;/sup&gt;","plainTextFormattedCitation":"5","previouslyFormattedCitation":"(Heimhofer et al., 2010)"},"properties":{"noteIndex":0},"schema":"https://github.com/citation-style-language/schema/raw/master/csl-citation.json"}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5</w:t>
      </w:r>
      <w:r w:rsidRPr="007621E8">
        <w:rPr>
          <w:rFonts w:cstheme="minorHAnsi"/>
          <w:lang w:val="en-GB"/>
        </w:rPr>
        <w:fldChar w:fldCharType="end"/>
      </w:r>
      <w:r w:rsidRPr="007621E8">
        <w:rPr>
          <w:rFonts w:cstheme="minorHAnsi"/>
          <w:lang w:val="en-GB"/>
        </w:rPr>
        <w:t xml:space="preserve">, seasonal salinity fluctuations caused by evaporation </w:t>
      </w:r>
      <w:r w:rsidRPr="007621E8">
        <w:rPr>
          <w:rFonts w:cstheme="minorHAnsi"/>
          <w:lang w:val="en-GB"/>
        </w:rPr>
        <w:fldChar w:fldCharType="begin" w:fldLock="1"/>
      </w:r>
      <w:r w:rsidR="00F302D2">
        <w:rPr>
          <w:rFonts w:cstheme="minorHAnsi"/>
          <w:lang w:val="en-GB"/>
        </w:rPr>
        <w:instrText>ADDIN CSL_CITATION {"citationItems":[{"id":"ITEM-1","itemData":{"DOI":"10.1017/CBO9780511535512.005","ISBN":"9780511535512","abstract":"Although the exceptionally preserved fossils from the Crato Formation have attracted a multitude of palaeontological studies dealing predominantly with the systematics and taxonomy of the assemblage, reports on the sedimentology and depositional environment of this important Fossil Lagerst¨atte are rather scarce. There are even fewer studies on the geochemistry and sedimentary diagenesis of the formation. A few exceptions include analyses of the organic matter composition (Baudin and Berthou, 1996; Neumann, 1999; Neumann et al., 2003) and a study of evaporite mineral pseudomorphism in the Nova Olinda Member (Martill et al., 2007). Some workers have examined spot samples from the Crato Formation in studies on the Araripe Group as a whole (e.g. Berthou et al., 1990) and a few assessments of the palaeoenvironment have been undertaken (Cavalcanti andViana, 1990; Martill and Wilby, 1993). For a better understanding of the unusual taphonomy and exceptional preservation of the Crato fossils, a more detailed knowledge of the physico-chemical conditions of the aquatic palaeoenvironment is necessary. Because the Crato Formation is a heterolithic sequence with both clastic and carbonate deposition, it is clear that many different and often contrasting environments are represented by the sedimentary sequence. Many previous analyses fail to address the situation, preferring to summarize the unit as a whole, and providing generally unsatisfactory interpretations. Here we concentrate on the sedimentology and geochemistry of the Nova Olinda Member of the Crato Formation, with a view to elucidating the sedimentary and diagenetic environment that resulted in the exquisite preservation of the fossil assemblage. We draw on data from other parts of the Crato Formation sequence to enable us to place the Nova Olinda Member sedimentary environment in its wider context","author":[{"dropping-particle":"","family":"Heimhofer","given":"Ulrich","non-dropping-particle":"","parse-names":false,"suffix":""},{"dropping-particle":"","family":"Martill","given":"David M.","non-dropping-particle":"","parse-names":false,"suffix":""}],"container-title":"The Crato Fossil Beds of Brazil: Window into an Ancient World","editor":[{"dropping-particle":"","family":"Martill","given":"David M.","non-dropping-particle":"","parse-names":false,"suffix":""},{"dropping-particle":"","family":"Bechly","given":"Günther","non-dropping-particle":"","parse-names":false,"suffix":""},{"dropping-particle":"","family":"Loveridge","given":"Robert F.","non-dropping-particle":"","parse-names":false,"suffix":""}],"id":"ITEM-1","issued":{"date-parts":[["2007"]]},"page":"44-62","publisher":"Cambridge University Press","publisher-place":"Oxford, UK","title":"The sedimentology and depositional environment of the Crato Formation","type":"chapter"},"uris":["http://www.mendeley.com/documents/?uuid=953ecd1a-0079-4b0a-909c-9861fda22359"]}],"mendeley":{"formattedCitation":"&lt;sup&gt;7&lt;/sup&gt;","plainTextFormattedCitation":"7","previouslyFormattedCitation":"(Heimhofer and Martill, 2007)"},"properties":{"noteIndex":0},"schema":"https://github.com/citation-style-language/schema/raw/master/csl-citation.json"}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7</w:t>
      </w:r>
      <w:r w:rsidRPr="007621E8">
        <w:rPr>
          <w:rFonts w:cstheme="minorHAnsi"/>
          <w:lang w:val="en-GB"/>
        </w:rPr>
        <w:fldChar w:fldCharType="end"/>
      </w:r>
      <w:r w:rsidRPr="007621E8">
        <w:rPr>
          <w:rFonts w:cstheme="minorHAnsi"/>
          <w:lang w:val="en-GB"/>
        </w:rPr>
        <w:t xml:space="preserve">, and/or </w:t>
      </w:r>
      <w:r w:rsidRPr="00F0485C">
        <w:rPr>
          <w:rFonts w:cstheme="minorHAnsi"/>
          <w:lang w:val="en-GB"/>
        </w:rPr>
        <w:t xml:space="preserve">induced by bacteria from microbial mats and stromatolites </w:t>
      </w:r>
      <w:r w:rsidRPr="00F0485C">
        <w:rPr>
          <w:rFonts w:cstheme="minorHAnsi"/>
          <w:lang w:val="en-GB"/>
        </w:rPr>
        <w:fldChar w:fldCharType="begin" w:fldLock="1"/>
      </w:r>
      <w:r w:rsidR="00F302D2" w:rsidRPr="00F0485C">
        <w:rPr>
          <w:rFonts w:cstheme="minorHAnsi"/>
          <w:lang w:val="en-GB"/>
        </w:rPr>
        <w:instrText>ADDIN CSL_CITATION {"citationItems":[{"id":"ITEM-1","itemData":{"DOI":"10.1016/j.sedgeo.2016.05.007","ISSN":"00370738","abstract":"The Araripe Basin, located in northeastern Brazil, originated during the Gondwana continental break-up responsible for the opening of the South Atlantic during the Early Cretaceous. In the Araripe Basin, the post-rift Aptian sequence corresponds to the Santana Group, which is composed, in upward succession, of mostly clastic continental and rare carbonate layers of the Barbalha, Crato, Ipubi and Romualdo Formations. The laminated limestones of the Crato Formation were deposited in a lacustrine environment preceding the deposition of the Ipubi Formation evaporites. They are age-equivalent to the limestones of the pre-salt interval of the east coast of Brazil, which contains large petroleum reserves. The excellent preservation of its macrofossils has made the Crato Formation known worldwide as a Fossil Lagerstätte. The limestones are macroscopically homogeneous, and their deposition has been previously attributed to chemical precipitation. Although the carbonate laminites are macroscopically undifferentiated, mineralogical variations, microscopic texture and distinctive biotic aspects supported the characterization of four microfacies: planar laminated, crustiform, nodular and rhythmic. The microfacies analysis indicated a strong and pervasive biological activity in the Crato limestone morphogenesis. Organominerals precipitated by the metabolic action of cyanobacteria and/or sulfate-reducing bacteria and methanogenic-oxidizing archea are represented by calcite and pyrite. Calcified coccoid and filaments are common, furthermore, the presence of calcified biofilms composed of exopolymeric substances (EPS) is ubiquitous. The presence of amorphous organic matter (AOM) and gypsum, particularly in the rhythmic microfacies, indicates anoxic/dysoxic conditions and stressful environments during periods of drought and low lake levels which favored the development and preservation of microbial biofilms. Phytoclasts and miospores when present in the succession indicate an extrabasinal contribution during wetter periods, although the environment remained of very low energy. The evidence of microbial influence in the formation of the laminated limestones of the Crato Formation is of great importance for understanding the excellent preservation of the unit's fossils and for modeling the evolution of the Aptian carbonate sequences in Brazil.","author":[{"dropping-particle":"","family":"Catto","given":"Bruno","non-dropping-particle":"","parse-names":false,"suffix":""},{"dropping-particle":"","family":"Jahnert","given":"Ricardo Jorge","non-dropping-particle":"","parse-names":false,"suffix":""},{"dropping-particle":"","family":"Warren","given":"Lucas Veríssimo","non-dropping-particle":"","parse-names":false,"suffix":""},{"dropping-particle":"","family":"Varejão","given":"Filipe Giovanini","non-dropping-particle":"","parse-names":false,"suffix":""},{"dropping-particle":"","family":"Assine","given":"Mario Luis","non-dropping-particle":"","parse-names":false,"suffix":""}],"container-title":"Sedimentary Geology","id":"ITEM-1","issued":{"date-parts":[["2016"]]},"page":"304-315","title":"The microbial nature of laminated limestones: Lessons from the Upper Aptian, Araripe Basin, Brazil","type":"article-journal","volume":"341"},"uris":["http://www.mendeley.com/documents/?uuid=7d9fd73b-ef23-45cb-b8b3-733827105311"]},{"id":"ITEM-2","itemData":{"DOI":"10.1007/s10347-016-0484-6","ISBN":"1034701604846","ISSN":"01729179","abstract":"The origin of the Cretaceous laminites of the Crato Formation, Araripe Basin, northeastern Brazil, has been intensely debated since the beginning of the last century. The monotonous, up to 10-m-thick succession composed of very fine fossiliferous laminites in the middle of the unit lacked diagnostic features for assigning a chemically or biologically induced origin for this facies. The presence of a highly diverse and very well preserved allochthonous to parautochthonous fossil assemblage, associated with scattered halite pseudomorphs throughout the succession, led many authors to believe that these limestones were chemically deposited in a highly stressful, evaporitic shallow-water environment, such as a hypersaline lake close to marine environments. Recently, a micro- and ultrastructural analysis of the laminites yielded structures undoubtedly associated with a biological origin. Several examples of lithified in situ preserved coccoid and filamentous cells and extracellular polymeric substances suggest that the deposition of the laminated limestones was, at some levels, strongly influenced by microbial activity. Here, we record various examples of stromatolite microbialites (mounds, domes, and pseudo-columns) found at distinct stratigraphic levels in the middle part of the Crato Formation. Macro-, meso-, and microscopic features confirm the biologically induced mineralization and the existence of metabolic activity of microbes during the formation of the laminites. Biomat growth may also have played a major role in the excellent preservation of fossils in this famous Cretaceous Konservat-Lagerstätte from Brazil.","author":[{"dropping-particle":"","family":"Warren","given":"Lucas Veríssimo","non-dropping-particle":"","parse-names":false,"suffix":""},{"dropping-particle":"","family":"Varejão","given":"Filipe Giovanini","non-dropping-particle":"","parse-names":false,"suffix":""},{"dropping-particle":"","family":"Quaglio","given":"Fernanda","non-dropping-particle":"","parse-names":false,"suffix":""},{"dropping-particle":"","family":"Simões","given":"Marcello Guimarães","non-dropping-particle":"","parse-names":false,"suffix":""},{"dropping-particle":"","family":"Fürsich","given":"Franz Theodor","non-dropping-particle":"","parse-names":false,"suffix":""},{"dropping-particle":"","family":"Poiré","given":"Daniel Gustavo","non-dropping-particle":"","parse-names":false,"suffix":""},{"dropping-particle":"","family":"Catto","given":"Bruno","non-dropping-particle":"","parse-names":false,"suffix":""},{"dropping-particle":"","family":"Assine","given":"Mario Luis","non-dropping-particle":"","parse-names":false,"suffix":""}],"container-title":"Facies","id":"ITEM-2","issue":"1","issued":{"date-parts":[["2017"]]},"page":"1-19","publisher":"Springer Berlin Heidelberg","title":"Stromatolites from the Aptian Crato Formation, a hypersaline lake system in the Araripe Basin, northeastern Brazil","type":"article-journal","volume":"63"},"uris":["http://www.mendeley.com/documents/?uuid=1ad4b9cb-5e34-45ab-9bf6-c1f06f6421a3"]}],"mendeley":{"formattedCitation":"&lt;sup&gt;9,10&lt;/sup&gt;","plainTextFormattedCitation":"9,10","previouslyFormattedCitation":"(Catto et al., 2016; Warren et al., 2017)"},"properties":{"noteIndex":0},"schema":"https://github.com/citation-style-language/schema/raw/master/csl-citation.json"}</w:instrText>
      </w:r>
      <w:r w:rsidRPr="00F0485C">
        <w:rPr>
          <w:rFonts w:cstheme="minorHAnsi"/>
          <w:lang w:val="en-GB"/>
        </w:rPr>
        <w:fldChar w:fldCharType="separate"/>
      </w:r>
      <w:r w:rsidR="00F302D2" w:rsidRPr="00F0485C">
        <w:rPr>
          <w:rFonts w:cstheme="minorHAnsi"/>
          <w:noProof/>
          <w:vertAlign w:val="superscript"/>
          <w:lang w:val="en-GB"/>
        </w:rPr>
        <w:t>9,10</w:t>
      </w:r>
      <w:r w:rsidRPr="00F0485C">
        <w:rPr>
          <w:rFonts w:cstheme="minorHAnsi"/>
          <w:lang w:val="en-GB"/>
        </w:rPr>
        <w:fldChar w:fldCharType="end"/>
      </w:r>
      <w:r w:rsidRPr="00F0485C">
        <w:rPr>
          <w:rFonts w:cstheme="minorHAnsi"/>
          <w:lang w:val="en-GB"/>
        </w:rPr>
        <w:t xml:space="preserve">. This is supported by the presence of fossilized calcified bacteria reported in the region </w:t>
      </w:r>
      <w:r w:rsidR="00EA4A63" w:rsidRPr="00F0485C">
        <w:rPr>
          <w:rFonts w:cstheme="minorHAnsi"/>
          <w:lang w:val="en-GB"/>
        </w:rPr>
        <w:t xml:space="preserve">(see </w:t>
      </w:r>
      <w:r w:rsidR="00EA4A63" w:rsidRPr="00F0485C">
        <w:rPr>
          <w:rFonts w:cstheme="minorHAnsi"/>
          <w:lang w:val="en-GB"/>
        </w:rPr>
        <w:fldChar w:fldCharType="begin" w:fldLock="1"/>
      </w:r>
      <w:r w:rsidR="00F302D2" w:rsidRPr="00F0485C">
        <w:rPr>
          <w:rFonts w:cstheme="minorHAnsi"/>
          <w:lang w:val="en-GB"/>
        </w:rPr>
        <w:instrText>ADDIN CSL_CITATION {"citationItems":[{"id":"ITEM-1","itemData":{"DOI":"10.1016/j.sedgeo.2016.05.007","ISSN":"00370738","abstract":"The Araripe Basin, located in northeastern Brazil, originated during the Gondwana continental break-up responsible for the opening of the South Atlantic during the Early Cretaceous. In the Araripe Basin, the post-rift Aptian sequence corresponds to the Santana Group, which is composed, in upward succession, of mostly clastic continental and rare carbonate layers of the Barbalha, Crato, Ipubi and Romualdo Formations. The laminated limestones of the Crato Formation were deposited in a lacustrine environment preceding the deposition of the Ipubi Formation evaporites. They are age-equivalent to the limestones of the pre-salt interval of the east coast of Brazil, which contains large petroleum reserves. The excellent preservation of its macrofossils has made the Crato Formation known worldwide as a Fossil Lagerstätte. The limestones are macroscopically homogeneous, and their deposition has been previously attributed to chemical precipitation. Although the carbonate laminites are macroscopically undifferentiated, mineralogical variations, microscopic texture and distinctive biotic aspects supported the characterization of four microfacies: planar laminated, crustiform, nodular and rhythmic. The microfacies analysis indicated a strong and pervasive biological activity in the Crato limestone morphogenesis. Organominerals precipitated by the metabolic action of cyanobacteria and/or sulfate-reducing bacteria and methanogenic-oxidizing archea are represented by calcite and pyrite. Calcified coccoid and filaments are common, furthermore, the presence of calcified biofilms composed of exopolymeric substances (EPS) is ubiquitous. The presence of amorphous organic matter (AOM) and gypsum, particularly in the rhythmic microfacies, indicates anoxic/dysoxic conditions and stressful environments during periods of drought and low lake levels which favored the development and preservation of microbial biofilms. Phytoclasts and miospores when present in the succession indicate an extrabasinal contribution during wetter periods, although the environment remained of very low energy. The evidence of microbial influence in the formation of the laminated limestones of the Crato Formation is of great importance for understanding the excellent preservation of the unit's fossils and for modeling the evolution of the Aptian carbonate sequences in Brazil.","author":[{"dropping-particle":"","family":"Catto","given":"Bruno","non-dropping-particle":"","parse-names":false,"suffix":""},{"dropping-particle":"","family":"Jahnert","given":"Ricardo Jorge","non-dropping-particle":"","parse-names":false,"suffix":""},{"dropping-particle":"","family":"Warren","given":"Lucas Veríssimo","non-dropping-particle":"","parse-names":false,"suffix":""},{"dropping-particle":"","family":"Varejão","given":"Filipe Giovanini","non-dropping-particle":"","parse-names":false,"suffix":""},{"dropping-particle":"","family":"Assine","given":"Mario Luis","non-dropping-particle":"","parse-names":false,"suffix":""}],"container-title":"Sedimentary Geology","id":"ITEM-1","issued":{"date-parts":[["2016"]]},"page":"304-315","title":"The microbial nature of laminated limestones: Lessons from the Upper Aptian, Araripe Basin, Brazil","type":"article-journal","volume":"341"},"uris":["http://www.mendeley.com/documents/?uuid=7d9fd73b-ef23-45cb-b8b3-733827105311"]}],"mendeley":{"formattedCitation":"&lt;sup&gt;9&lt;/sup&gt;","manualFormatting":"Catto et al., 2016","plainTextFormattedCitation":"9","previouslyFormattedCitation":"(Catto et al., 2016)"},"properties":{"noteIndex":0},"schema":"https://github.com/citation-style-language/schema/raw/master/csl-citation.json"}</w:instrText>
      </w:r>
      <w:r w:rsidR="00EA4A63" w:rsidRPr="00F0485C">
        <w:rPr>
          <w:rFonts w:cstheme="minorHAnsi"/>
          <w:lang w:val="en-GB"/>
        </w:rPr>
        <w:fldChar w:fldCharType="separate"/>
      </w:r>
      <w:r w:rsidR="00EA4A63" w:rsidRPr="00F0485C">
        <w:rPr>
          <w:rFonts w:cstheme="minorHAnsi"/>
          <w:noProof/>
          <w:lang w:val="en-GB"/>
        </w:rPr>
        <w:t>Catto et al., 2016</w:t>
      </w:r>
      <w:r w:rsidR="00EA4A63" w:rsidRPr="00F0485C">
        <w:rPr>
          <w:rFonts w:cstheme="minorHAnsi"/>
          <w:lang w:val="en-GB"/>
        </w:rPr>
        <w:fldChar w:fldCharType="end"/>
      </w:r>
      <w:r w:rsidR="00EA4A63" w:rsidRPr="00F0485C">
        <w:rPr>
          <w:rFonts w:cstheme="minorHAnsi"/>
          <w:lang w:val="en-GB"/>
        </w:rPr>
        <w:t xml:space="preserve"> and </w:t>
      </w:r>
      <w:r w:rsidR="00EA4A63" w:rsidRPr="00F0485C">
        <w:rPr>
          <w:rFonts w:cstheme="minorHAnsi"/>
          <w:lang w:val="en-GB"/>
        </w:rPr>
        <w:fldChar w:fldCharType="begin" w:fldLock="1"/>
      </w:r>
      <w:r w:rsidR="00F302D2" w:rsidRPr="00F0485C">
        <w:rPr>
          <w:rFonts w:cstheme="minorHAnsi"/>
          <w:lang w:val="en-GB"/>
        </w:rPr>
        <w:instrText>ADDIN CSL_CITATION {"citationItems":[{"id":"ITEM-1","itemData":{"DOI":"10.1007/s10347-016-0484-6","ISBN":"1034701604846","ISSN":"01729179","abstract":"The origin of the Cretaceous laminites of the Crato Formation, Araripe Basin, northeastern Brazil, has been intensely debated since the beginning of the last century. The monotonous, up to 10-m-thick succession composed of very fine fossiliferous laminites in the middle of the unit lacked diagnostic features for assigning a chemically or biologically induced origin for this facies. The presence of a highly diverse and very well preserved allochthonous to parautochthonous fossil assemblage, associated with scattered halite pseudomorphs throughout the succession, led many authors to believe that these limestones were chemically deposited in a highly stressful, evaporitic shallow-water environment, such as a hypersaline lake close to marine environments. Recently, a micro- and ultrastructural analysis of the laminites yielded structures undoubtedly associated with a biological origin. Several examples of lithified in situ preserved coccoid and filamentous cells and extracellular polymeric substances suggest that the deposition of the laminated limestones was, at some levels, strongly influenced by microbial activity. Here, we record various examples of stromatolite microbialites (mounds, domes, and pseudo-columns) found at distinct stratigraphic levels in the middle part of the Crato Formation. Macro-, meso-, and microscopic features confirm the biologically induced mineralization and the existence of metabolic activity of microbes during the formation of the laminites. Biomat growth may also have played a major role in the excellent preservation of fossils in this famous Cretaceous Konservat-Lagerstätte from Brazil.","author":[{"dropping-particle":"","family":"Warren","given":"Lucas Veríssimo","non-dropping-particle":"","parse-names":false,"suffix":""},{"dropping-particle":"","family":"Varejão","given":"Filipe Giovanini","non-dropping-particle":"","parse-names":false,"suffix":""},{"dropping-particle":"","family":"Quaglio","given":"Fernanda","non-dropping-particle":"","parse-names":false,"suffix":""},{"dropping-particle":"","family":"Simões","given":"Marcello Guimarães","non-dropping-particle":"","parse-names":false,"suffix":""},{"dropping-particle":"","family":"Fürsich","given":"Franz Theodor","non-dropping-particle":"","parse-names":false,"suffix":""},{"dropping-particle":"","family":"Poiré","given":"Daniel Gustavo","non-dropping-particle":"","parse-names":false,"suffix":""},{"dropping-particle":"","family":"Catto","given":"Bruno","non-dropping-particle":"","parse-names":false,"suffix":""},{"dropping-particle":"","family":"Assine","given":"Mario Luis","non-dropping-particle":"","parse-names":false,"suffix":""}],"container-title":"Facies","id":"ITEM-1","issue":"1","issued":{"date-parts":[["2017"]]},"page":"1-19","publisher":"Springer Berlin Heidelberg","title":"Stromatolites from the Aptian Crato Formation, a hypersaline lake system in the Araripe Basin, northeastern Brazil","type":"article-journal","volume":"63"},"uris":["http://www.mendeley.com/documents/?uuid=1ad4b9cb-5e34-45ab-9bf6-c1f06f6421a3"]}],"mendeley":{"formattedCitation":"&lt;sup&gt;10&lt;/sup&gt;","manualFormatting":"Warren et al., 2017","plainTextFormattedCitation":"10","previouslyFormattedCitation":"(Warren et al., 2017)"},"properties":{"noteIndex":0},"schema":"https://github.com/citation-style-language/schema/raw/master/csl-citation.json"}</w:instrText>
      </w:r>
      <w:r w:rsidR="00EA4A63" w:rsidRPr="00F0485C">
        <w:rPr>
          <w:rFonts w:cstheme="minorHAnsi"/>
          <w:lang w:val="en-GB"/>
        </w:rPr>
        <w:fldChar w:fldCharType="separate"/>
      </w:r>
      <w:r w:rsidR="00EA4A63" w:rsidRPr="00F0485C">
        <w:rPr>
          <w:rFonts w:cstheme="minorHAnsi"/>
          <w:noProof/>
          <w:lang w:val="en-GB"/>
        </w:rPr>
        <w:t>Warren et al., 2017</w:t>
      </w:r>
      <w:r w:rsidR="00EA4A63" w:rsidRPr="00F0485C">
        <w:rPr>
          <w:rFonts w:cstheme="minorHAnsi"/>
          <w:lang w:val="en-GB"/>
        </w:rPr>
        <w:fldChar w:fldCharType="end"/>
      </w:r>
      <w:r w:rsidR="00EA4A63" w:rsidRPr="00F0485C">
        <w:rPr>
          <w:rFonts w:cstheme="minorHAnsi"/>
          <w:lang w:val="en-GB"/>
        </w:rPr>
        <w:t xml:space="preserve">) </w:t>
      </w:r>
      <w:r w:rsidRPr="00F0485C">
        <w:rPr>
          <w:rFonts w:cstheme="minorHAnsi"/>
          <w:lang w:val="en-GB"/>
        </w:rPr>
        <w:t xml:space="preserve">as well as  components that are directly associated with the microbial activity, such as honeycomb-like structures and pseudomorphs of pyrite </w:t>
      </w:r>
      <w:r w:rsidRPr="00F0485C">
        <w:rPr>
          <w:rFonts w:cstheme="minorHAnsi"/>
          <w:lang w:val="en-GB"/>
        </w:rPr>
        <w:fldChar w:fldCharType="begin" w:fldLock="1"/>
      </w:r>
      <w:r w:rsidR="00F302D2" w:rsidRPr="00F0485C">
        <w:rPr>
          <w:rFonts w:cstheme="minorHAnsi"/>
          <w:lang w:val="en-GB"/>
        </w:rPr>
        <w:instrText>ADDIN CSL_CITATION {"citationItems":[{"id":"ITEM-1","itemData":{"DOI":"10.1038/s41598-017-01563-0","ISSN":"20452322","abstract":"© 2017 The Author(s). Soft-tissue preservation provides palaeobiological information that is otherwise lost during fossilization. In Brazil, the Early Cretaceous Santana Formation contains fish with integument, muscles, connective tissues, and eyes that are still preserved. Our study revealed that soft-tissues were pyritized or kerogenized in different microfacies, which yielded distinct preservation fidelities. Indeed, new data provided the first record of pyritized vertebrate muscles and eyes. We propose that the different taphonomic pathways were controlled by distinct sedimentation rates in two different microfacies. Through this process, carcasses deposited in each of these microfacies underwent different residence times in sulphate-reduction and methanogenesis zones, thus yielding pyritized or kerogenized soft-tissues, and a similar process has previously been suggested in studies of a late Ediacaran lagerstätte.","author":[{"dropping-particle":"","family":"Osés","given":"Gabriel L.","non-dropping-particle":"","parse-names":false,"suffix":""},{"dropping-particle":"","family":"Petri","given":"Setembrino","non-dropping-particle":"","parse-names":false,"suffix":""},{"dropping-particle":"","family":"Voltani","given":"Cibele G.","non-dropping-particle":"","parse-names":false,"suffix":""},{"dropping-particle":"","family":"Prado","given":"Gustavo M. E. M.","non-dropping-particle":"","parse-names":false,"suffix":""},{"dropping-particle":"","family":"Galante","given":"Douglas","non-dropping-particle":"","parse-names":false,"suffix":""},{"dropping-particle":"","family":"Rizzutto","given":"Marcia A.","non-dropping-particle":"","parse-names":false,"suffix":""},{"dropping-particle":"","family":"Rudnitzki","given":"Isaac D.","non-dropping-particle":"","parse-names":false,"suffix":""},{"dropping-particle":"","family":"Silva","given":"Evandro P.","non-dropping-particle":"","parse-names":false,"suffix":""},{"dropping-particle":"","family":"Rodrigues","given":"Fabio","non-dropping-particle":"","parse-names":false,"suffix":""},{"dropping-particle":"","family":"Rangel","given":"Elidiane C.","non-dropping-particle":"","parse-names":false,"suffix":""},{"dropping-particle":"","family":"Sucerquia","given":"Paula A.","non-dropping-particle":"","parse-names":false,"suffix":""},{"dropping-particle":"","family":"Pacheco","given":"Mírian L. A. F.","non-dropping-particle":"","parse-names":false,"suffix":""}],"container-title":"Scientific Reports","id":"ITEM-1","issue":"1","issued":{"date-parts":[["2017"]]},"title":"Deciphering pyritization-kerogenization gradient for fish soft-tissue preservation","type":"article-journal","volume":"7"},"uris":["http://www.mendeley.com/documents/?uuid=abb34ebb-ebc9-3aa8-8921-3d9a16666b90"]},{"id":"ITEM-2","itemData":{"DOI":"10.7717/peerj.2756","ISSN":"2167-8359","abstract":"Exceptionally well-preserved three-dimensional insects with fine details and even labile tissues are ubiquitous in the Crato Member Konservat Lagerstätte (northeastern Brazil). Here we investigate the preservational pathways which yielded such specimens. We employed high resolution techniques (EDXRF, SR-SXS, SEM, EDS, micro Raman, and PIXE) to understand their fossilisation on mineralogical and geochemical grounds. Pseudomorphs of framboidal pyrite, the dominant fossil microfabric, display size variation when comparing cuticle with inner areas or soft tissues, which we interpret as the result of the balance between ion diffusion rates and nucleation rates of pyrite through the originally decaying carcasses. Furthermore, the mineral fabrics are associated with structures that can be the remains of extracellular polymeric substances (EPS). Geochemical data also point to a concentration of Fe, Zn, and Cu in the fossils in comparison to the embedding rock. Therefore, we consider that biofilms of sulphate reducing bacteria (SRB) had a central role in insect decay and mineralisation. Therefore, we shed light on exceptional preservation of fossils by pyritisation in a Cretaceous limestone lacustrine palaeoenvironment.","author":[{"dropping-particle":"","family":"Osés","given":"Gabriel Ladeira","non-dropping-particle":"","parse-names":false,"suffix":""},{"dropping-particle":"","family":"Petri","given":"Setembrino","non-dropping-particle":"","parse-names":false,"suffix":""},{"dropping-particle":"","family":"Becker-Kerber","given":"Bruno","non-dropping-particle":"","parse-names":false,"suffix":""},{"dropping-particle":"","family":"Romero","given":"Guilherme Raffaeli","non-dropping-particle":"","parse-names":false,"suffix":""},{"dropping-particle":"","family":"Rizzutto","given":"Marcia de Almeida","non-dropping-particle":"","parse-names":false,"suffix":""},{"dropping-particle":"","family":"Rodrigues","given":"Fabio","non-dropping-particle":"","parse-names":false,"suffix":""},{"dropping-particle":"","family":"Galante","given":"Douglas","non-dropping-particle":"","parse-names":false,"suffix":""},{"dropping-particle":"da","family":"Silva","given":"Tiago Fiorini","non-dropping-particle":"","parse-names":false,"suffix":""},{"dropping-particle":"","family":"Curado","given":"Jessica F.","non-dropping-particle":"","parse-names":false,"suffix":""},{"dropping-particle":"","family":"Rangel","given":"Elidiane Cipriano","non-dropping-particle":"","parse-names":false,"suffix":""},{"dropping-particle":"","family":"Ribeiro","given":"Rafael Parra","non-dropping-particle":"","parse-names":false,"suffix":""},{"dropping-particle":"","family":"Pacheco","given":"Mírian Liza Alves Forancelli","non-dropping-particle":"","parse-names":false,"suffix":""}],"container-title":"PeerJ","id":"ITEM-2","issued":{"date-parts":[["2016"]]},"page":"e2756","title":"Deciphering the preservation of fossil insects: a case study from the Crato Member, Early Cretaceous of Brazil","type":"article-journal","volume":"4"},"uris":["http://www.mendeley.com/documents/?uuid=f4ed006a-165b-4117-8a69-8f0ef7196270"]}],"mendeley":{"formattedCitation":"&lt;sup&gt;11,12&lt;/sup&gt;","plainTextFormattedCitation":"11,12","previouslyFormattedCitation":"(Osés et al., 2017, 2016)"},"properties":{"noteIndex":0},"schema":"https://github.com/citation-style-language/schema/raw/master/csl-citation.json"}</w:instrText>
      </w:r>
      <w:r w:rsidRPr="00F0485C">
        <w:rPr>
          <w:rFonts w:cstheme="minorHAnsi"/>
          <w:lang w:val="en-GB"/>
        </w:rPr>
        <w:fldChar w:fldCharType="separate"/>
      </w:r>
      <w:r w:rsidR="00F302D2" w:rsidRPr="00F0485C">
        <w:rPr>
          <w:rFonts w:cstheme="minorHAnsi"/>
          <w:noProof/>
          <w:vertAlign w:val="superscript"/>
          <w:lang w:val="en-GB"/>
        </w:rPr>
        <w:t>11,12</w:t>
      </w:r>
      <w:r w:rsidRPr="00F0485C">
        <w:rPr>
          <w:rFonts w:cstheme="minorHAnsi"/>
          <w:lang w:val="en-GB"/>
        </w:rPr>
        <w:fldChar w:fldCharType="end"/>
      </w:r>
      <w:r w:rsidRPr="00F0485C">
        <w:rPr>
          <w:rFonts w:cstheme="minorHAnsi"/>
          <w:lang w:val="en-GB"/>
        </w:rPr>
        <w:t>. Th</w:t>
      </w:r>
      <w:r w:rsidR="00EA4A63" w:rsidRPr="00F0485C">
        <w:rPr>
          <w:rFonts w:cstheme="minorHAnsi"/>
          <w:lang w:val="en-GB"/>
        </w:rPr>
        <w:t>erefore, th</w:t>
      </w:r>
      <w:r w:rsidRPr="00F0485C">
        <w:rPr>
          <w:rFonts w:cstheme="minorHAnsi"/>
          <w:lang w:val="en-GB"/>
        </w:rPr>
        <w:t>ese microorganisms are considered a determinant for exceptional preservation of Crato Formation fossils</w:t>
      </w:r>
      <w:r w:rsidR="00EA4A63" w:rsidRPr="00F0485C">
        <w:rPr>
          <w:rFonts w:cstheme="minorHAnsi"/>
          <w:lang w:val="en-GB"/>
        </w:rPr>
        <w:t xml:space="preserve"> </w:t>
      </w:r>
      <w:r w:rsidR="00EA4A63" w:rsidRPr="00F0485C">
        <w:rPr>
          <w:rFonts w:cstheme="minorHAnsi"/>
          <w:lang w:val="en-GB"/>
        </w:rPr>
        <w:fldChar w:fldCharType="begin" w:fldLock="1"/>
      </w:r>
      <w:r w:rsidR="00F302D2" w:rsidRPr="00F0485C">
        <w:rPr>
          <w:rFonts w:cstheme="minorHAnsi"/>
          <w:lang w:val="en-GB"/>
        </w:rPr>
        <w:instrText>ADDIN CSL_CITATION {"citationItems":[{"id":"ITEM-1","itemData":{"DOI":"10.2110/palo.2019.041","ISSN":"0883-1351","abstract":"The Aptian Crato Konservat-Lagerstätte is renowned for its exceptionally preserved fossils in lacustrine laminated limestones. Although previous works on this site include numerous taxonomic studies, its taphonomy remains a subject of debate. Herein, we present new data on the taphonomy of decapod crustaceans preserved in wrinkle laminites, highlighting the role of microbial mats in enhancing fossil preservation. Our results suggest that benthic microorganisms may have promoted protection and organic mineralization of some of the allochthonous to parautochthonous organic remains within the microbial laminites of the Crato lake. Overall, this work provides the first empirical evidence that the preservational pathways of the fossils in the Crato Konservat-Lagerstätte involved microbial mats.","author":[{"dropping-particle":"","family":"Varejão","given":"Felipe G.","non-dropping-particle":"","parse-names":false,"suffix":""},{"dropping-particle":"V.","family":"Warren","given":"Lucas","non-dropping-particle":"","parse-names":false,"suffix":""},{"dropping-particle":"","family":"Simões","given":"Marcello G.","non-dropping-particle":"","parse-names":false,"suffix":""},{"dropping-particle":"","family":"Fürsich","given":"Franz T.","non-dropping-particle":"","parse-names":false,"suffix":""},{"dropping-particle":"","family":"Matos","given":"Suzana A.","non-dropping-particle":"","parse-names":false,"suffix":""},{"dropping-particle":"","family":"Assine","given":"Mário L.","non-dropping-particle":"","parse-names":false,"suffix":""}],"container-title":"PALAIOS","id":"ITEM-1","issue":"7","issued":{"date-parts":[["2019","7","11"]]},"page":"331-348","title":"Exceptional preservation of soft tissues by microbial entombment: Insights into the taphonomy of the Crato Konservat-Lagerstätte","type":"article-journal","volume":"34"},"uris":["http://www.mendeley.com/documents/?uuid=62997834-c311-454e-9d27-0f7795df4402"]}],"mendeley":{"formattedCitation":"&lt;sup&gt;13&lt;/sup&gt;","plainTextFormattedCitation":"13","previouslyFormattedCitation":"(Varejão et al., 2019)"},"properties":{"noteIndex":0},"schema":"https://github.com/citation-style-language/schema/raw/master/csl-citation.json"}</w:instrText>
      </w:r>
      <w:r w:rsidR="00EA4A63" w:rsidRPr="00F0485C">
        <w:rPr>
          <w:rFonts w:cstheme="minorHAnsi"/>
          <w:lang w:val="en-GB"/>
        </w:rPr>
        <w:fldChar w:fldCharType="separate"/>
      </w:r>
      <w:r w:rsidR="00F302D2" w:rsidRPr="00F0485C">
        <w:rPr>
          <w:rFonts w:cstheme="minorHAnsi"/>
          <w:noProof/>
          <w:vertAlign w:val="superscript"/>
          <w:lang w:val="en-GB"/>
        </w:rPr>
        <w:t>13</w:t>
      </w:r>
      <w:r w:rsidR="00EA4A63" w:rsidRPr="00F0485C">
        <w:rPr>
          <w:rFonts w:cstheme="minorHAnsi"/>
          <w:lang w:val="en-GB"/>
        </w:rPr>
        <w:fldChar w:fldCharType="end"/>
      </w:r>
      <w:r w:rsidRPr="00F0485C">
        <w:rPr>
          <w:rFonts w:cstheme="minorHAnsi"/>
          <w:lang w:val="en-GB"/>
        </w:rPr>
        <w:t xml:space="preserve">. Different </w:t>
      </w:r>
      <w:r w:rsidRPr="007621E8">
        <w:rPr>
          <w:rFonts w:cstheme="minorHAnsi"/>
          <w:lang w:val="en-GB"/>
        </w:rPr>
        <w:t xml:space="preserve">diagenetic processes occurred in the different facies in which fossils are confined. Non-recalcitrant tissues were replaced by iron sulphides at beige facies, whilst kerogen and calcium phosphates predominate in the greyish facies </w:t>
      </w:r>
      <w:r w:rsidRPr="007621E8">
        <w:rPr>
          <w:rFonts w:cstheme="minorHAnsi"/>
          <w:lang w:val="en-GB"/>
        </w:rPr>
        <w:fldChar w:fldCharType="begin" w:fldLock="1"/>
      </w:r>
      <w:r w:rsidR="00F302D2">
        <w:rPr>
          <w:rFonts w:cstheme="minorHAnsi"/>
          <w:lang w:val="en-GB"/>
        </w:rPr>
        <w:instrText>ADDIN CSL_CITATION {"citationItems":[{"id":"ITEM-1","itemData":{"DOI":"10.1111/j.1502-3931.2012.00309.x","ISSN":"00241164","abstract":"We report herein the first evidence of bacterial autolithification in the Crato Formation of Araripe Basin, Brazil. The fossilized bacteria are associated with a tapejarid pterosaur skull, replacing the soft-tissue extension of the headcrest. EDS analyses indicate that the bacteria were replaced by phosphate minerals, probably apatite. The bacterial biofilm was likely part of the prokaryotic mat that decomposed the pterosaur carcass at the bot- tom of the Araripe lagoon. This work suggests that bacterial autolithification could have played a key-role on soft-tissue preservation of Crato Formation Lagersta¨tte.","author":[{"dropping-particle":"","family":"Pinheiro","given":"Felipe L.","non-dropping-particle":"","parse-names":false,"suffix":""},{"dropping-particle":"","family":"Horn","given":"Bruno L. D.","non-dropping-particle":"","parse-names":false,"suffix":""},{"dropping-particle":"","family":"Schultz","given":"Cesar L.","non-dropping-particle":"","parse-names":false,"suffix":""},{"dropping-particle":"","family":"Andrade","given":"José A. F. G.","non-dropping-particle":"","parse-names":false,"suffix":""},{"dropping-particle":"","family":"Sucerquia","given":"Paula A.","non-dropping-particle":"","parse-names":false,"suffix":""}],"container-title":"Lethaia","id":"ITEM-1","issue":"4","issued":{"date-parts":[["2012","10"]]},"page":"495-499","title":"Fossilized bacteria in a Cretaceous pterosaur headcrest","type":"article-journal","volume":"45"},"uris":["http://www.mendeley.com/documents/?uuid=32130238-cbe8-4937-94f7-7efa899ea9fa"]},{"id":"ITEM-2","itemData":{"DOI":"10.7717/peerj.1916","ISSN":"2167-8359","abstract":"Here we describe three fossil feathers from the Early Cretaceous Santana Formation of the Araripe Basin, Brazil. Feathers are the most complex multiform vertebrate integuments; they perform different functions, occurring in both avian and non-avian dinosaurs. Despite their rarity, fossil feathers have been found across the world. Most of the Brazilian feather fossil record comes from the Santana Formation. This formation is composed of two members: Crato (lake) and Romualdo (lagoon); both of which are predominantly reduced deposits, precluding bottom dwelling organisms, resulting in exceptional preservation of the fossils. Despite arid and hot conditions during the Cretaceous, life teemed in the adjacency of this paleolake. Feathered non-avian dinosaurs have not yet been described from the Crato Member, even though there are suggestions of their presence in nearby basins. Our description of the three feathers from the Crato laminated limestone reveals that, despite the small sample size, they can be referred to coelurosaurian theropods. Moreover, based on comparisons with extant feather morphotypes they can be identified as one contour feather and two downy feathers. Despite their rareness and low taxonomic potential, fossilized feathers can offer insights about the paleobiology of its owners and the paleoecology of the Araripe Basin.","author":[{"dropping-particle":"","family":"Prado","given":"Gustavo M. E. M.","non-dropping-particle":"","parse-names":false,"suffix":""},{"dropping-particle":"","family":"Anelli","given":"Luiz Eduardo","non-dropping-particle":"","parse-names":false,"suffix":""},{"dropping-particle":"","family":"Petri","given":"Setembrino","non-dropping-particle":"","parse-names":false,"suffix":""},{"dropping-particle":"","family":"Romero","given":"Guilherme Raffaeli","non-dropping-particle":"","parse-names":false,"suffix":""}],"container-title":"PeerJ","id":"ITEM-2","issued":{"date-parts":[["2016","7"]]},"page":"e1916","title":"New occurrences of fossilized feathers: systematics and taphonomy of the Santana Formation of the Araripe Basin (Cretaceous), NE, Brazil","type":"article-journal","volume":"4"},"uris":["http://www.mendeley.com/documents/?uuid=6e9e2ecd-5f87-4ea0-b73d-8fdbe87d2577"]},{"id":"ITEM-3","itemData":{"DOI":"10.1038/s41598-017-01563-0","ISSN":"20452322","abstract":"© 2017 The Author(s). Soft-tissue preservation provides palaeobiological information that is otherwise lost during fossilization. In Brazil, the Early Cretaceous Santana Formation contains fish with integument, muscles, connective tissues, and eyes that are still preserved. Our study revealed that soft-tissues were pyritized or kerogenized in different microfacies, which yielded distinct preservation fidelities. Indeed, new data provided the first record of pyritized vertebrate muscles and eyes. We propose that the different taphonomic pathways were controlled by distinct sedimentation rates in two different microfacies. Through this process, carcasses deposited in each of these microfacies underwent different residence times in sulphate-reduction and methanogenesis zones, thus yielding pyritized or kerogenized soft-tissues, and a similar process has previously been suggested in studies of a late Ediacaran lagerstätte.","author":[{"dropping-particle":"","family":"Osés","given":"Gabriel L.","non-dropping-particle":"","parse-names":false,"suffix":""},{"dropping-particle":"","family":"Petri","given":"Setembrino","non-dropping-particle":"","parse-names":false,"suffix":""},{"dropping-particle":"","family":"Voltani","given":"Cibele G.","non-dropping-particle":"","parse-names":false,"suffix":""},{"dropping-particle":"","family":"Prado","given":"Gustavo M. E. M.","non-dropping-particle":"","parse-names":false,"suffix":""},{"dropping-particle":"","family":"Galante","given":"Douglas","non-dropping-particle":"","parse-names":false,"suffix":""},{"dropping-particle":"","family":"Rizzutto","given":"Marcia A.","non-dropping-particle":"","parse-names":false,"suffix":""},{"dropping-particle":"","family":"Rudnitzki","given":"Isaac D.","non-dropping-particle":"","parse-names":false,"suffix":""},{"dropping-particle":"","family":"Silva","given":"Evandro P.","non-dropping-particle":"","parse-names":false,"suffix":""},{"dropping-particle":"","family":"Rodrigues","given":"Fabio","non-dropping-particle":"","parse-names":false,"suffix":""},{"dropping-particle":"","family":"Rangel","given":"Elidiane C.","non-dropping-particle":"","parse-names":false,"suffix":""},{"dropping-particle":"","family":"Sucerquia","given":"Paula A.","non-dropping-particle":"","parse-names":false,"suffix":""},{"dropping-particle":"","family":"Pacheco","given":"Mírian L. A. F.","non-dropping-particle":"","parse-names":false,"suffix":""}],"container-title":"Scientific Reports","id":"ITEM-3","issue":"1","issued":{"date-parts":[["2017"]]},"title":"Deciphering pyritization-kerogenization gradient for fish soft-tissue preservation","type":"article-journal","volume":"7"},"uris":["http://www.mendeley.com/documents/?uuid=abb34ebb-ebc9-3aa8-8921-3d9a16666b90"]}],"mendeley":{"formattedCitation":"&lt;sup&gt;11,14,15&lt;/sup&gt;","plainTextFormattedCitation":"11,14,15","previouslyFormattedCitation":"(Osés et al., 2017; Pinheiro et al., 2012; Prado et al., 2016)"},"properties":{"noteIndex":0},"schema":"https://github.com/citation-style-language/schema/raw/master/csl-citation.json"}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11,14,15</w:t>
      </w:r>
      <w:r w:rsidRPr="007621E8">
        <w:rPr>
          <w:rFonts w:cstheme="minorHAnsi"/>
          <w:lang w:val="en-GB"/>
        </w:rPr>
        <w:fldChar w:fldCharType="end"/>
      </w:r>
      <w:r w:rsidRPr="007621E8">
        <w:rPr>
          <w:rFonts w:cstheme="minorHAnsi"/>
          <w:lang w:val="en-GB"/>
        </w:rPr>
        <w:t xml:space="preserve">. The abundance of fresh water parautochthonous fauna (as Ephemeroptera larvae and anurans) in association to halite pseudomorphs indicates fresh shallow waters at the top, with a putatively episodic hypersaline bottom </w:t>
      </w:r>
      <w:r w:rsidRPr="007621E8">
        <w:rPr>
          <w:rFonts w:cstheme="minorHAnsi"/>
          <w:lang w:val="en-GB"/>
        </w:rPr>
        <w:fldChar w:fldCharType="begin" w:fldLock="1"/>
      </w:r>
      <w:r w:rsidR="00F302D2">
        <w:rPr>
          <w:rFonts w:cstheme="minorHAnsi"/>
          <w:lang w:val="en-GB"/>
        </w:rPr>
        <w:instrText>ADDIN CSL_CITATION {"citationItems":[{"id":"ITEM-1","itemData":{"DOI":"10.1017/CBO9780511535512.005","ISBN":"9780511535512","abstract":"Although the exceptionally preserved fossils from the Crato Formation have attracted a multitude of palaeontological studies dealing predominantly with the systematics and taxonomy of the assemblage, reports on the sedimentology and depositional environment of this important Fossil Lagerst¨atte are rather scarce. There are even fewer studies on the geochemistry and sedimentary diagenesis of the formation. A few exceptions include analyses of the organic matter composition (Baudin and Berthou, 1996; Neumann, 1999; Neumann et al., 2003) and a study of evaporite mineral pseudomorphism in the Nova Olinda Member (Martill et al., 2007). Some workers have examined spot samples from the Crato Formation in studies on the Araripe Group as a whole (e.g. Berthou et al., 1990) and a few assessments of the palaeoenvironment have been undertaken (Cavalcanti andViana, 1990; Martill and Wilby, 1993). For a better understanding of the unusual taphonomy and exceptional preservation of the Crato fossils, a more detailed knowledge of the physico-chemical conditions of the aquatic palaeoenvironment is necessary. Because the Crato Formation is a heterolithic sequence with both clastic and carbonate deposition, it is clear that many different and often contrasting environments are represented by the sedimentary sequence. Many previous analyses fail to address the situation, preferring to summarize the unit as a whole, and providing generally unsatisfactory interpretations. Here we concentrate on the sedimentology and geochemistry of the Nova Olinda Member of the Crato Formation, with a view to elucidating the sedimentary and diagenetic environment that resulted in the exquisite preservation of the fossil assemblage. We draw on data from other parts of the Crato Formation sequence to enable us to place the Nova Olinda Member sedimentary environment in its wider context","author":[{"dropping-particle":"","family":"Heimhofer","given":"Ulrich","non-dropping-particle":"","parse-names":false,"suffix":""},{"dropping-particle":"","family":"Martill","given":"David M.","non-dropping-particle":"","parse-names":false,"suffix":""}],"container-title":"The Crato Fossil Beds of Brazil: Window into an Ancient World","editor":[{"dropping-particle":"","family":"Martill","given":"David M.","non-dropping-particle":"","parse-names":false,"suffix":""},{"dropping-particle":"","family":"Bechly","given":"Günther","non-dropping-particle":"","parse-names":false,"suffix":""},{"dropping-particle":"","family":"Loveridge","given":"Robert F.","non-dropping-particle":"","parse-names":false,"suffix":""}],"id":"ITEM-1","issued":{"date-parts":[["2007"]]},"page":"44-62","publisher":"Cambridge University Press","publisher-place":"Oxford, UK","title":"The sedimentology and depositional environment of the Crato Formation","type":"chapter"},"uris":["http://www.mendeley.com/documents/?uuid=953ecd1a-0079-4b0a-909c-9861fda22359"]},{"id":"ITEM-2","itemData":{"DOI":"10.1111/j.1365-3091.2009.01114.x","ISBN":"0037-0746","ISSN":"00370746","PMID":"19474462","abstract":"The laminated limestones of the Early Cretaceous Crato Formation of the Araripe Basin (North-eastern Brazil) are world-famous for their exceptionally well-preserved and taxonomically diverse fossil fauna and flora. Whereas the fossil biota has received considerable attention, only a few studies have focused on the sedimentary characteristics and palaeoenvironmental conditions which prevailed during formation of the Crato Fossil Lagersta¨ tte. The Nova Olinda Member represents the lowermost and thickest unit (up to 10 m) of the Crato Formation and is characterized by a pronounced rhythmically bedded, pale to dark lamination. To obtain information on palaeoenvironmental conditions, sample slabs derived from three local stratigraphic sections within the Araripe Basin were studied using high- resolution multiproxy techniques including detailed logging, petrography, µ-XRF scanning and stable isotope geochemistry. Integration of lithological and petrographic evidence indicates that the bulk of the Nova Olinda limestone formed via authigenic precipitation of calcite from within the upper water column, most probably induced and/or mediated by phytoplankton and picoplankton activity. A significant contribution from a benthonic, carbonate-secreting microbial mat community is not supported by these results. Deposition took place under anoxic and, at least during certain episodes, hypersaline bottom water conditions, as evidenced by the virtually undisturbed lamination pattern, the absence of a benthonic fauna and by the occurrence of halite pseudomorphs. Input of allochthonous, catchment- derived siliciclastics to the basin during times of laminite formation was strongly reduced. The δ18O values of authigenic carbonate precipitates (between -7.1 and -5,1‰) point to a 18O-poor meteoric water source and support a continental freshwater setting for the Nova Olinda Member. The δ13C values, which are comparatively rich in 13C (between-0.1 and +1.9‰), are interpreted to reflect reduced throughflow of water in a restricted basin, promoting equilibration with atmospheric CO2, probably in concert with stagnant conditions and low input of soil-derived carbon. Integration of lithological and isotopic evidence indicates a shift from closed to semi-closed conditions towards a more open lake system during the onset of laminite deposition in the Crato Formation.","author":[{"dropping-particle":"","family":"Heimhofer","given":"Ulrich","non-dropping-particle":"","parse-names":false,"suffix":""},{"dropping-particle":"","family":"Ariztegui","given":"Daniel","non-dropping-particle":"","parse-names":false,"suffix":""},{"dropping-particle":"","family":"Lenniger","given":"Marc","non-dropping-particle":"","parse-names":false,"suffix":""},{"dropping-particle":"","family":"Hesselbo","given":"Stephen P.","non-dropping-particle":"","parse-names":false,"suffix":""},{"dropping-particle":"","family":"Martill","given":"David M.","non-dropping-particle":"","parse-names":false,"suffix":""},{"dropping-particle":"","family":"Rios-Netto","given":"Aristoteles M.","non-dropping-particle":"","parse-names":false,"suffix":""}],"container-title":"Sedimentology","id":"ITEM-2","issue":"2","issued":{"date-parts":[["2010"]]},"page":"677-694","title":"Deciphering the depositional environment of the laminated Crato fossil beds (Early Cretaceous, Araripe Basin, North-eastern Brazil)","type":"article-journal","volume":"57"},"uris":["http://www.mendeley.com/documents/?uuid=fa8b417e-9ba2-4ca1-840c-c0109f6c18df"]},{"id":"ITEM-3","itemData":{"DOI":"10.1007/s10347-016-0484-6","ISBN":"1034701604846","ISSN":"01729179","abstract":"The origin of the Cretaceous laminites of the Crato Formation, Araripe Basin, northeastern Brazil, has been intensely debated since the beginning of the last century. The monotonous, up to 10-m-thick succession composed of very fine fossiliferous laminites in the middle of the unit lacked diagnostic features for assigning a chemically or biologically induced origin for this facies. The presence of a highly diverse and very well preserved allochthonous to parautochthonous fossil assemblage, associated with scattered halite pseudomorphs throughout the succession, led many authors to believe that these limestones were chemically deposited in a highly stressful, evaporitic shallow-water environment, such as a hypersaline lake close to marine environments. Recently, a micro- and ultrastructural analysis of the laminites yielded structures undoubtedly associated with a biological origin. Several examples of lithified in situ preserved coccoid and filamentous cells and extracellular polymeric substances suggest that the deposition of the laminated limestones was, at some levels, strongly influenced by microbial activity. Here, we record various examples of stromatolite microbialites (mounds, domes, and pseudo-columns) found at distinct stratigraphic levels in the middle part of the Crato Formation. Macro-, meso-, and microscopic features confirm the biologically induced mineralization and the existence of metabolic activity of microbes during the formation of the laminites. Biomat growth may also have played a major role in the excellent preservation of fossils in this famous Cretaceous Konservat-Lagerstätte from Brazil.","author":[{"dropping-particle":"","family":"Warren","given":"Lucas Veríssimo","non-dropping-particle":"","parse-names":false,"suffix":""},{"dropping-particle":"","family":"Varejão","given":"Filipe Giovanini","non-dropping-particle":"","parse-names":false,"suffix":""},{"dropping-particle":"","family":"Quaglio","given":"Fernanda","non-dropping-particle":"","parse-names":false,"suffix":""},{"dropping-particle":"","family":"Simões","given":"Marcello Guimarães","non-dropping-particle":"","parse-names":false,"suffix":""},{"dropping-particle":"","family":"Fürsich","given":"Franz Theodor","non-dropping-particle":"","parse-names":false,"suffix":""},{"dropping-particle":"","family":"Poiré","given":"Daniel Gustavo","non-dropping-particle":"","parse-names":false,"suffix":""},{"dropping-particle":"","family":"Catto","given":"Bruno","non-dropping-particle":"","parse-names":false,"suffix":""},{"dropping-particle":"","family":"Assine","given":"Mario Luis","non-dropping-particle":"","parse-names":false,"suffix":""}],"container-title":"Facies","id":"ITEM-3","issue":"1","issued":{"date-parts":[["2017"]]},"page":"1-19","publisher":"Springer Berlin Heidelberg","title":"Stromatolites from the Aptian Crato Formation, a hypersaline lake system in the Araripe Basin, northeastern Brazil","type":"article-journal","volume":"63"},"uris":["http://www.mendeley.com/documents/?uuid=1ad4b9cb-5e34-45ab-9bf6-c1f06f6421a3"]}],"mendeley":{"formattedCitation":"&lt;sup&gt;5,7,10&lt;/sup&gt;","plainTextFormattedCitation":"5,7,10","previouslyFormattedCitation":"(Heimhofer et al., 2010; Heimhofer and Martill, 2007; Warren et al., 2017)"},"properties":{"noteIndex":0},"schema":"https://github.com/citation-style-language/schema/raw/master/csl-citation.json"}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5,7,10</w:t>
      </w:r>
      <w:r w:rsidRPr="007621E8">
        <w:rPr>
          <w:rFonts w:cstheme="minorHAnsi"/>
          <w:lang w:val="en-GB"/>
        </w:rPr>
        <w:fldChar w:fldCharType="end"/>
      </w:r>
      <w:r w:rsidRPr="007621E8">
        <w:rPr>
          <w:rFonts w:cstheme="minorHAnsi"/>
          <w:lang w:val="en-GB"/>
        </w:rPr>
        <w:t xml:space="preserve">. Similarly, the absence of benthic fauna and bioturbated sediments indicate that deep waters were anoxic </w:t>
      </w:r>
      <w:r w:rsidRPr="007621E8">
        <w:rPr>
          <w:rFonts w:cstheme="minorHAnsi"/>
          <w:lang w:val="en-GB"/>
        </w:rPr>
        <w:fldChar w:fldCharType="begin" w:fldLock="1"/>
      </w:r>
      <w:r w:rsidR="00F302D2">
        <w:rPr>
          <w:rFonts w:cstheme="minorHAnsi"/>
          <w:lang w:val="en-GB"/>
        </w:rPr>
        <w:instrText>ADDIN CSL_CITATION {"citationItems":[{"id":"ITEM-1","itemData":{"DOI":"10.1017/CBO9780511535512.005","ISBN":"9780511535512","abstract":"Although the exceptionally preserved fossils from the Crato Formation have attracted a multitude of palaeontological studies dealing predominantly with the systematics and taxonomy of the assemblage, reports on the sedimentology and depositional environment of this important Fossil Lagerst¨atte are rather scarce. There are even fewer studies on the geochemistry and sedimentary diagenesis of the formation. A few exceptions include analyses of the organic matter composition (Baudin and Berthou, 1996; Neumann, 1999; Neumann et al., 2003) and a study of evaporite mineral pseudomorphism in the Nova Olinda Member (Martill et al., 2007). Some workers have examined spot samples from the Crato Formation in studies on the Araripe Group as a whole (e.g. Berthou et al., 1990) and a few assessments of the palaeoenvironment have been undertaken (Cavalcanti andViana, 1990; Martill and Wilby, 1993). For a better understanding of the unusual taphonomy and exceptional preservation of the Crato fossils, a more detailed knowledge of the physico-chemical conditions of the aquatic palaeoenvironment is necessary. Because the Crato Formation is a heterolithic sequence with both clastic and carbonate deposition, it is clear that many different and often contrasting environments are represented by the sedimentary sequence. Many previous analyses fail to address the situation, preferring to summarize the unit as a whole, and providing generally unsatisfactory interpretations. Here we concentrate on the sedimentology and geochemistry of the Nova Olinda Member of the Crato Formation, with a view to elucidating the sedimentary and diagenetic environment that resulted in the exquisite preservation of the fossil assemblage. We draw on data from other parts of the Crato Formation sequence to enable us to place the Nova Olinda Member sedimentary environment in its wider context","author":[{"dropping-particle":"","family":"Heimhofer","given":"Ulrich","non-dropping-particle":"","parse-names":false,"suffix":""},{"dropping-particle":"","family":"Martill","given":"David M.","non-dropping-particle":"","parse-names":false,"suffix":""}],"container-title":"The Crato Fossil Beds of Brazil: Window into an Ancient World","editor":[{"dropping-particle":"","family":"Martill","given":"David M.","non-dropping-particle":"","parse-names":false,"suffix":""},{"dropping-particle":"","family":"Bechly","given":"Günther","non-dropping-particle":"","parse-names":false,"suffix":""},{"dropping-particle":"","family":"Loveridge","given":"Robert F.","non-dropping-particle":"","parse-names":false,"suffix":""}],"id":"ITEM-1","issued":{"date-parts":[["2007"]]},"page":"44-62","publisher":"Cambridge University Press","publisher-place":"Oxford, UK","title":"The sedimentology and depositional environment of the Crato Formation","type":"chapter"},"uris":["http://www.mendeley.com/documents/?uuid=953ecd1a-0079-4b0a-909c-9861fda22359"]}],"mendeley":{"formattedCitation":"&lt;sup&gt;7&lt;/sup&gt;","plainTextFormattedCitation":"7","previouslyFormattedCitation":"(Heimhofer and Martill, 2007)"},"properties":{"noteIndex":0},"schema":"https://github.com/citation-style-language/schema/raw/master/csl-citation.json"}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7</w:t>
      </w:r>
      <w:r w:rsidRPr="007621E8">
        <w:rPr>
          <w:rFonts w:cstheme="minorHAnsi"/>
          <w:lang w:val="en-GB"/>
        </w:rPr>
        <w:fldChar w:fldCharType="end"/>
      </w:r>
      <w:r w:rsidRPr="007621E8">
        <w:rPr>
          <w:rFonts w:cstheme="minorHAnsi"/>
          <w:lang w:val="en-GB"/>
        </w:rPr>
        <w:t>.</w:t>
      </w:r>
    </w:p>
    <w:p w14:paraId="7FE8C9DC" w14:textId="77777777" w:rsidR="008906C4" w:rsidRPr="007621E8" w:rsidRDefault="008906C4" w:rsidP="008906C4">
      <w:pPr>
        <w:spacing w:after="0" w:line="360" w:lineRule="auto"/>
        <w:rPr>
          <w:rFonts w:cstheme="minorHAnsi"/>
          <w:lang w:val="en-GB"/>
        </w:rPr>
      </w:pPr>
    </w:p>
    <w:p w14:paraId="2095054B" w14:textId="77777777" w:rsidR="008906C4" w:rsidRPr="007621E8" w:rsidRDefault="008906C4" w:rsidP="008906C4">
      <w:pPr>
        <w:pStyle w:val="PargrafodaLista"/>
        <w:numPr>
          <w:ilvl w:val="1"/>
          <w:numId w:val="1"/>
        </w:numPr>
        <w:spacing w:after="0" w:line="360" w:lineRule="auto"/>
        <w:rPr>
          <w:rFonts w:cstheme="minorHAnsi"/>
          <w:b/>
          <w:lang w:val="en-GB"/>
        </w:rPr>
      </w:pPr>
      <w:r w:rsidRPr="007621E8">
        <w:rPr>
          <w:rFonts w:cstheme="minorHAnsi"/>
          <w:b/>
          <w:lang w:val="en-GB"/>
        </w:rPr>
        <w:lastRenderedPageBreak/>
        <w:t>Statistical analysis</w:t>
      </w:r>
    </w:p>
    <w:p w14:paraId="0FF8D834" w14:textId="409A8E5D" w:rsidR="008906C4" w:rsidRPr="003C32B4" w:rsidRDefault="008906C4" w:rsidP="008906C4">
      <w:pPr>
        <w:spacing w:after="0" w:line="360" w:lineRule="auto"/>
        <w:rPr>
          <w:rFonts w:cstheme="minorHAnsi"/>
          <w:strike/>
          <w:lang w:val="en-GB"/>
        </w:rPr>
      </w:pPr>
      <w:r w:rsidRPr="007621E8">
        <w:rPr>
          <w:rFonts w:cstheme="minorHAnsi"/>
          <w:color w:val="000000" w:themeColor="text1"/>
          <w:lang w:val="en-GB"/>
        </w:rPr>
        <w:t>A statistical survey of size distribution indicates that 11.5% (n=38) of melanosomes lengths are around 576 nm, whereas 15.7% (n=</w:t>
      </w:r>
      <w:r w:rsidRPr="007621E8">
        <w:rPr>
          <w:rFonts w:cstheme="minorHAnsi"/>
          <w:lang w:val="en-GB"/>
        </w:rPr>
        <w:t xml:space="preserve">52) of the diameter falls around 442 nm. The aspect ratio distribution indicates that 16% (n=53) are concentrated around 1.1, suggesting that most melanosomes are more oblate than cylindrical. </w:t>
      </w:r>
      <w:r w:rsidR="003C32B4" w:rsidRPr="003C32B4">
        <w:rPr>
          <w:rFonts w:cstheme="minorHAnsi"/>
          <w:color w:val="000000" w:themeColor="text1"/>
          <w:lang w:val="en-GB"/>
        </w:rPr>
        <w:t>T</w:t>
      </w:r>
      <w:r w:rsidRPr="007621E8">
        <w:rPr>
          <w:rFonts w:cstheme="minorHAnsi"/>
          <w:lang w:val="en-GB"/>
        </w:rPr>
        <w:t>hese results considerably contrast with descriptive values, such as mean, standard deviation and median (Table S1</w:t>
      </w:r>
      <w:r w:rsidRPr="00F0485C">
        <w:rPr>
          <w:rFonts w:cstheme="minorHAnsi"/>
          <w:lang w:val="en-GB"/>
        </w:rPr>
        <w:t>)</w:t>
      </w:r>
      <w:r w:rsidR="003C32B4" w:rsidRPr="00F0485C">
        <w:rPr>
          <w:rFonts w:cstheme="minorHAnsi"/>
          <w:lang w:val="en-GB"/>
        </w:rPr>
        <w:t xml:space="preserve">. As expected, the size distribution does not correspond to mean values, </w:t>
      </w:r>
      <w:r w:rsidR="00FE0F67" w:rsidRPr="00F0485C">
        <w:rPr>
          <w:rFonts w:cstheme="minorHAnsi"/>
          <w:lang w:val="en-GB"/>
        </w:rPr>
        <w:t>since the latter</w:t>
      </w:r>
      <w:r w:rsidR="003C32B4" w:rsidRPr="00F0485C">
        <w:rPr>
          <w:rFonts w:cstheme="minorHAnsi"/>
          <w:lang w:val="en-GB"/>
        </w:rPr>
        <w:t xml:space="preserve"> </w:t>
      </w:r>
      <w:r w:rsidR="00C746BD" w:rsidRPr="00F0485C">
        <w:rPr>
          <w:rFonts w:cstheme="minorHAnsi"/>
          <w:lang w:val="en-GB"/>
        </w:rPr>
        <w:t xml:space="preserve">only indicate </w:t>
      </w:r>
      <w:r w:rsidR="003C32B4" w:rsidRPr="00F0485C">
        <w:rPr>
          <w:rFonts w:cstheme="minorHAnsi"/>
          <w:lang w:val="en-GB"/>
        </w:rPr>
        <w:t xml:space="preserve">the </w:t>
      </w:r>
      <w:r w:rsidR="00C746BD" w:rsidRPr="00F0485C">
        <w:rPr>
          <w:rFonts w:cstheme="minorHAnsi"/>
          <w:lang w:val="en-GB"/>
        </w:rPr>
        <w:t xml:space="preserve">mean value of the whole </w:t>
      </w:r>
      <w:r w:rsidR="003C32B4" w:rsidRPr="00F0485C">
        <w:rPr>
          <w:rFonts w:cstheme="minorHAnsi"/>
          <w:lang w:val="en-GB"/>
        </w:rPr>
        <w:t>population</w:t>
      </w:r>
      <w:r w:rsidRPr="00F0485C">
        <w:rPr>
          <w:rFonts w:cstheme="minorHAnsi"/>
          <w:lang w:val="en-GB"/>
        </w:rPr>
        <w:t xml:space="preserve">. </w:t>
      </w:r>
    </w:p>
    <w:p w14:paraId="588B0114" w14:textId="3DAE5640" w:rsidR="008906C4" w:rsidRPr="007621E8" w:rsidRDefault="008906C4" w:rsidP="008906C4">
      <w:pPr>
        <w:spacing w:after="0" w:line="360" w:lineRule="auto"/>
        <w:ind w:firstLine="708"/>
        <w:rPr>
          <w:rFonts w:cstheme="minorHAnsi"/>
          <w:lang w:val="en-GB"/>
        </w:rPr>
      </w:pPr>
      <w:r w:rsidRPr="007621E8">
        <w:rPr>
          <w:rFonts w:cstheme="minorHAnsi"/>
          <w:lang w:val="en-GB"/>
        </w:rPr>
        <w:t xml:space="preserve">Performed scatter plot analysis shows a weak correlation between length and diameter (Fig. S2, A; </w:t>
      </w:r>
      <w:r w:rsidRPr="007621E8">
        <w:rPr>
          <w:rFonts w:cstheme="minorHAnsi"/>
          <w:i/>
          <w:lang w:val="en-GB"/>
        </w:rPr>
        <w:t>r</w:t>
      </w:r>
      <w:r w:rsidRPr="007621E8">
        <w:rPr>
          <w:rFonts w:cstheme="minorHAnsi"/>
          <w:lang w:val="en-GB"/>
        </w:rPr>
        <w:t xml:space="preserve">=0.4084; </w:t>
      </w:r>
      <w:r w:rsidRPr="007621E8">
        <w:rPr>
          <w:rFonts w:cstheme="minorHAnsi"/>
          <w:i/>
          <w:lang w:val="en-GB"/>
        </w:rPr>
        <w:t>R</w:t>
      </w:r>
      <w:r w:rsidRPr="007621E8">
        <w:rPr>
          <w:rFonts w:cstheme="minorHAnsi"/>
          <w:i/>
          <w:vertAlign w:val="superscript"/>
          <w:lang w:val="en-GB"/>
        </w:rPr>
        <w:t>2</w:t>
      </w:r>
      <w:r w:rsidRPr="007621E8">
        <w:rPr>
          <w:rFonts w:cstheme="minorHAnsi"/>
          <w:lang w:val="en-GB"/>
        </w:rPr>
        <w:t>=0.1668), and One-Way ANOVA results showed to be statistically significant (</w:t>
      </w:r>
      <w:r w:rsidRPr="007621E8">
        <w:rPr>
          <w:rFonts w:cstheme="minorHAnsi"/>
          <w:i/>
          <w:lang w:val="en-GB"/>
        </w:rPr>
        <w:t>p</w:t>
      </w:r>
      <w:r w:rsidRPr="007621E8">
        <w:rPr>
          <w:rFonts w:cstheme="minorHAnsi"/>
          <w:lang w:val="en-GB"/>
        </w:rPr>
        <w:t xml:space="preserve">&lt;0.001), indicating that both axes are indeed independent variables. This interpretation is also supported by the ratio frequency (Fig. S2, B), which exhibits a mean of 1.5 ± 0.4, while 74.3% of the total ratio occurs between 1.1 to 1.7 frequencies. This result is expected, since these units are usually considered independent variables, and the low correlation and frequency values indicate that CPCA 3590 melanosomes are predominantly oblate/oval. We performed a principal component analysis (PCA) using both CPCA 3590 and the database provided by Li et al. </w:t>
      </w:r>
      <w:r w:rsidRPr="007621E8">
        <w:rPr>
          <w:rFonts w:cstheme="minorHAnsi"/>
          <w:lang w:val="en-GB"/>
        </w:rPr>
        <w:fldChar w:fldCharType="begin" w:fldLock="1"/>
      </w:r>
      <w:r w:rsidR="00F302D2">
        <w:rPr>
          <w:rFonts w:cstheme="minorHAnsi"/>
          <w:lang w:val="en-GB"/>
        </w:rPr>
        <w:instrText>ADDIN CSL_CITATION {"citationItems":[{"id":"ITEM-1","itemData":{"DOI":"10.1126/science.1213780","ISSN":"0036-8075","abstract":"Iridescent feather colors involved in displays of many extant birds are produced by nanoscale arrays of melanin-containing organelles (melanosomes). Data relevant to the evolution of these colors and the properties of melanosomes involved in their generation have been limited. A data set sampling variables of extant avian melanosomes reveals that those forming most iridescent arrays are distinctly narrow. Quantitative comparison of these data with melanosome imprints densely sampled from a previously unknown specimen of the Early Cretaceous feathered Microraptor predicts that its plumage was predominantly iridescent. The capacity for simple iridescent arrays is thus minimally inferred in paravian dinosaurs. This finding and estimation of Microraptor feathering consistent with an ornamental function for the tail suggest a centrality for signaling in early evolution of plumage and feather color.","author":[{"dropping-particle":"","family":"Li","given":"Quanguo","non-dropping-particle":"","parse-names":false,"suffix":""},{"dropping-particle":"","family":"Gao","given":"Ke-Qin","non-dropping-particle":"","parse-names":false,"suffix":""},{"dropping-particle":"","family":"Meng","given":"Qingjin","non-dropping-particle":"","parse-names":false,"suffix":""},{"dropping-particle":"","family":"Clarke","given":"Julia A.","non-dropping-particle":"","parse-names":false,"suffix":""},{"dropping-particle":"","family":"Shawkey","given":"Matthew D.","non-dropping-particle":"","parse-names":false,"suffix":""},{"dropping-particle":"","family":"D’Alba","given":"Liliana","non-dropping-particle":"","parse-names":false,"suffix":""},{"dropping-particle":"","family":"Pei","given":"Rui","non-dropping-particle":"","parse-names":false,"suffix":""},{"dropping-particle":"","family":"Ellison","given":"Mick","non-dropping-particle":"","parse-names":false,"suffix":""},{"dropping-particle":"","family":"Norell","given":"Mark A.","non-dropping-particle":"","parse-names":false,"suffix":""},{"dropping-particle":"","family":"Vinther","given":"Jakob","non-dropping-particle":"","parse-names":false,"suffix":""}],"container-title":"Science","id":"ITEM-1","issue":"6073","issued":{"date-parts":[["2012","3","9"]]},"page":"1215-1219","title":"Reconstruction of Microraptor and the Evolution of Iridescent Plumage","type":"article-journal","volume":"335"},"uris":["http://www.mendeley.com/documents/?uuid=a7c309bc-5fd1-4e18-a126-e89e54a2d143"]}],"mendeley":{"formattedCitation":"&lt;sup&gt;16&lt;/sup&gt;","plainTextFormattedCitation":"16","previouslyFormattedCitation":"(Li et al., 2012)"},"properties":{"noteIndex":0},"schema":"https://github.com/citation-style-language/schema/raw/master/csl-citation.json"}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16</w:t>
      </w:r>
      <w:r w:rsidRPr="007621E8">
        <w:rPr>
          <w:rFonts w:cstheme="minorHAnsi"/>
          <w:lang w:val="en-GB"/>
        </w:rPr>
        <w:fldChar w:fldCharType="end"/>
      </w:r>
      <w:r w:rsidRPr="007621E8">
        <w:rPr>
          <w:rFonts w:cstheme="minorHAnsi"/>
          <w:lang w:val="en-GB"/>
        </w:rPr>
        <w:t xml:space="preserve"> (Fig. S2, C). As a result, the CPCA 3590 microbodies are placed close to melanosomes from brown and penguin colo</w:t>
      </w:r>
      <w:r w:rsidR="00BA52BE">
        <w:rPr>
          <w:rFonts w:cstheme="minorHAnsi"/>
          <w:lang w:val="en-GB"/>
        </w:rPr>
        <w:t>u</w:t>
      </w:r>
      <w:r w:rsidRPr="007621E8">
        <w:rPr>
          <w:rFonts w:cstheme="minorHAnsi"/>
          <w:lang w:val="en-GB"/>
        </w:rPr>
        <w:t xml:space="preserve">rs (i.e. dark black). Size correction does not have a significant impact on this relationship but, at 20%, it brings much closer to penguin (blackish) coloration. On the other hand, melanosomes are close to brownish hue in the bulk data. </w:t>
      </w:r>
    </w:p>
    <w:p w14:paraId="67B55353" w14:textId="77777777" w:rsidR="008906C4" w:rsidRPr="007621E8" w:rsidRDefault="008906C4" w:rsidP="008906C4">
      <w:pPr>
        <w:spacing w:after="0" w:line="360" w:lineRule="auto"/>
        <w:rPr>
          <w:rFonts w:cstheme="minorHAnsi"/>
          <w:sz w:val="24"/>
          <w:szCs w:val="24"/>
          <w:lang w:val="en-GB"/>
        </w:rPr>
      </w:pPr>
    </w:p>
    <w:p w14:paraId="324A890B" w14:textId="77777777" w:rsidR="008906C4" w:rsidRPr="007621E8" w:rsidRDefault="008906C4" w:rsidP="008906C4">
      <w:pPr>
        <w:spacing w:after="0" w:line="360" w:lineRule="auto"/>
        <w:rPr>
          <w:rFonts w:cstheme="minorHAnsi"/>
          <w:b/>
          <w:lang w:val="en-GB"/>
        </w:rPr>
      </w:pPr>
      <w:r w:rsidRPr="007621E8">
        <w:rPr>
          <w:rFonts w:cstheme="minorHAnsi"/>
          <w:b/>
          <w:lang w:val="en-GB"/>
        </w:rPr>
        <w:t>1.3. Synchrotron Radiation X-Ray Fluorescence (SR-μXRF)</w:t>
      </w:r>
    </w:p>
    <w:p w14:paraId="7078486E" w14:textId="0598C486" w:rsidR="008906C4" w:rsidRPr="007621E8" w:rsidRDefault="008906C4" w:rsidP="008906C4">
      <w:pPr>
        <w:pStyle w:val="NormalWeb"/>
        <w:spacing w:before="0" w:beforeAutospacing="0" w:after="0" w:afterAutospacing="0" w:line="360" w:lineRule="auto"/>
        <w:rPr>
          <w:rFonts w:asciiTheme="minorHAnsi" w:hAnsiTheme="minorHAnsi" w:cstheme="minorHAnsi"/>
          <w:bCs/>
          <w:noProof/>
          <w:color w:val="00B050"/>
          <w:sz w:val="22"/>
          <w:szCs w:val="22"/>
          <w:lang w:val="en-GB"/>
        </w:rPr>
      </w:pPr>
      <w:r w:rsidRPr="007621E8">
        <w:rPr>
          <w:rFonts w:asciiTheme="minorHAnsi" w:hAnsiTheme="minorHAnsi" w:cstheme="minorHAnsi"/>
          <w:bCs/>
          <w:sz w:val="22"/>
          <w:szCs w:val="22"/>
          <w:lang w:val="en-GB"/>
        </w:rPr>
        <w:t xml:space="preserve">Despite general scepticism of the usefulness SR-µXRF for melanin characterization (cf. </w:t>
      </w:r>
      <w:r w:rsidRPr="007621E8">
        <w:rPr>
          <w:rFonts w:asciiTheme="minorHAnsi" w:hAnsiTheme="minorHAnsi" w:cstheme="minorHAnsi"/>
          <w:bCs/>
          <w:sz w:val="22"/>
          <w:szCs w:val="22"/>
          <w:lang w:val="en-GB"/>
        </w:rPr>
        <w:fldChar w:fldCharType="begin" w:fldLock="1"/>
      </w:r>
      <w:r w:rsidR="00F302D2">
        <w:rPr>
          <w:rFonts w:asciiTheme="minorHAnsi" w:hAnsiTheme="minorHAnsi" w:cstheme="minorHAnsi"/>
          <w:bCs/>
          <w:sz w:val="22"/>
          <w:szCs w:val="22"/>
          <w:lang w:val="en-GB"/>
        </w:rPr>
        <w:instrText>ADDIN CSL_CITATION {"citationItems":[{"id":"ITEM-1","itemData":{"DOI":"10.1002/bies.201500061","ISSN":"02659247","abstract":"Melanin, and other pigments have recently been shown to preserve over geologic time scales, and are found in several different organisms. This opens up the possibility of inferring colours and colour patterns ranging from invertebrates to feathered dinosaurs and mammals. An emerging discipline is palaeo colour: colour plays an important role in display and camouflage as well as in integumental strengthening and protection, which makes possible the hitherto difficult task of doing inferences about past ecologies, behaviours, and organismal appearance. Several studies and techniques have been presented in the last couple of years that have described ways to characterize pigment patterns. Here, I will review the available methods and the likely applications to understand past ecologies. A golden age of colourized dinosaurs and other animals is now dawning upon us, which may elucidate the nature of ancient predator prey interactions and display structures.","author":[{"dropping-particle":"","family":"Schweitzer","given":"Mary H.","non-dropping-particle":"","parse-names":false,"suffix":""},{"dropping-particle":"","family":"Lindgren","given":"Johan","non-dropping-particle":"","parse-names":false,"suffix":""},{"dropping-particle":"","family":"Moyer","given":"Alison E.","non-dropping-particle":"","parse-names":false,"suffix":""}],"container-title":"BioEssays","id":"ITEM-1","issue":"11","issued":{"date-parts":[["2015","11"]]},"page":"1174-1183","title":"Melanosomes and ancient coloration re-examined: A response to Vinther 2015 (DOI 10.1002/bies.201500018)","type":"article-journal","volume":"37"},"uris":["http://www.mendeley.com/documents/?uuid=0ee1e043-b8e8-4c7a-9596-e7c6206d4e1f"]}],"mendeley":{"formattedCitation":"&lt;sup&gt;17&lt;/sup&gt;","manualFormatting":"2)","plainTextFormattedCitation":"17","previouslyFormattedCitation":"(Schweitzer et al., 2015)"},"properties":{"noteIndex":0},"schema":"https://github.com/citation-style-language/schema/raw/master/csl-citation.json"}</w:instrText>
      </w:r>
      <w:r w:rsidRPr="007621E8">
        <w:rPr>
          <w:rFonts w:asciiTheme="minorHAnsi" w:hAnsiTheme="minorHAnsi" w:cstheme="minorHAnsi"/>
          <w:bCs/>
          <w:sz w:val="22"/>
          <w:szCs w:val="22"/>
          <w:lang w:val="en-GB"/>
        </w:rPr>
        <w:fldChar w:fldCharType="separate"/>
      </w:r>
      <w:r w:rsidRPr="007621E8">
        <w:rPr>
          <w:rFonts w:asciiTheme="minorHAnsi" w:hAnsiTheme="minorHAnsi" w:cstheme="minorHAnsi"/>
          <w:bCs/>
          <w:noProof/>
          <w:sz w:val="22"/>
          <w:szCs w:val="22"/>
          <w:lang w:val="en-GB"/>
        </w:rPr>
        <w:t>2)</w:t>
      </w:r>
      <w:r w:rsidRPr="007621E8">
        <w:rPr>
          <w:rFonts w:asciiTheme="minorHAnsi" w:hAnsiTheme="minorHAnsi" w:cstheme="minorHAnsi"/>
          <w:bCs/>
          <w:sz w:val="22"/>
          <w:szCs w:val="22"/>
          <w:lang w:val="en-GB"/>
        </w:rPr>
        <w:fldChar w:fldCharType="end"/>
      </w:r>
      <w:r w:rsidRPr="007621E8">
        <w:rPr>
          <w:rFonts w:asciiTheme="minorHAnsi" w:hAnsiTheme="minorHAnsi" w:cstheme="minorHAnsi"/>
          <w:bCs/>
          <w:sz w:val="22"/>
          <w:szCs w:val="22"/>
          <w:lang w:val="en-GB"/>
        </w:rPr>
        <w:t xml:space="preserve">, we performed an elemental mapping of small samples of CPCA 3590 (Fig. S3). This method aimed to identify elemental distribution throughout the specimen and relate the presence of particular ions (e.g. sulphur) to the process of fossilization and melanogenesis </w:t>
      </w:r>
      <w:r w:rsidRPr="007621E8">
        <w:rPr>
          <w:rFonts w:asciiTheme="minorHAnsi" w:hAnsiTheme="minorHAnsi" w:cstheme="minorHAnsi"/>
          <w:bCs/>
          <w:sz w:val="22"/>
          <w:szCs w:val="22"/>
          <w:lang w:val="en-GB"/>
        </w:rPr>
        <w:fldChar w:fldCharType="begin" w:fldLock="1"/>
      </w:r>
      <w:r w:rsidR="00F302D2">
        <w:rPr>
          <w:rFonts w:asciiTheme="minorHAnsi" w:hAnsiTheme="minorHAnsi" w:cstheme="minorHAnsi"/>
          <w:bCs/>
          <w:sz w:val="22"/>
          <w:szCs w:val="22"/>
          <w:lang w:val="en-GB"/>
        </w:rPr>
        <w:instrText>ADDIN CSL_CITATION {"citationItems":[{"id":"ITEM-1","itemData":{"DOI":"10.1155/2014/498276","ISBN":"2356-7740\\r2090-8520","ISSN":"2356-7740","PMID":"26248549","abstract":"This review presents a general view of all types of melanin in all types of organisms. Melanin is frequently considered just an animal cutaneous pigment and is treated separately from similar fungal or bacterial pigments. Similarities concerning the phenol precursors and common patterns in the formation routes are discussed. All melanins are formed in a first enzymatically-controlled phase, generally a phenolase, and a second phase characterized by an uncontrolled polymerization of the oxidized intermediates. In that second phase, quinones derived from phenol oxidation play a crucial role. Concerning functions, all melanins show a common feature, a protective role, but they are not merely photoprotective pigments against UV sunlight. In pathogenic microorganisms, melanization becomes a virulence factor since melanin protects microbial cells from defense mechanisms in the infected host. In turn, some melanins are formed in tissues where sunlight radiation is not a potential threat. Then, their redox, metal chelating, or free radical scavenging properties are more important than light absorption capacity. These pigments sometimes behave as a double-edged sword, and inhibition of melanogenesis is desirable in different cells. Melanin biochemistry is an active field of research from dermatological, biomedical, cosmetical, and microbiological points of view, as well as fruit technology.","author":[{"dropping-particle":"","family":"Solano","given":"Francisco","non-dropping-particle":"","parse-names":false,"suffix":""}],"container-title":"New Journal of Science","id":"ITEM-1","issued":{"date-parts":[["2014"]]},"page":"1-28","title":"Melanins: Skin Pigments and Much More—Types, Structural Models, Biological Functions, and Formation Routes","type":"article-journal","volume":"2014"},"uris":["http://www.mendeley.com/documents/?uuid=1cfc1950-d695-4afd-b9b9-060d40eff8c8"]}],"mendeley":{"formattedCitation":"&lt;sup&gt;18&lt;/sup&gt;","plainTextFormattedCitation":"18","previouslyFormattedCitation":"(Solano, 2014)"},"properties":{"noteIndex":0},"schema":"https://github.com/citation-style-language/schema/raw/master/csl-citation.json"}</w:instrText>
      </w:r>
      <w:r w:rsidRPr="007621E8">
        <w:rPr>
          <w:rFonts w:asciiTheme="minorHAnsi" w:hAnsiTheme="minorHAnsi" w:cstheme="minorHAnsi"/>
          <w:bCs/>
          <w:sz w:val="22"/>
          <w:szCs w:val="22"/>
          <w:lang w:val="en-GB"/>
        </w:rPr>
        <w:fldChar w:fldCharType="separate"/>
      </w:r>
      <w:r w:rsidR="00F302D2" w:rsidRPr="00F302D2">
        <w:rPr>
          <w:rFonts w:asciiTheme="minorHAnsi" w:hAnsiTheme="minorHAnsi" w:cstheme="minorHAnsi"/>
          <w:bCs/>
          <w:noProof/>
          <w:sz w:val="22"/>
          <w:szCs w:val="22"/>
          <w:vertAlign w:val="superscript"/>
          <w:lang w:val="en-GB"/>
        </w:rPr>
        <w:t>18</w:t>
      </w:r>
      <w:r w:rsidRPr="007621E8">
        <w:rPr>
          <w:rFonts w:asciiTheme="minorHAnsi" w:hAnsiTheme="minorHAnsi" w:cstheme="minorHAnsi"/>
          <w:bCs/>
          <w:sz w:val="22"/>
          <w:szCs w:val="22"/>
          <w:lang w:val="en-GB"/>
        </w:rPr>
        <w:fldChar w:fldCharType="end"/>
      </w:r>
      <w:r w:rsidRPr="007621E8">
        <w:rPr>
          <w:rFonts w:asciiTheme="minorHAnsi" w:hAnsiTheme="minorHAnsi" w:cstheme="minorHAnsi"/>
          <w:bCs/>
          <w:sz w:val="22"/>
          <w:szCs w:val="22"/>
          <w:lang w:val="en-GB"/>
        </w:rPr>
        <w:t xml:space="preserve">. Albeit different regions were examined, and other elements were found, these results served as a complement to the EDS spectra published in Pinheiro et al. </w:t>
      </w:r>
      <w:r w:rsidRPr="007621E8">
        <w:rPr>
          <w:rFonts w:asciiTheme="minorHAnsi" w:hAnsiTheme="minorHAnsi" w:cstheme="minorHAnsi"/>
          <w:bCs/>
          <w:sz w:val="22"/>
          <w:szCs w:val="22"/>
          <w:lang w:val="en-GB"/>
        </w:rPr>
        <w:fldChar w:fldCharType="begin" w:fldLock="1"/>
      </w:r>
      <w:r w:rsidR="00F302D2">
        <w:rPr>
          <w:rFonts w:asciiTheme="minorHAnsi" w:hAnsiTheme="minorHAnsi" w:cstheme="minorHAnsi"/>
          <w:bCs/>
          <w:sz w:val="22"/>
          <w:szCs w:val="22"/>
          <w:lang w:val="en-GB"/>
        </w:rPr>
        <w:instrText>ADDIN CSL_CITATION {"citationItems":[{"id":"ITEM-1","itemData":{"DOI":"10.4202/app.2010.0057","ISSN":"0567-7920","abstract":"A new specimen of Tupandactylus imperator, comprising an incomplete skull with associated lower jaw, is described. The material is the best preserved specimen of this species known so far and provides new information on the anatomy of this pterodactyloid pterosaur, especially with respect to the morphology of the lower jaw, the first one formally described for the species. Also, the new specimen shows an extensive preservation of soft tissues such as the soft−tissue component of the headcrest, ramphoteca associated with the premaxillae and lower jaw, as well as probable pycnofibres. A phylogenetic analysis was performed in order to test the relationships of the taxon within Tapejaridae. The results of the analysis support Tapejaridae, as well as monophyly of Tapejarinae and Thalassodrominae.","author":[{"dropping-particle":"","family":"Pinheiro","given":"Felipe L.","non-dropping-particle":"","parse-names":false,"suffix":""},{"dropping-particle":"","family":"Fortier","given":"Daniel C.","non-dropping-particle":"","parse-names":false,"suffix":""},{"dropping-particle":"","family":"Schultz","given":"Cesar L.","non-dropping-particle":"","parse-names":false,"suffix":""},{"dropping-particle":"","family":"Andrade","given":"José Artur F. G.","non-dropping-particle":"","parse-names":false,"suffix":""},{"dropping-particle":"","family":"Bantim","given":"Renan A. M.","non-dropping-particle":"","parse-names":false,"suffix":""}],"container-title":"Acta Palaeontologica Polonica","id":"ITEM-1","issue":"3","issued":{"date-parts":[["2011","9"]]},"page":"567-580","title":"New information on the pterosaur Tupandactylus imperator, with comments on the relationships of Tapejaridae","type":"article-journal","volume":"56"},"uris":["http://www.mendeley.com/documents/?uuid=91a49e91-5f7a-49ca-85ac-e3e76d5c95bd"]}],"mendeley":{"formattedCitation":"&lt;sup&gt;19&lt;/sup&gt;","manualFormatting":"(24","plainTextFormattedCitation":"19","previouslyFormattedCitation":"(Pinheiro et al., 2011)"},"properties":{"noteIndex":0},"schema":"https://github.com/citation-style-language/schema/raw/master/csl-citation.json"}</w:instrText>
      </w:r>
      <w:r w:rsidRPr="007621E8">
        <w:rPr>
          <w:rFonts w:asciiTheme="minorHAnsi" w:hAnsiTheme="minorHAnsi" w:cstheme="minorHAnsi"/>
          <w:bCs/>
          <w:sz w:val="22"/>
          <w:szCs w:val="22"/>
          <w:lang w:val="en-GB"/>
        </w:rPr>
        <w:fldChar w:fldCharType="separate"/>
      </w:r>
      <w:r w:rsidRPr="007621E8">
        <w:rPr>
          <w:rFonts w:asciiTheme="minorHAnsi" w:hAnsiTheme="minorHAnsi" w:cstheme="minorHAnsi"/>
          <w:bCs/>
          <w:noProof/>
          <w:sz w:val="22"/>
          <w:szCs w:val="22"/>
          <w:lang w:val="en-GB"/>
        </w:rPr>
        <w:t>(24</w:t>
      </w:r>
      <w:r w:rsidRPr="007621E8">
        <w:rPr>
          <w:rFonts w:asciiTheme="minorHAnsi" w:hAnsiTheme="minorHAnsi" w:cstheme="minorHAnsi"/>
          <w:bCs/>
          <w:sz w:val="22"/>
          <w:szCs w:val="22"/>
          <w:lang w:val="en-GB"/>
        </w:rPr>
        <w:fldChar w:fldCharType="end"/>
      </w:r>
      <w:r w:rsidRPr="007621E8">
        <w:rPr>
          <w:rFonts w:asciiTheme="minorHAnsi" w:hAnsiTheme="minorHAnsi" w:cstheme="minorHAnsi"/>
          <w:bCs/>
          <w:sz w:val="22"/>
          <w:szCs w:val="22"/>
          <w:lang w:val="en-GB"/>
        </w:rPr>
        <w:t xml:space="preserve">: Fig. 3). As a result, the elemental mapping of CPCA 3590 exhibits the presence of As, Ca, Cu, Fe, Mn, Sr and Zn in </w:t>
      </w:r>
      <w:r w:rsidRPr="007621E8">
        <w:rPr>
          <w:rFonts w:asciiTheme="minorHAnsi" w:hAnsiTheme="minorHAnsi" w:cstheme="minorHAnsi"/>
          <w:bCs/>
          <w:color w:val="000000" w:themeColor="text1"/>
          <w:sz w:val="22"/>
          <w:szCs w:val="22"/>
          <w:lang w:val="en-GB"/>
        </w:rPr>
        <w:t xml:space="preserve">headcrest tissue in varying </w:t>
      </w:r>
      <w:r w:rsidRPr="007621E8">
        <w:rPr>
          <w:rFonts w:asciiTheme="minorHAnsi" w:hAnsiTheme="minorHAnsi" w:cstheme="minorHAnsi"/>
          <w:bCs/>
          <w:sz w:val="22"/>
          <w:szCs w:val="22"/>
          <w:lang w:val="en-GB"/>
        </w:rPr>
        <w:t xml:space="preserve">intensities (Fig. S3). For instance, Ca and Mn display a more pronounced and spatially limited occurrence, whereas </w:t>
      </w:r>
      <w:r w:rsidRPr="007621E8">
        <w:rPr>
          <w:rFonts w:asciiTheme="minorHAnsi" w:hAnsiTheme="minorHAnsi" w:cstheme="minorHAnsi"/>
          <w:bCs/>
          <w:color w:val="000000" w:themeColor="text1"/>
          <w:sz w:val="22"/>
          <w:szCs w:val="22"/>
          <w:lang w:val="en-GB"/>
        </w:rPr>
        <w:t>As, Cu, Fe</w:t>
      </w:r>
      <w:r w:rsidR="0045436B">
        <w:rPr>
          <w:rFonts w:asciiTheme="minorHAnsi" w:hAnsiTheme="minorHAnsi" w:cstheme="minorHAnsi"/>
          <w:bCs/>
          <w:color w:val="000000" w:themeColor="text1"/>
          <w:sz w:val="22"/>
          <w:szCs w:val="22"/>
          <w:lang w:val="en-GB"/>
        </w:rPr>
        <w:t>,</w:t>
      </w:r>
      <w:r w:rsidRPr="007621E8">
        <w:rPr>
          <w:rFonts w:asciiTheme="minorHAnsi" w:hAnsiTheme="minorHAnsi" w:cstheme="minorHAnsi"/>
          <w:bCs/>
          <w:color w:val="000000" w:themeColor="text1"/>
          <w:sz w:val="22"/>
          <w:szCs w:val="22"/>
          <w:lang w:val="en-GB"/>
        </w:rPr>
        <w:t xml:space="preserve"> Sr and Zn are less intense and more disperse, reflecting their possible minor concentration in the sample.</w:t>
      </w:r>
      <w:r w:rsidRPr="007621E8">
        <w:rPr>
          <w:rFonts w:asciiTheme="minorHAnsi" w:hAnsiTheme="minorHAnsi" w:cstheme="minorHAnsi"/>
          <w:b/>
          <w:bCs/>
          <w:color w:val="000000" w:themeColor="text1"/>
          <w:sz w:val="22"/>
          <w:szCs w:val="22"/>
          <w:lang w:val="en-GB"/>
        </w:rPr>
        <w:t xml:space="preserve"> </w:t>
      </w:r>
    </w:p>
    <w:p w14:paraId="517F9135" w14:textId="13A7D2A5" w:rsidR="008906C4" w:rsidRPr="007621E8" w:rsidRDefault="008906C4" w:rsidP="008906C4">
      <w:pPr>
        <w:spacing w:after="0" w:line="360" w:lineRule="auto"/>
        <w:ind w:firstLine="708"/>
        <w:rPr>
          <w:rFonts w:cstheme="minorHAnsi"/>
          <w:lang w:val="en-GB"/>
        </w:rPr>
      </w:pPr>
      <w:r w:rsidRPr="007621E8">
        <w:rPr>
          <w:rFonts w:cstheme="minorHAnsi"/>
          <w:lang w:val="en-GB"/>
        </w:rPr>
        <w:t xml:space="preserve">Several works have demonstrated the usefulness of SR-μXRF on the elemental mapping of fossils </w:t>
      </w:r>
      <w:r w:rsidRPr="007621E8">
        <w:rPr>
          <w:rFonts w:cstheme="minorHAnsi"/>
          <w:lang w:val="en-GB"/>
        </w:rPr>
        <w:fldChar w:fldCharType="begin" w:fldLock="1"/>
      </w:r>
      <w:r w:rsidR="00F302D2">
        <w:rPr>
          <w:rFonts w:cstheme="minorHAnsi"/>
          <w:lang w:val="en-GB"/>
        </w:rPr>
        <w:instrText>ADDIN CSL_CITATION {"citationItems":[{"id":"ITEM-1","itemData":{"DOI":"10.1126/science.1205748","ISSN":"0036-8075","abstract":"Well-preserved fossils of pivotal early bird and nonavian theropod species have provided unequivocal evidence for feathers and/or downlike integuments. Recent studies have reconstructed color on the basis of melanosome structure; however, the chemistry of these proposed melanosomes has remained unknown. We applied synchrotron x-ray techniques to several fossil and extant organisms, including Confuciusornis sanctus, in order to map and characterize possible chemical residues of melanin pigments. Results show that trace metals, such as copper, are present in fossils as organometallic compounds most likely derived from original eumelanin. The distribution of these compounds provides a long-lived biomarker of melanin presence and density within a range of fossilized organisms. Metal zoning patterns may be preserved long after melanosome structures have been destroyed.","author":[{"dropping-particle":"","family":"Wogelius","given":"R. A.","non-dropping-particle":"","parse-names":false,"suffix":""},{"dropping-particle":"","family":"Manning","given":"P. L.","non-dropping-particle":"","parse-names":false,"suffix":""},{"dropping-particle":"","family":"Barden","given":"H. E.","non-dropping-particle":"","parse-names":false,"suffix":""},{"dropping-particle":"","family":"Edwards","given":"N. P.","non-dropping-particle":"","parse-names":false,"suffix":""},{"dropping-particle":"","family":"Webb","given":"S. M.","non-dropping-particle":"","parse-names":false,"suffix":""},{"dropping-particle":"","family":"Sellers","given":"W. I.","non-dropping-particle":"","parse-names":false,"suffix":""},{"dropping-particle":"","family":"Taylor","given":"K. G.","non-dropping-particle":"","parse-names":false,"suffix":""},{"dropping-particle":"","family":"Larson","given":"P. L.","non-dropping-particle":"","parse-names":false,"suffix":""},{"dropping-particle":"","family":"Dodson","given":"P.","non-dropping-particle":"","parse-names":false,"suffix":""},{"dropping-particle":"","family":"You","given":"H.","non-dropping-particle":"","parse-names":false,"suffix":""},{"dropping-particle":"","family":"Da-qing","given":"L.","non-dropping-particle":"","parse-names":false,"suffix":""},{"dropping-particle":"","family":"Bergmann","given":"U.","non-dropping-particle":"","parse-names":false,"suffix":""}],"container-title":"Science","id":"ITEM-1","issue":"6049","issued":{"date-parts":[["2011","9","16"]]},"page":"1622-1626","title":"Trace Metals as Biomarkers for Eumelanin Pigment in the Fossil Record","type":"article-journal","volume":"333"},"uris":["http://www.mendeley.com/documents/?uuid=e9274a43-705b-420b-896e-bf96b16c48c0"]},{"id":"ITEM-2","itemData":{"DOI":"10.1073/pnas.1001569107","ISSN":"0027-8424","abstract":"Evolution of flight in maniraptoran dinosaurs is marked by the acquisition of distinct avian characters, such as feathers, as seen in Archaeopteryx from the Solnhofen limestone. These rare fossils were pivotal in confirming the dinosauria-avian lineage. One of the key derived avian characters is the possession of feathers, details of which were remarkably preserved in the Lagerstätte environment. These structures were previously simply assumed to be impressions; however, a detailed chemical analysis has, until now, never been completed on any Archaeopteryx specimen. Here we present chemical imaging via synchrotron rapid scanning X-ray fluorescence (SRS-XRF) of the Thermopolis Archaeopteryx, which shows that portions of the feathers are not impressions but are in fact remnant body fossil structures, maintaining elemental compositions that are completely different from the embedding geological matrix. Our results indicate phosphorous and sulfur retention in soft tissue as well as trace metal (Zn and Cu) retention in bone. Other previously unknown chemical details of Archaeopteryx are also revealed in this study including: bone chemistry, taphonomy (fossilization process), and curation artifacts. SRS-XRF represents a major advancement in the study of the life chemistry and fossilization processes of Archaeopteryx and other extinct organisms because it is now practical to image the chemistry of large specimens rapidly at concentration levels of parts per million. This technique has wider application to the archaeological, forensic, and biological sciences, enabling the mapping of \"unseen\" compounds critical to understanding biological structures, modes of preservation, and environmental context.","author":[{"dropping-particle":"","family":"Bergmann","given":"U.","non-dropping-particle":"","parse-names":false,"suffix":""},{"dropping-particle":"","family":"Morton","given":"R. W.","non-dropping-particle":"","parse-names":false,"suffix":""},{"dropping-particle":"","family":"Manning","given":"P. L.","non-dropping-particle":"","parse-names":false,"suffix":""},{"dropping-particle":"","family":"Sellers","given":"W. I.","non-dropping-particle":"","parse-names":false,"suffix":""},{"dropping-particle":"","family":"Farrar","given":"S.","non-dropping-particle":"","parse-names":false,"suffix":""},{"dropping-particle":"","family":"Huntley","given":"K. G.","non-dropping-particle":"","parse-names":false,"suffix":""},{"dropping-particle":"","family":"Wogelius","given":"R. A.","non-dropping-particle":"","parse-names":false,"suffix":""},{"dropping-particle":"","family":"Larson","given":"P. L.","non-dropping-particle":"","parse-names":false,"suffix":""}],"container-title":"Proceedings of the National Academy of Sciences","id":"ITEM-2","issue":"20","issued":{"date-parts":[["2010"]]},"page":"9060-9065","title":"Archaeopteryx feathers and bone chemistry fully revealed via synchrotron imaging","type":"article-journal","volume":"107"},"uris":["http://www.mendeley.com/documents/?uuid=7600f619-ed9e-44af-84a3-cd8c7fc3dae5"]},{"id":"ITEM-3","itemData":{"DOI":"10.1146/annurev-anchem-062011-143019","ISSN":"1936-1335","PMID":"22524223","abstract":"The application of the recently developed synchrotron rapid scanning X-ray fluorescence (SRS-XRF) technique to the mapping of large objects is the focus of this review. We discuss the advantages of SRS-XRF over traditional systems and the use of other synchrotron radiation (SR) techniques to provide corroborating spectroscopic and diffraction analyses during the same analytical session. After reviewing routine techniques used to analyze precious specimens, we present several case studies that show how SR-based methods have been successfully applied in archeology and paleontology. For example, SRS-XRF imaging of a seventh-century Qur'ān palimpsest and an overpainted original opera score from Luigi Cherubini is described. We also review the recent discovery of soft-tissue residue in fossils of Archaeopteryx and an ancient reptile, as well as work that has successfully resolved the remnants of pigment in Confuciusornis sanctus, a 120-million-year-old fossil of the oldest documented bird with a fully derived avian beak.","author":[{"dropping-particle":"","family":"Bergmann","given":"Uwe","non-dropping-particle":"","parse-names":false,"suffix":""},{"dropping-particle":"","family":"Manning","given":"Phillip L.","non-dropping-particle":"","parse-names":false,"suffix":""},{"dropping-particle":"","family":"Wogelius","given":"Roy A.","non-dropping-particle":"","parse-names":false,"suffix":""}],"container-title":"Annual review of analytical chemistry (Palo Alto, Calif.)","id":"ITEM-3","issued":{"date-parts":[["2012"]]},"page":"361-89","title":"Chemical mapping of paleontological and archeological artifacts with synchrotron X-rays.","type":"article-journal","volume":"5"},"uris":["http://www.mendeley.com/documents/?uuid=bac8bc8d-88a9-460c-bfe5-0277b1e648e6"]},{"id":"ITEM-4","itemData":{"DOI":"10.1007/s00339-012-7484-3","ISBN":"0033901274843","ISSN":"09478396","abstract":"The detailed chemical analysis of fossils has the potential to reveal great insight into the composition, preservation, and biochemistry of ancient life. Such analyses would ideally identify, quantify, and spatially resolve not only the chemical composition of preserved bone and soft tissue structures but also the embedding matrix. Mapping the chemistry of a fossil in situ can place constraints on mass transfer between the enclosing matrix and the preserved organism(s) and therefore aid in distinguishing taphonomic processes from original chemical zonation remnant within the fossils themselves. Conventional analytical methods, such as scanning electron microscopy and pyrolysis gas chromatography/mass spectrometry have serious limitations in this case, primarily an inability to provide large-scale (i.e., decimeter-size) chemical maps. Additionally, vacuum chamber size and the need for destructive sampling preclude analysis of large and precious fossil specimens. However, the recent development of synchrotron rapid scanning x-ray fluorescence (SRS-XRF) at the Stanford Synchrotron Radiation Lightsource allows the nondestructive chemical analysis and imaging of major, minor, and trace element concentrations of large paleontological and archaeological specimens in rapid scanning times. Presented here are elemental maps of a fossil reptile that were produced using the new SRS-XRF method. The results unequivocally show that preserved biological structures are not simply impressions or carbonized remains but possess a remnant of the original organismal biochemistry. This study shows that SRS-XRF is a powerful new tool for the study of paleontological and archaeological samples.","author":[{"dropping-particle":"","family":"Edwards","given":"N. P.","non-dropping-particle":"","parse-names":false,"suffix":""},{"dropping-particle":"","family":"Wogelius","given":"R. A.","non-dropping-particle":"","parse-names":false,"suffix":""},{"dropping-particle":"","family":"Bergmann","given":"U.","non-dropping-particle":"","parse-names":false,"suffix":""},{"dropping-particle":"","family":"Larson","given":"P.","non-dropping-particle":"","parse-names":false,"suffix":""},{"dropping-particle":"","family":"Sellers","given":"W. I.","non-dropping-particle":"","parse-names":false,"suffix":""},{"dropping-particle":"","family":"Manning","given":"P. L.","non-dropping-particle":"","parse-names":false,"suffix":""}],"container-title":"Applied Physics A: Materials Science and Processing","id":"ITEM-4","issue":"1","issued":{"date-parts":[["2013"]]},"page":"147-155","title":"Mapping prehistoric ghosts in the synchrotron","type":"article-journal","volume":"111"},"uris":["http://www.mendeley.com/documents/?uuid=b27ab019-c75f-4889-85f2-d15668f1f331"]}],"mendeley":{"formattedCitation":"&lt;sup&gt;20–23&lt;/sup&gt;","plainTextFormattedCitation":"20–23","previouslyFormattedCitation":"(Bergmann et al., 2012, 2010; Edwards et al., 2013; Wogelius et al., 2011)"},"properties":{"noteIndex":0},"schema":"https://github.com/citation-style-language/schema/raw/master/csl-citation.json"}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20–23</w:t>
      </w:r>
      <w:r w:rsidRPr="007621E8">
        <w:rPr>
          <w:rFonts w:cstheme="minorHAnsi"/>
          <w:lang w:val="en-GB"/>
        </w:rPr>
        <w:fldChar w:fldCharType="end"/>
      </w:r>
      <w:r w:rsidRPr="007621E8">
        <w:rPr>
          <w:rFonts w:cstheme="minorHAnsi"/>
          <w:lang w:val="en-GB"/>
        </w:rPr>
        <w:t xml:space="preserve">, even when elements are present in trace amounts </w:t>
      </w:r>
      <w:r w:rsidRPr="007621E8">
        <w:rPr>
          <w:rFonts w:cstheme="minorHAnsi"/>
          <w:lang w:val="en-GB"/>
        </w:rPr>
        <w:fldChar w:fldCharType="begin" w:fldLock="1"/>
      </w:r>
      <w:r w:rsidR="00F302D2">
        <w:rPr>
          <w:rFonts w:cstheme="minorHAnsi"/>
          <w:lang w:val="en-GB"/>
        </w:rPr>
        <w:instrText>ADDIN CSL_CITATION {"citationItems":[{"id":"ITEM-1","itemData":{"DOI":"10.1371/journal.pone.0086946","ISSN":"1932-6203","abstract":"The interpretation of flattened fossils remains a major challenge due to compression of their complex anatomies during fossilization, making critical anatomical features invisible or hardly discernible. Key features are often hidden under greatly preserved decay prone tissues, or an unpreparable sedimentary matrix. A method offering access to such anatomical features is of paramount interest to resolve taxonomic affinities and to study fossils after a least possible invasive preparation. Unfortunately, the widely-used X-ray micro-computed tomography, for visualizing hidden or internal structures of a broad range of fossils, is generally inapplicable to flattened specimens, due to the very high differential absorbance in distinct directions. Here we show that synchrotron X-ray fluorescence spectral raster-scanning coupled to spectral decomposition or a much faster Kullback-Leibler divergence based statistical analysis provides microscale visualization of tissues. We imaged exceptionally well-preserved fossils from the Late Cretaceous without needing any prior delicate preparation. The contrasting elemental distributions greatly improved the discrimination of skeletal elements material from both the sedimentary matrix and fossilized soft tissues. Aside content in alkaline earth elements and phosphorus, a critical parameter for tissue discrimination is the distinct amounts of rare earth elements. Local quantification of rare earths may open new avenues for fossil description but also in paleoenvironmental and taphonomical studies.","author":[{"dropping-particle":"","family":"Gueriau","given":"Pierre","non-dropping-particle":"","parse-names":false,"suffix":""},{"dropping-particle":"","family":"Mocuta","given":"Cristian","non-dropping-particle":"","parse-names":false,"suffix":""},{"dropping-particle":"","family":"Dutheil","given":"Didier B.","non-dropping-particle":"","parse-names":false,"suffix":""},{"dropping-particle":"","family":"Cohen","given":"Serge X.","non-dropping-particle":"","parse-names":false,"suffix":""},{"dropping-particle":"","family":"Thiaudière","given":"Dominique","non-dropping-particle":"","parse-names":false,"suffix":""},{"dropping-particle":"","family":"Consortium","given":"The OT1","non-dropping-particle":"","parse-names":false,"suffix":""},{"dropping-particle":"","family":"Charbonnier","given":"Sylvain","non-dropping-particle":"","parse-names":false,"suffix":""},{"dropping-particle":"","family":"Clément","given":"Gaël","non-dropping-particle":"","parse-names":false,"suffix":""},{"dropping-particle":"","family":"Bertrand","given":"Loïc","non-dropping-particle":"","parse-names":false,"suffix":""}],"container-title":"PLoS ONE","editor":[{"dropping-particle":"","family":"Rozhkova","given":"Elena A.","non-dropping-particle":"","parse-names":false,"suffix":""}],"id":"ITEM-1","issue":"1","issued":{"date-parts":[["2014","1","29"]]},"page":"e86946","title":"Trace Elemental Imaging of Rare Earth Elements Discriminates Tissues at Microscale in Flat Fossils","type":"article-journal","volume":"9"},"uris":["http://www.mendeley.com/documents/?uuid=6f00e357-7109-4da7-95e6-da15b044c21f"]},{"id":"ITEM-2","itemData":{"DOI":"10.1017/S1551929515000024","ISSN":"1551-9295","author":[{"dropping-particle":"","family":"Gueriau","given":"Pierre","non-dropping-particle":"","parse-names":false,"suffix":""},{"dropping-particle":"","family":"Bertrand","given":"Loïc","non-dropping-particle":"","parse-names":false,"suffix":""}],"container-title":"Microscopy Today","id":"ITEM-2","issue":"03","issued":{"date-parts":[["2015"]]},"page":"20-25","title":"Deciphering Exceptional Preservation of Fossils Through Trace Elemental Imaging","type":"article-journal","volume":"23"},"uris":["http://www.mendeley.com/documents/?uuid=f9e529bb-9aec-47b8-ba38-174c59d6834f"]},{"id":"ITEM-3","itemData":{"DOI":"10.1111/pala.12377","ISSN":"14754983","abstract":"© The Palaeontological Association The development of X-ray tomography in the last decade has led to a revolution in palaeontology by providing a means of imaging 3D fossils. In turn, imaging of flat fossils has strongly benefitted from critical improvement of synchrotron X-ray fluorescence (XRF). The latter, which allows the mapping of 2D distributions of major-to-trace elements over decimetre-scale objects, usually targets metals with atomic number (Z) up to strontium (K-shell emission lines); in the same energy domain, L-shell emission lines of heavier elements (particularly lead) can also be analysed. A fluorescence signal from strontium can escape from a depth of a few 100 μm in fossils, thereby revealing, due to its substitution for calcium in calcium phosphates (apatite group minerals and bone), hidden fossil bone or phosphatized remains. Nonetheless, strontium similarly substitutes for calcium in calcium carbonates, resulting in the absence of contrast when fossils are preserved in limestone. Here, we show that this issue can easily be overcome by using X-rays slightly higher in energy (17.2 keV and above) to excite and detect yttrium fluorescence. Together with lanthanides (collectively known as the rare earth elements), yttrium preferentially substitutes for calcium in calcium phosphates, offering anatomical contrasts for a wider range of fossils. This is demonstrated here for three fossils (vertebrate and invertebrate) from different ages and depositional environments. We then discuss the different chemical behaviours of strontium and yttrium in calcium phosphates and carbonates. Although yttrium is also found in other (rarer) minerals, its mapping using synchrotron XRF could be used as a proxy to pinpoint calcium phosphates in fossils and other geological materials.","author":[{"dropping-particle":"","family":"Gueriau","given":"Pierre","non-dropping-particle":"","parse-names":false,"suffix":""},{"dropping-particle":"","family":"Jauvion","given":"Clément","non-dropping-particle":"","parse-names":false,"suffix":""},{"dropping-particle":"","family":"Mocuta","given":"Cristian","non-dropping-particle":"","parse-names":false,"suffix":""}],"container-title":"Palaeontology","id":"ITEM-3","issue":"6","issued":{"date-parts":[["2018"]]},"page":"981-990","title":"Show me your yttrium, and I will tell you who you are: implications for fossil imaging","type":"article-journal","volume":"61"},"uris":["http://www.mendeley.com/documents/?uuid=818a6043-f52a-4c6e-a3f0-dc8502972e56"]},{"id":"ITEM-4","itemData":{"DOI":"10.2113/gselements.12.1.45","ISSN":"1811-5209","abstract":"Characterizing fossils and quantifying paleoenvironmental proxies at a detailed scale is a significant challenge. Three-dimensional tomographic reconstructions are becoming increasingly common, and new imaging approaches, such as synchrotron-based fast X-ray scanning and full-field multispectral imaging, now provide the means to (1) describe fossil morphology at a very fine scale, (2) decipher long-term alteration processes, and (3) better identify conservation requirements. These developments have opened new research avenues for the study of complex heterogeneous materials at the intersection between paleontology, biology, mineralogy, geochemistry, conservation science, materials science, and analytical instrumentation.","author":[{"dropping-particle":"","family":"Gueriau","given":"Pierre","non-dropping-particle":"","parse-names":false,"suffix":""},{"dropping-particle":"","family":"Bernard","given":"Sylvain","non-dropping-particle":"","parse-names":false,"suffix":""},{"dropping-particle":"","family":"Bertrand","given":"Loïc","non-dropping-particle":"","parse-names":false,"suffix":""}],"container-title":"Elements","id":"ITEM-4","issue":"1","issued":{"date-parts":[["2016","2","8"]]},"page":"45-50","title":"Advanced Synchrotron Characterization of Paleontological Specimens","type":"article-journal","volume":"12"},"uris":["http://www.mendeley.com/documents/?uuid=b89e3204-43fa-4a11-a4ce-5e061325c1f3"]}],"mendeley":{"formattedCitation":"&lt;sup&gt;24–27&lt;/sup&gt;","plainTextFormattedCitation":"24–27","previouslyFormattedCitation":"(Gueriau et al., 2018, 2016, 2014; Gueriau and Bertrand, 2015)"},"properties":{"noteIndex":0},"schema":"https://github.com/citation-style-language/schema/raw/master/csl-citation.json"}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24–27</w:t>
      </w:r>
      <w:r w:rsidRPr="007621E8">
        <w:rPr>
          <w:rFonts w:cstheme="minorHAnsi"/>
          <w:lang w:val="en-GB"/>
        </w:rPr>
        <w:fldChar w:fldCharType="end"/>
      </w:r>
      <w:r w:rsidRPr="007621E8">
        <w:rPr>
          <w:rFonts w:cstheme="minorHAnsi"/>
          <w:lang w:val="en-GB"/>
        </w:rPr>
        <w:t xml:space="preserve">. In addition, </w:t>
      </w:r>
      <w:r w:rsidRPr="007621E8">
        <w:rPr>
          <w:rFonts w:cstheme="minorHAnsi"/>
          <w:lang w:val="en-GB"/>
        </w:rPr>
        <w:lastRenderedPageBreak/>
        <w:t xml:space="preserve">this method has proved its usefulness for the identification of metals associated with melanin preservation </w:t>
      </w:r>
      <w:r w:rsidRPr="007621E8">
        <w:rPr>
          <w:rFonts w:cstheme="minorHAnsi"/>
          <w:lang w:val="en-GB"/>
        </w:rPr>
        <w:fldChar w:fldCharType="begin" w:fldLock="1"/>
      </w:r>
      <w:r w:rsidR="00F302D2">
        <w:rPr>
          <w:rFonts w:cstheme="minorHAnsi"/>
          <w:lang w:val="en-GB"/>
        </w:rPr>
        <w:instrText>ADDIN CSL_CITATION {"citationItems":[{"id":"ITEM-1","itemData":{"DOI":"10.1126/science.1205748","ISSN":"0036-8075","abstract":"Well-preserved fossils of pivotal early bird and nonavian theropod species have provided unequivocal evidence for feathers and/or downlike integuments. Recent studies have reconstructed color on the basis of melanosome structure; however, the chemistry of these proposed melanosomes has remained unknown. We applied synchrotron x-ray techniques to several fossil and extant organisms, including Confuciusornis sanctus, in order to map and characterize possible chemical residues of melanin pigments. Results show that trace metals, such as copper, are present in fossils as organometallic compounds most likely derived from original eumelanin. The distribution of these compounds provides a long-lived biomarker of melanin presence and density within a range of fossilized organisms. Metal zoning patterns may be preserved long after melanosome structures have been destroyed.","author":[{"dropping-particle":"","family":"Wogelius","given":"R. A.","non-dropping-particle":"","parse-names":false,"suffix":""},{"dropping-particle":"","family":"Manning","given":"P. L.","non-dropping-particle":"","parse-names":false,"suffix":""},{"dropping-particle":"","family":"Barden","given":"H. E.","non-dropping-particle":"","parse-names":false,"suffix":""},{"dropping-particle":"","family":"Edwards","given":"N. P.","non-dropping-particle":"","parse-names":false,"suffix":""},{"dropping-particle":"","family":"Webb","given":"S. M.","non-dropping-particle":"","parse-names":false,"suffix":""},{"dropping-particle":"","family":"Sellers","given":"W. I.","non-dropping-particle":"","parse-names":false,"suffix":""},{"dropping-particle":"","family":"Taylor","given":"K. G.","non-dropping-particle":"","parse-names":false,"suffix":""},{"dropping-particle":"","family":"Larson","given":"P. L.","non-dropping-particle":"","parse-names":false,"suffix":""},{"dropping-particle":"","family":"Dodson","given":"P.","non-dropping-particle":"","parse-names":false,"suffix":""},{"dropping-particle":"","family":"You","given":"H.","non-dropping-particle":"","parse-names":false,"suffix":""},{"dropping-particle":"","family":"Da-qing","given":"L.","non-dropping-particle":"","parse-names":false,"suffix":""},{"dropping-particle":"","family":"Bergmann","given":"U.","non-dropping-particle":"","parse-names":false,"suffix":""}],"container-title":"Science","id":"ITEM-1","issue":"6049","issued":{"date-parts":[["2011","9","16"]]},"page":"1622-1626","title":"Trace Metals as Biomarkers for Eumelanin Pigment in the Fossil Record","type":"article-journal","volume":"333"},"uris":["http://www.mendeley.com/documents/?uuid=e9274a43-705b-420b-896e-bf96b16c48c0"]},{"id":"ITEM-2","itemData":{"DOI":"10.1038/srep34002","author":[{"dropping-particle":"","family":"Edwards","given":"Nicholas P.","non-dropping-particle":"","parse-names":false,"suffix":""},{"dropping-particle":"","family":"Veelen","given":"Arjen","non-dropping-particle":"Van","parse-names":false,"suffix":""},{"dropping-particle":"","family":"Anné","given":"Jennifer","non-dropping-particle":"","parse-names":false,"suffix":""},{"dropping-particle":"","family":"Manning","given":"Phillip L.","non-dropping-particle":"","parse-names":false,"suffix":""},{"dropping-particle":"","family":"Bergmann","given":"Uwe","non-dropping-particle":"","parse-names":false,"suffix":""},{"dropping-particle":"","family":"Sellers","given":"William I.","non-dropping-particle":"","parse-names":false,"suffix":""},{"dropping-particle":"","family":"Egerton","given":"Victoria M.","non-dropping-particle":"","parse-names":false,"suffix":""},{"dropping-particle":"","family":"Sokaras","given":"Dimosthenis","non-dropping-particle":"","parse-names":false,"suffix":""},{"dropping-particle":"","family":"Alonso-Mori","given":"Roberto","non-dropping-particle":"","parse-names":false,"suffix":""},{"dropping-particle":"","family":"Wakamatsu","given":"Kazumasa","non-dropping-particle":"","parse-names":false,"suffix":""},{"dropping-particle":"","family":"Ito","given":"Shosuke","non-dropping-particle":"","parse-names":false,"suffix":""},{"dropping-particle":"","family":"Wogelius","given":"Roy A.","non-dropping-particle":"","parse-names":false,"suffix":""}],"container-title":"Scientific Reports","id":"ITEM-2","issue":"1","issued":{"date-parts":[["2016"]]},"page":"1-10","publisher":"Nature Publishing Group","title":"Elemental characterisation of melanin in feathers via synchrotron X-ray imaging and absorption spectroscopy","type":"article-journal","volume":"6"},"uris":["http://www.mendeley.com/documents/?uuid=9036ce4a-9097-4af4-9be6-3d8bbb8240c1"]}],"mendeley":{"formattedCitation":"&lt;sup&gt;20,28&lt;/sup&gt;","plainTextFormattedCitation":"20,28","previouslyFormattedCitation":"(Edwards et al., 2016; Wogelius et al., 2011)"},"properties":{"noteIndex":0},"schema":"https://github.com/citation-style-language/schema/raw/master/csl-citation.json"}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20,28</w:t>
      </w:r>
      <w:r w:rsidRPr="007621E8">
        <w:rPr>
          <w:rFonts w:cstheme="minorHAnsi"/>
          <w:lang w:val="en-GB"/>
        </w:rPr>
        <w:fldChar w:fldCharType="end"/>
      </w:r>
      <w:r w:rsidRPr="007621E8">
        <w:rPr>
          <w:rFonts w:cstheme="minorHAnsi"/>
          <w:lang w:val="en-GB"/>
        </w:rPr>
        <w:t xml:space="preserve">. A recent study was able to positively identify the distribution of trace elements allegedly reminiscent of melanins in extant feathers </w:t>
      </w:r>
      <w:r w:rsidRPr="007621E8">
        <w:rPr>
          <w:rFonts w:cstheme="minorHAnsi"/>
          <w:lang w:val="en-GB"/>
        </w:rPr>
        <w:fldChar w:fldCharType="begin" w:fldLock="1"/>
      </w:r>
      <w:r w:rsidR="00F302D2">
        <w:rPr>
          <w:rFonts w:cstheme="minorHAnsi"/>
          <w:lang w:val="en-GB"/>
        </w:rPr>
        <w:instrText>ADDIN CSL_CITATION {"citationItems":[{"id":"ITEM-1","itemData":{"DOI":"10.1038/srep34002","author":[{"dropping-particle":"","family":"Edwards","given":"Nicholas P.","non-dropping-particle":"","parse-names":false,"suffix":""},{"dropping-particle":"","family":"Veelen","given":"Arjen","non-dropping-particle":"Van","parse-names":false,"suffix":""},{"dropping-particle":"","family":"Anné","given":"Jennifer","non-dropping-particle":"","parse-names":false,"suffix":""},{"dropping-particle":"","family":"Manning","given":"Phillip L.","non-dropping-particle":"","parse-names":false,"suffix":""},{"dropping-particle":"","family":"Bergmann","given":"Uwe","non-dropping-particle":"","parse-names":false,"suffix":""},{"dropping-particle":"","family":"Sellers","given":"William I.","non-dropping-particle":"","parse-names":false,"suffix":""},{"dropping-particle":"","family":"Egerton","given":"Victoria M.","non-dropping-particle":"","parse-names":false,"suffix":""},{"dropping-particle":"","family":"Sokaras","given":"Dimosthenis","non-dropping-particle":"","parse-names":false,"suffix":""},{"dropping-particle":"","family":"Alonso-Mori","given":"Roberto","non-dropping-particle":"","parse-names":false,"suffix":""},{"dropping-particle":"","family":"Wakamatsu","given":"Kazumasa","non-dropping-particle":"","parse-names":false,"suffix":""},{"dropping-particle":"","family":"Ito","given":"Shosuke","non-dropping-particle":"","parse-names":false,"suffix":""},{"dropping-particle":"","family":"Wogelius","given":"Roy A.","non-dropping-particle":"","parse-names":false,"suffix":""}],"container-title":"Scientific Reports","id":"ITEM-1","issue":"1","issued":{"date-parts":[["2016"]]},"page":"1-10","publisher":"Nature Publishing Group","title":"Elemental characterisation of melanin in feathers via synchrotron X-ray imaging and absorption spectroscopy","type":"article-journal","volume":"6"},"uris":["http://www.mendeley.com/documents/?uuid=9036ce4a-9097-4af4-9be6-3d8bbb8240c1"]}],"mendeley":{"formattedCitation":"&lt;sup&gt;28&lt;/sup&gt;","plainTextFormattedCitation":"28","previouslyFormattedCitation":"(Edwards et al., 2016)"},"properties":{"noteIndex":0},"schema":"https://github.com/citation-style-language/schema/raw/master/csl-citation.json"}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28</w:t>
      </w:r>
      <w:r w:rsidRPr="007621E8">
        <w:rPr>
          <w:rFonts w:cstheme="minorHAnsi"/>
          <w:lang w:val="en-GB"/>
        </w:rPr>
        <w:fldChar w:fldCharType="end"/>
      </w:r>
      <w:r w:rsidRPr="007621E8">
        <w:rPr>
          <w:rFonts w:cstheme="minorHAnsi"/>
          <w:lang w:val="en-GB"/>
        </w:rPr>
        <w:t xml:space="preserve">. Despite being recognized in trace amounts, we were able to identify elemental distribution in CPCA 3590 samples. Following the analyses, we examined possible sources for the identified elements in </w:t>
      </w:r>
      <w:r w:rsidRPr="007621E8">
        <w:rPr>
          <w:rFonts w:cstheme="minorHAnsi"/>
          <w:i/>
          <w:lang w:val="en-GB"/>
        </w:rPr>
        <w:t>T. imperator</w:t>
      </w:r>
      <w:r w:rsidRPr="007621E8">
        <w:rPr>
          <w:rFonts w:cstheme="minorHAnsi"/>
          <w:lang w:val="en-GB"/>
        </w:rPr>
        <w:t xml:space="preserve"> headcrest.</w:t>
      </w:r>
    </w:p>
    <w:p w14:paraId="25F271CD" w14:textId="75704273" w:rsidR="008906C4" w:rsidRPr="007621E8" w:rsidRDefault="008906C4" w:rsidP="008906C4">
      <w:pPr>
        <w:spacing w:after="0" w:line="360" w:lineRule="auto"/>
        <w:ind w:firstLine="708"/>
        <w:rPr>
          <w:rFonts w:cstheme="minorHAnsi"/>
          <w:lang w:val="en-GB"/>
        </w:rPr>
      </w:pPr>
      <w:r w:rsidRPr="007621E8">
        <w:rPr>
          <w:rFonts w:cstheme="minorHAnsi"/>
          <w:lang w:val="en-GB"/>
        </w:rPr>
        <w:t xml:space="preserve">The intense presence of calcium is considered here as being mainly derived from matrix carbonate. Moreover, it is also possible that lower concentrations might be derived from the fossil itself, since this ion can be found in apatite </w:t>
      </w:r>
      <w:r w:rsidRPr="007621E8">
        <w:rPr>
          <w:rFonts w:cstheme="minorHAnsi"/>
          <w:lang w:val="en-GB"/>
        </w:rPr>
        <w:fldChar w:fldCharType="begin" w:fldLock="1"/>
      </w:r>
      <w:r w:rsidR="00F302D2">
        <w:rPr>
          <w:rFonts w:cstheme="minorHAnsi"/>
          <w:lang w:val="en-GB"/>
        </w:rPr>
        <w:instrText>ADDIN CSL_CITATION {"citationItems":[{"id":"ITEM-1","itemData":{"DOI":"10.1007/s11999-010-1692-y","ISBN":"1199901016","ISSN":"15281132","abstract":"Progress in the diagnosis and prediction of fragility fractures depends on improvements to the understating of the compositional contributors of bone quality to mechanical competence. Raman spectroscopy has been used to evaluate alterations to bone composition associated with aging, disease, or injury.","author":[{"dropping-particle":"","family":"Morris","given":"Michael D.","non-dropping-particle":"","parse-names":false,"suffix":""},{"dropping-particle":"","family":"Mandair","given":"Gurjit S.","non-dropping-particle":"","parse-names":false,"suffix":""}],"container-title":"Clinical Orthopaedics and Related Research","id":"ITEM-1","issue":"8","issued":{"date-parts":[["2011"]]},"page":"2160-2169","title":"Raman assessment of bone quality","type":"article-journal","volume":"469"},"uris":["http://www.mendeley.com/documents/?uuid=402ba09e-6410-48cc-b162-0c637b90808a"]}],"mendeley":{"formattedCitation":"&lt;sup&gt;29&lt;/sup&gt;","plainTextFormattedCitation":"29","previouslyFormattedCitation":"(Morris and Mandair, 2011)"},"properties":{"noteIndex":0},"schema":"https://github.com/citation-style-language/schema/raw/master/csl-citation.json"}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29</w:t>
      </w:r>
      <w:r w:rsidRPr="007621E8">
        <w:rPr>
          <w:rFonts w:cstheme="minorHAnsi"/>
          <w:lang w:val="en-GB"/>
        </w:rPr>
        <w:fldChar w:fldCharType="end"/>
      </w:r>
      <w:r w:rsidRPr="007621E8">
        <w:rPr>
          <w:rFonts w:cstheme="minorHAnsi"/>
          <w:lang w:val="en-GB"/>
        </w:rPr>
        <w:t xml:space="preserve"> or incorporated into melanin </w:t>
      </w:r>
      <w:r w:rsidRPr="007621E8">
        <w:rPr>
          <w:rFonts w:cstheme="minorHAnsi"/>
          <w:lang w:val="en-GB"/>
        </w:rPr>
        <w:fldChar w:fldCharType="begin" w:fldLock="1"/>
      </w:r>
      <w:r w:rsidR="00F302D2">
        <w:rPr>
          <w:rFonts w:cstheme="minorHAnsi"/>
          <w:lang w:val="en-GB"/>
        </w:rPr>
        <w:instrText>ADDIN CSL_CITATION {"citationItems":[{"id":"ITEM-1","itemData":{"DOI":"10.1562/2004-05-17-RA-172.1","ISSN":"0031-8655","abstract":"The binding of Mg(II), Ca(II), Zn(II), Cu(II) and Fe(III) to ETDA-washed Sepia melanin is quantified by inductively coupled plasma mass spectrometry. By monitoring the solution pH change associated with metal uptake, it is concluded that Mg(II), Ca(II) and Zn(II) bind to carboxylic acid groups in melanin, Cu(II) binds to hydroxyl (OH) groups and Fe(III) binds to OH or amine groups. The aerobic reactivity of melanins with different metal contents is analyzed by examining their ability to cause strand breaks in supercoiled pUC18 DNA. Cu(II)- and Fe(III)-enriched melanins induce the most damage. Hydroxyl radical, *OH, is proposed to be one of the reactive oxygen species responsible.","author":[{"dropping-particle":"","family":"Hong","given":"Lian","non-dropping-particle":"","parse-names":false,"suffix":""},{"dropping-particle":"","family":"Liu","given":"Yan","non-dropping-particle":"","parse-names":false,"suffix":""},{"dropping-particle":"","family":"Simon","given":"John D.","non-dropping-particle":"","parse-names":false,"suffix":""}],"container-title":"Photochemistry and Photobiology","id":"ITEM-1","issue":"3","issued":{"date-parts":[["2004","4","30"]]},"page":"477","title":"Binding of Metal Ions to Melanin and Their Effects on the Aerobic Reactivity","type":"article-journal","volume":"80"},"uris":["http://www.mendeley.com/documents/?uuid=6428fec2-16d5-4048-a1e0-d0e7684e386e"]}],"mendeley":{"formattedCitation":"&lt;sup&gt;30&lt;/sup&gt;","plainTextFormattedCitation":"30","previouslyFormattedCitation":"(Hong et al., 2004)"},"properties":{"noteIndex":0},"schema":"https://github.com/citation-style-language/schema/raw/master/csl-citation.json"}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30</w:t>
      </w:r>
      <w:r w:rsidRPr="007621E8">
        <w:rPr>
          <w:rFonts w:cstheme="minorHAnsi"/>
          <w:lang w:val="en-GB"/>
        </w:rPr>
        <w:fldChar w:fldCharType="end"/>
      </w:r>
      <w:r w:rsidRPr="007621E8">
        <w:rPr>
          <w:rFonts w:cstheme="minorHAnsi"/>
          <w:lang w:val="en-GB"/>
        </w:rPr>
        <w:t>. On the other hand, the source of manganese might be allochthonous, as this mineral is usually found in its oxidized pyrolusite (MnO</w:t>
      </w:r>
      <w:r w:rsidRPr="007621E8">
        <w:rPr>
          <w:rFonts w:cstheme="minorHAnsi"/>
          <w:vertAlign w:val="subscript"/>
          <w:lang w:val="en-GB"/>
        </w:rPr>
        <w:t>2</w:t>
      </w:r>
      <w:r w:rsidRPr="007621E8">
        <w:rPr>
          <w:rFonts w:cstheme="minorHAnsi"/>
          <w:lang w:val="en-GB"/>
        </w:rPr>
        <w:t xml:space="preserve">) form </w:t>
      </w:r>
      <w:r w:rsidRPr="007621E8">
        <w:rPr>
          <w:rFonts w:cstheme="minorHAnsi"/>
          <w:lang w:val="en-GB"/>
        </w:rPr>
        <w:fldChar w:fldCharType="begin" w:fldLock="1"/>
      </w:r>
      <w:r w:rsidR="00F302D2">
        <w:rPr>
          <w:rFonts w:cstheme="minorHAnsi"/>
          <w:lang w:val="en-GB"/>
        </w:rPr>
        <w:instrText>ADDIN CSL_CITATION {"citationItems":[{"id":"ITEM-1","itemData":{"DOI":"10.1039/C4JA00395K","ISSN":"0267-9477","abstract":"The preservation of fossils reflects the interplay of inorganic and organic chemical processes, which should be clearly differentiated to make interpretations about the biology of extinct organisms. A new coliiformes bird (mouse bird) from the ?50 million year old Green River Formation (Wyoming, USA) has here been analysed using synchrotron X-ray fluorescence and environmental scanning electron microscopy with an attached X-ray energy dispersive system (ESEM-EDS). The concentration and distribution of 16 elements (Si, P, S, Cl, K, Ca, Ti, Mg, Fe, Ni, Cu, Zn, As, Br, Ba, Hg) has been mapped for individual points on the sample. S, Cu and Zn map distinctly within visibly preserved feathers and X-ray Absorption Spectroscopy (XAS) shows that S and Cu within the feathers are organically bound in a similar manner to modern feathers. The morphological preservation of the feathers, on both macro- and microscopic scales, is variable throughout the fossil and the differences in the lateral microfacies have resulted in a morphological preservation gradient. This study clearly differentiates endogenous organic remains from those representing exogenous overprinted geochemical precipitates and illustrates the chemical complexity of the overall taphonomic process.","author":[{"dropping-particle":"","family":"Egerton","given":"Victoria M.","non-dropping-particle":"","parse-names":false,"suffix":""},{"dropping-particle":"","family":"Wogelius","given":"Roy A.","non-dropping-particle":"","parse-names":false,"suffix":""},{"dropping-particle":"","family":"Norell","given":"Mark A.","non-dropping-particle":"","parse-names":false,"suffix":""},{"dropping-particle":"","family":"Edwards","given":"Nicholas P.","non-dropping-particle":"","parse-names":false,"suffix":""},{"dropping-particle":"","family":"Sellers","given":"William I.","non-dropping-particle":"","parse-names":false,"suffix":""},{"dropping-particle":"","family":"Bergmann","given":"Uwe","non-dropping-particle":"","parse-names":false,"suffix":""},{"dropping-particle":"","family":"Sokaras","given":"Dimosthenis","non-dropping-particle":"","parse-names":false,"suffix":""},{"dropping-particle":"","family":"Alonso-Mori","given":"Roberto","non-dropping-particle":"","parse-names":false,"suffix":""},{"dropping-particle":"","family":"Ignatyev","given":"Konstantin","non-dropping-particle":"","parse-names":false,"suffix":""},{"dropping-particle":"","family":"Veelen","given":"Arjen","non-dropping-particle":"Van","parse-names":false,"suffix":""},{"dropping-particle":"","family":"Anné","given":"Jennifer","non-dropping-particle":"","parse-names":false,"suffix":""},{"dropping-particle":"","family":"Dongen","given":"Bart E.","non-dropping-particle":"Van","parse-names":false,"suffix":""},{"dropping-particle":"","family":"Knoll","given":"Fabien","non-dropping-particle":"","parse-names":false,"suffix":""},{"dropping-particle":"","family":"Manning","given":"Phillip L.","non-dropping-particle":"","parse-names":false,"suffix":""}],"container-title":"Journal of Analytical Atomic Spectrometry","id":"ITEM-1","issue":"3","issued":{"date-parts":[["2015"]]},"page":"627-634","title":"The mapping and differentiation of biological and environmental elemental signatures in the fossil remains of a 50 million year old bird","type":"article-journal","volume":"30"},"uris":["http://www.mendeley.com/documents/?uuid=53abb69d-ab5e-4881-aabd-5e7be6f2107f"]}],"mendeley":{"formattedCitation":"&lt;sup&gt;31&lt;/sup&gt;","plainTextFormattedCitation":"31","previouslyFormattedCitation":"(Egerton et al., 2015)"},"properties":{"noteIndex":0},"schema":"https://github.com/citation-style-language/schema/raw/master/csl-citation.json"}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31</w:t>
      </w:r>
      <w:r w:rsidRPr="007621E8">
        <w:rPr>
          <w:rFonts w:cstheme="minorHAnsi"/>
          <w:lang w:val="en-GB"/>
        </w:rPr>
        <w:fldChar w:fldCharType="end"/>
      </w:r>
      <w:r w:rsidRPr="007621E8">
        <w:rPr>
          <w:rFonts w:cstheme="minorHAnsi"/>
          <w:lang w:val="en-GB"/>
        </w:rPr>
        <w:t xml:space="preserve">. Indeed, this mineral has already been reported in the Crato beds as a component of dendritic habits that are sometimes associated with fossils </w:t>
      </w:r>
      <w:r w:rsidRPr="007621E8">
        <w:rPr>
          <w:rFonts w:cstheme="minorHAnsi"/>
          <w:lang w:val="en-GB"/>
        </w:rPr>
        <w:fldChar w:fldCharType="begin" w:fldLock="1"/>
      </w:r>
      <w:r w:rsidR="00F302D2">
        <w:rPr>
          <w:rFonts w:cstheme="minorHAnsi"/>
          <w:lang w:val="en-GB"/>
        </w:rPr>
        <w:instrText>ADDIN CSL_CITATION {"citationItems":[{"id":"ITEM-1","itemData":{"DOI":"10.1017/CBO9780511535512.005","ISBN":"9780511535512","abstract":"Although the exceptionally preserved fossils from the Crato Formation have attracted a multitude of palaeontological studies dealing predominantly with the systematics and taxonomy of the assemblage, reports on the sedimentology and depositional environment of this important Fossil Lagerst¨atte are rather scarce. There are even fewer studies on the geochemistry and sedimentary diagenesis of the formation. A few exceptions include analyses of the organic matter composition (Baudin and Berthou, 1996; Neumann, 1999; Neumann et al., 2003) and a study of evaporite mineral pseudomorphism in the Nova Olinda Member (Martill et al., 2007). Some workers have examined spot samples from the Crato Formation in studies on the Araripe Group as a whole (e.g. Berthou et al., 1990) and a few assessments of the palaeoenvironment have been undertaken (Cavalcanti andViana, 1990; Martill and Wilby, 1993). For a better understanding of the unusual taphonomy and exceptional preservation of the Crato fossils, a more detailed knowledge of the physico-chemical conditions of the aquatic palaeoenvironment is necessary. Because the Crato Formation is a heterolithic sequence with both clastic and carbonate deposition, it is clear that many different and often contrasting environments are represented by the sedimentary sequence. Many previous analyses fail to address the situation, preferring to summarize the unit as a whole, and providing generally unsatisfactory interpretations. Here we concentrate on the sedimentology and geochemistry of the Nova Olinda Member of the Crato Formation, with a view to elucidating the sedimentary and diagenetic environment that resulted in the exquisite preservation of the fossil assemblage. We draw on data from other parts of the Crato Formation sequence to enable us to place the Nova Olinda Member sedimentary environment in its wider context","author":[{"dropping-particle":"","family":"Heimhofer","given":"Ulrich","non-dropping-particle":"","parse-names":false,"suffix":""},{"dropping-particle":"","family":"Martill","given":"David M.","non-dropping-particle":"","parse-names":false,"suffix":""}],"container-title":"The Crato Fossil Beds of Brazil: Window into an Ancient World","editor":[{"dropping-particle":"","family":"Martill","given":"David M.","non-dropping-particle":"","parse-names":false,"suffix":""},{"dropping-particle":"","family":"Bechly","given":"Günther","non-dropping-particle":"","parse-names":false,"suffix":""},{"dropping-particle":"","family":"Loveridge","given":"Robert F.","non-dropping-particle":"","parse-names":false,"suffix":""}],"id":"ITEM-1","issued":{"date-parts":[["2007"]]},"page":"44-62","publisher":"Cambridge University Press","publisher-place":"Oxford, UK","title":"The sedimentology and depositional environment of the Crato Formation","type":"chapter"},"uris":["http://www.mendeley.com/documents/?uuid=953ecd1a-0079-4b0a-909c-9861fda22359"]}],"mendeley":{"formattedCitation":"&lt;sup&gt;7&lt;/sup&gt;","plainTextFormattedCitation":"7","previouslyFormattedCitation":"(Heimhofer and Martill, 2007)"},"properties":{"noteIndex":0},"schema":"https://github.com/citation-style-language/schema/raw/master/csl-citation.json"}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7</w:t>
      </w:r>
      <w:r w:rsidRPr="007621E8">
        <w:rPr>
          <w:rFonts w:cstheme="minorHAnsi"/>
          <w:lang w:val="en-GB"/>
        </w:rPr>
        <w:fldChar w:fldCharType="end"/>
      </w:r>
      <w:r w:rsidRPr="007621E8">
        <w:rPr>
          <w:rFonts w:cstheme="minorHAnsi"/>
          <w:lang w:val="en-GB"/>
        </w:rPr>
        <w:t xml:space="preserve">. Since copper, iron, and zinc are essential to some physiological processes, the presence of these elements is often considered as autochthonous (or parautochthonous in the case of Fe), is derived from the animal itself or </w:t>
      </w:r>
      <w:r w:rsidR="0045436B">
        <w:rPr>
          <w:rFonts w:cstheme="minorHAnsi"/>
          <w:lang w:val="en-GB"/>
        </w:rPr>
        <w:t>its</w:t>
      </w:r>
      <w:r w:rsidRPr="007621E8">
        <w:rPr>
          <w:rFonts w:cstheme="minorHAnsi"/>
          <w:lang w:val="en-GB"/>
        </w:rPr>
        <w:t xml:space="preserve"> environment </w:t>
      </w:r>
      <w:r w:rsidRPr="007621E8">
        <w:rPr>
          <w:rFonts w:cstheme="minorHAnsi"/>
          <w:lang w:val="en-GB"/>
        </w:rPr>
        <w:fldChar w:fldCharType="begin" w:fldLock="1"/>
      </w:r>
      <w:r w:rsidR="00F302D2">
        <w:rPr>
          <w:rFonts w:cstheme="minorHAnsi"/>
          <w:lang w:val="en-GB"/>
        </w:rPr>
        <w:instrText>ADDIN CSL_CITATION {"citationItems":[{"id":"ITEM-1","itemData":{"DOI":"10.1073/pnas.1001569107","ISSN":"0027-8424","abstract":"Evolution of flight in maniraptoran dinosaurs is marked by the acquisition of distinct avian characters, such as feathers, as seen in Archaeopteryx from the Solnhofen limestone. These rare fossils were pivotal in confirming the dinosauria-avian lineage. One of the key derived avian characters is the possession of feathers, details of which were remarkably preserved in the Lagerstätte environment. These structures were previously simply assumed to be impressions; however, a detailed chemical analysis has, until now, never been completed on any Archaeopteryx specimen. Here we present chemical imaging via synchrotron rapid scanning X-ray fluorescence (SRS-XRF) of the Thermopolis Archaeopteryx, which shows that portions of the feathers are not impressions but are in fact remnant body fossil structures, maintaining elemental compositions that are completely different from the embedding geological matrix. Our results indicate phosphorous and sulfur retention in soft tissue as well as trace metal (Zn and Cu) retention in bone. Other previously unknown chemical details of Archaeopteryx are also revealed in this study including: bone chemistry, taphonomy (fossilization process), and curation artifacts. SRS-XRF represents a major advancement in the study of the life chemistry and fossilization processes of Archaeopteryx and other extinct organisms because it is now practical to image the chemistry of large specimens rapidly at concentration levels of parts per million. This technique has wider application to the archaeological, forensic, and biological sciences, enabling the mapping of \"unseen\" compounds critical to understanding biological structures, modes of preservation, and environmental context.","author":[{"dropping-particle":"","family":"Bergmann","given":"U.","non-dropping-particle":"","parse-names":false,"suffix":""},{"dropping-particle":"","family":"Morton","given":"R. W.","non-dropping-particle":"","parse-names":false,"suffix":""},{"dropping-particle":"","family":"Manning","given":"P. L.","non-dropping-particle":"","parse-names":false,"suffix":""},{"dropping-particle":"","family":"Sellers","given":"W. I.","non-dropping-particle":"","parse-names":false,"suffix":""},{"dropping-particle":"","family":"Farrar","given":"S.","non-dropping-particle":"","parse-names":false,"suffix":""},{"dropping-particle":"","family":"Huntley","given":"K. G.","non-dropping-particle":"","parse-names":false,"suffix":""},{"dropping-particle":"","family":"Wogelius","given":"R. A.","non-dropping-particle":"","parse-names":false,"suffix":""},{"dropping-particle":"","family":"Larson","given":"P. L.","non-dropping-particle":"","parse-names":false,"suffix":""}],"container-title":"Proceedings of the National Academy of Sciences","id":"ITEM-1","issue":"20","issued":{"date-parts":[["2010"]]},"page":"9060-9065","title":"Archaeopteryx feathers and bone chemistry fully revealed via synchrotron imaging","type":"article-journal","volume":"107"},"uris":["http://www.mendeley.com/documents/?uuid=7600f619-ed9e-44af-84a3-cd8c7fc3dae5"]}],"mendeley":{"formattedCitation":"&lt;sup&gt;21&lt;/sup&gt;","plainTextFormattedCitation":"21","previouslyFormattedCitation":"(Bergmann et al., 2010)"},"properties":{"noteIndex":0},"schema":"https://github.com/citation-style-language/schema/raw/master/csl-citation.json"}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21</w:t>
      </w:r>
      <w:r w:rsidRPr="007621E8">
        <w:rPr>
          <w:rFonts w:cstheme="minorHAnsi"/>
          <w:lang w:val="en-GB"/>
        </w:rPr>
        <w:fldChar w:fldCharType="end"/>
      </w:r>
      <w:r w:rsidRPr="007621E8">
        <w:rPr>
          <w:rFonts w:cstheme="minorHAnsi"/>
          <w:lang w:val="en-GB"/>
        </w:rPr>
        <w:t xml:space="preserve">. Some authors also suggest that, because Cu, Zn, and S have high affinity </w:t>
      </w:r>
      <w:r w:rsidR="0045436B">
        <w:rPr>
          <w:rFonts w:cstheme="minorHAnsi"/>
          <w:lang w:val="en-GB"/>
        </w:rPr>
        <w:t>to</w:t>
      </w:r>
      <w:r w:rsidRPr="007621E8">
        <w:rPr>
          <w:rFonts w:cstheme="minorHAnsi"/>
          <w:lang w:val="en-GB"/>
        </w:rPr>
        <w:t xml:space="preserve"> melanin, these elements may form organic chelates which in turn</w:t>
      </w:r>
      <w:r w:rsidR="0045436B">
        <w:rPr>
          <w:rFonts w:cstheme="minorHAnsi"/>
          <w:lang w:val="en-GB"/>
        </w:rPr>
        <w:t xml:space="preserve"> may serve as</w:t>
      </w:r>
      <w:r w:rsidRPr="007621E8">
        <w:rPr>
          <w:rFonts w:cstheme="minorHAnsi"/>
          <w:lang w:val="en-GB"/>
        </w:rPr>
        <w:t xml:space="preserve"> markers for this pigment </w:t>
      </w:r>
      <w:r w:rsidRPr="007621E8">
        <w:rPr>
          <w:rFonts w:cstheme="minorHAnsi"/>
          <w:lang w:val="en-GB"/>
        </w:rPr>
        <w:fldChar w:fldCharType="begin" w:fldLock="1"/>
      </w:r>
      <w:r w:rsidR="00F302D2">
        <w:rPr>
          <w:rFonts w:cstheme="minorHAnsi"/>
          <w:lang w:val="en-GB"/>
        </w:rPr>
        <w:instrText>ADDIN CSL_CITATION {"citationItems":[{"id":"ITEM-1","itemData":{"DOI":"10.1039/c3ja50077b","ISBN":"0267-9477","ISSN":"13645544","abstract":"Charles Darwin acknowledged the importance of colour in the natural selection of bird plumage. Colour can indicate age, sex, and diet, as well as play roles in camouflage, mating and establishing territories. Feather and integument colour depend on both chemical and structural characteristics and so melanosome structure and trace metal biomarkers can be used to infer colour and pigment patterns in a range of extant and fossil organisms. In this study, three key specimens of Archaeopteryx were subjected to non-destructive chemical analysis in order to investigate the potential preservation of original pigmentation in early fossil feathers. Synchrotron Rapid Scanning X-ray Fluorescence (SRS-XRF) maps are combined with sulphur X-ray Absorption Near Edge Structure (XANES) spectroscopy to provide the first map of organic sulphur distribution within whole fossils, and demonstrate that organically derived endogenous compounds are present. The distribution of trace-metals and organic sulphur in Archaeopteryx strongly suggests that remnants of endogenous eumelanin pigment have been preserved in the feathers of this iconic fossil. These distributions are used here to predict the complete feather pigment pattern and show that the distal tips and outer vanes of feathers were more heavily pigmented than inner vanes, contrary to recent studies. This pigment adaptation might have impacted upon the structural and mechanical properties of early feathers, steering plumage evolution in Archaeopteryx and other feathered theropod dinosaurs.","author":[{"dropping-particle":"","family":"Manning","given":"Phillip L.","non-dropping-particle":"","parse-names":false,"suffix":""},{"dropping-particle":"","family":"Edwards","given":"Nicholas P.","non-dropping-particle":"","parse-names":false,"suffix":""},{"dropping-particle":"","family":"Wogelius","given":"Roy A.","non-dropping-particle":"","parse-names":false,"suffix":""},{"dropping-particle":"","family":"Bergmann","given":"Uwe","non-dropping-particle":"","parse-names":false,"suffix":""},{"dropping-particle":"","family":"Barden","given":"Holly E.","non-dropping-particle":"","parse-names":false,"suffix":""},{"dropping-particle":"","family":"Larson","given":"Peter L.","non-dropping-particle":"","parse-names":false,"suffix":""},{"dropping-particle":"","family":"Schwarz-Wings","given":"Daniela","non-dropping-particle":"","parse-names":false,"suffix":""},{"dropping-particle":"","family":"Egerton","given":"Victoria M.","non-dropping-particle":"","parse-names":false,"suffix":""},{"dropping-particle":"","family":"Sokaras","given":"Dimosthenis","non-dropping-particle":"","parse-names":false,"suffix":""},{"dropping-particle":"","family":"Mori","given":"Roberto A.","non-dropping-particle":"","parse-names":false,"suffix":""},{"dropping-particle":"","family":"Sellers","given":"William I.","non-dropping-particle":"","parse-names":false,"suffix":""}],"container-title":"Journal of Analytical Atomic Spectrometry","id":"ITEM-1","issue":"7","issued":{"date-parts":[["2013"]]},"page":"1024-1030","title":"Synchrotron-based chemical imaging reveals plumage patterns in a 150 million year old early bird","type":"article-journal","volume":"28"},"uris":["http://www.mendeley.com/documents/?uuid=8d1403c3-78c8-40cf-9fdf-55b4d4bd9557"]}],"mendeley":{"formattedCitation":"&lt;sup&gt;32&lt;/sup&gt;","plainTextFormattedCitation":"32","previouslyFormattedCitation":"(Manning et al., 2013)"},"properties":{"noteIndex":0},"schema":"https://github.com/citation-style-language/schema/raw/master/csl-citation.json"}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32</w:t>
      </w:r>
      <w:r w:rsidRPr="007621E8">
        <w:rPr>
          <w:rFonts w:cstheme="minorHAnsi"/>
          <w:lang w:val="en-GB"/>
        </w:rPr>
        <w:fldChar w:fldCharType="end"/>
      </w:r>
      <w:r w:rsidRPr="007621E8">
        <w:rPr>
          <w:rFonts w:cstheme="minorHAnsi"/>
          <w:lang w:val="en-GB"/>
        </w:rPr>
        <w:t xml:space="preserve">. However, sulphur was not identified in our SR-μXRF analysis, and Cu and Zn can be also incorporated by microbial activity or during diagenesis. </w:t>
      </w:r>
    </w:p>
    <w:p w14:paraId="61048D41" w14:textId="15A66DDA" w:rsidR="008906C4" w:rsidRPr="007621E8" w:rsidRDefault="008906C4" w:rsidP="008906C4">
      <w:pPr>
        <w:spacing w:after="0" w:line="360" w:lineRule="auto"/>
        <w:ind w:firstLine="708"/>
        <w:rPr>
          <w:rFonts w:cstheme="minorHAnsi"/>
          <w:lang w:val="en-GB"/>
        </w:rPr>
      </w:pPr>
      <w:r w:rsidRPr="007621E8">
        <w:rPr>
          <w:rFonts w:cstheme="minorHAnsi"/>
          <w:lang w:val="en-GB"/>
        </w:rPr>
        <w:t>We note that some of these interpretations are merely speculative since experiments to recognize element oxidation states, such as X-ray absorption near edge structure (XANES) are still needed. As such, these elements could be also derived from the environment, from the preserved organic matter, or eumelanin. We acknowledge that at least three possible causes might explain the presence of the trace metals, as follow: (</w:t>
      </w:r>
      <w:proofErr w:type="spellStart"/>
      <w:r w:rsidRPr="007621E8">
        <w:rPr>
          <w:rFonts w:cstheme="minorHAnsi"/>
          <w:lang w:val="en-GB"/>
        </w:rPr>
        <w:t>i</w:t>
      </w:r>
      <w:proofErr w:type="spellEnd"/>
      <w:r w:rsidRPr="007621E8">
        <w:rPr>
          <w:rFonts w:cstheme="minorHAnsi"/>
          <w:lang w:val="en-GB"/>
        </w:rPr>
        <w:t xml:space="preserve">) endogenously derived, since they are involved in physiological processes; (ii) accumulation during the lifespan, implying that the animal lived close to areas with elevated amounts of the recognized trace metals; or (iii) derived from diagenetic processes. Some of the identified elements, such as Ca, Cu, Fe, and Zn, are indeed involved in physiological processes and, thus, may be truly endogenous. The diagenesis, led by the lithostatic pressure, could result in migration of fluids to lesser pressured beds, and ions may have become chelated with the organic matter </w:t>
      </w:r>
      <w:r w:rsidRPr="007621E8">
        <w:rPr>
          <w:rFonts w:cstheme="minorHAnsi"/>
          <w:lang w:val="en-GB"/>
        </w:rPr>
        <w:fldChar w:fldCharType="begin" w:fldLock="1"/>
      </w:r>
      <w:r w:rsidR="00F302D2">
        <w:rPr>
          <w:rFonts w:cstheme="minorHAnsi"/>
          <w:lang w:val="en-GB"/>
        </w:rPr>
        <w:instrText>ADDIN CSL_CITATION {"citationItems":[{"id":"ITEM-1","itemData":{"DOI":"10.1073/pnas.1001569107","ISSN":"0027-8424","abstract":"Evolution of flight in maniraptoran dinosaurs is marked by the acquisition of distinct avian characters, such as feathers, as seen in Archaeopteryx from the Solnhofen limestone. These rare fossils were pivotal in confirming the dinosauria-avian lineage. One of the key derived avian characters is the possession of feathers, details of which were remarkably preserved in the Lagerstätte environment. These structures were previously simply assumed to be impressions; however, a detailed chemical analysis has, until now, never been completed on any Archaeopteryx specimen. Here we present chemical imaging via synchrotron rapid scanning X-ray fluorescence (SRS-XRF) of the Thermopolis Archaeopteryx, which shows that portions of the feathers are not impressions but are in fact remnant body fossil structures, maintaining elemental compositions that are completely different from the embedding geological matrix. Our results indicate phosphorous and sulfur retention in soft tissue as well as trace metal (Zn and Cu) retention in bone. Other previously unknown chemical details of Archaeopteryx are also revealed in this study including: bone chemistry, taphonomy (fossilization process), and curation artifacts. SRS-XRF represents a major advancement in the study of the life chemistry and fossilization processes of Archaeopteryx and other extinct organisms because it is now practical to image the chemistry of large specimens rapidly at concentration levels of parts per million. This technique has wider application to the archaeological, forensic, and biological sciences, enabling the mapping of \"unseen\" compounds critical to understanding biological structures, modes of preservation, and environmental context.","author":[{"dropping-particle":"","family":"Bergmann","given":"U.","non-dropping-particle":"","parse-names":false,"suffix":""},{"dropping-particle":"","family":"Morton","given":"R. W.","non-dropping-particle":"","parse-names":false,"suffix":""},{"dropping-particle":"","family":"Manning","given":"P. L.","non-dropping-particle":"","parse-names":false,"suffix":""},{"dropping-particle":"","family":"Sellers","given":"W. I.","non-dropping-particle":"","parse-names":false,"suffix":""},{"dropping-particle":"","family":"Farrar","given":"S.","non-dropping-particle":"","parse-names":false,"suffix":""},{"dropping-particle":"","family":"Huntley","given":"K. G.","non-dropping-particle":"","parse-names":false,"suffix":""},{"dropping-particle":"","family":"Wogelius","given":"R. A.","non-dropping-particle":"","parse-names":false,"suffix":""},{"dropping-particle":"","family":"Larson","given":"P. L.","non-dropping-particle":"","parse-names":false,"suffix":""}],"container-title":"Proceedings of the National Academy of Sciences","id":"ITEM-1","issue":"20","issued":{"date-parts":[["2010"]]},"page":"9060-9065","title":"Archaeopteryx feathers and bone chemistry fully revealed via synchrotron imaging","type":"article-journal","volume":"107"},"uris":["http://www.mendeley.com/documents/?uuid=7600f619-ed9e-44af-84a3-cd8c7fc3dae5"]},{"id":"ITEM-2","itemData":{"DOI":"10.1039/C4JA00395K","ISSN":"0267-9477","abstract":"The preservation of fossils reflects the interplay of inorganic and organic chemical processes, which should be clearly differentiated to make interpretations about the biology of extinct organisms. A new coliiformes bird (mouse bird) from the ?50 million year old Green River Formation (Wyoming, USA) has here been analysed using synchrotron X-ray fluorescence and environmental scanning electron microscopy with an attached X-ray energy dispersive system (ESEM-EDS). The concentration and distribution of 16 elements (Si, P, S, Cl, K, Ca, Ti, Mg, Fe, Ni, Cu, Zn, As, Br, Ba, Hg) has been mapped for individual points on the sample. S, Cu and Zn map distinctly within visibly preserved feathers and X-ray Absorption Spectroscopy (XAS) shows that S and Cu within the feathers are organically bound in a similar manner to modern feathers. The morphological preservation of the feathers, on both macro- and microscopic scales, is variable throughout the fossil and the differences in the lateral microfacies have resulted in a morphological preservation gradient. This study clearly differentiates endogenous organic remains from those representing exogenous overprinted geochemical precipitates and illustrates the chemical complexity of the overall taphonomic process.","author":[{"dropping-particle":"","family":"Egerton","given":"Victoria M.","non-dropping-particle":"","parse-names":false,"suffix":""},{"dropping-particle":"","family":"Wogelius","given":"Roy A.","non-dropping-particle":"","parse-names":false,"suffix":""},{"dropping-particle":"","family":"Norell","given":"Mark A.","non-dropping-particle":"","parse-names":false,"suffix":""},{"dropping-particle":"","family":"Edwards","given":"Nicholas P.","non-dropping-particle":"","parse-names":false,"suffix":""},{"dropping-particle":"","family":"Sellers","given":"William I.","non-dropping-particle":"","parse-names":false,"suffix":""},{"dropping-particle":"","family":"Bergmann","given":"Uwe","non-dropping-particle":"","parse-names":false,"suffix":""},{"dropping-particle":"","family":"Sokaras","given":"Dimosthenis","non-dropping-particle":"","parse-names":false,"suffix":""},{"dropping-particle":"","family":"Alonso-Mori","given":"Roberto","non-dropping-particle":"","parse-names":false,"suffix":""},{"dropping-particle":"","family":"Ignatyev","given":"Konstantin","non-dropping-particle":"","parse-names":false,"suffix":""},{"dropping-particle":"","family":"Veelen","given":"Arjen","non-dropping-particle":"Van","parse-names":false,"suffix":""},{"dropping-particle":"","family":"Anné","given":"Jennifer","non-dropping-particle":"","parse-names":false,"suffix":""},{"dropping-particle":"","family":"Dongen","given":"Bart E.","non-dropping-particle":"Van","parse-names":false,"suffix":""},{"dropping-particle":"","family":"Knoll","given":"Fabien","non-dropping-particle":"","parse-names":false,"suffix":""},{"dropping-particle":"","family":"Manning","given":"Phillip L.","non-dropping-particle":"","parse-names":false,"suffix":""}],"container-title":"Journal of Analytical Atomic Spectrometry","id":"ITEM-2","issue":"3","issued":{"date-parts":[["2015"]]},"page":"627-634","title":"The mapping and differentiation of biological and environmental elemental signatures in the fossil remains of a 50 million year old bird","type":"article-journal","volume":"30"},"uris":["http://www.mendeley.com/documents/?uuid=53abb69d-ab5e-4881-aabd-5e7be6f2107f"]}],"mendeley":{"formattedCitation":"&lt;sup&gt;21,31&lt;/sup&gt;","plainTextFormattedCitation":"21,31","previouslyFormattedCitation":"(Bergmann et al., 2010; Egerton et al., 2015)"},"properties":{"noteIndex":0},"schema":"https://github.com/citation-style-language/schema/raw/master/csl-citation.json"}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21,31</w:t>
      </w:r>
      <w:r w:rsidRPr="007621E8">
        <w:rPr>
          <w:rFonts w:cstheme="minorHAnsi"/>
          <w:lang w:val="en-GB"/>
        </w:rPr>
        <w:fldChar w:fldCharType="end"/>
      </w:r>
      <w:r w:rsidRPr="007621E8">
        <w:rPr>
          <w:rFonts w:cstheme="minorHAnsi"/>
          <w:lang w:val="en-GB"/>
        </w:rPr>
        <w:t xml:space="preserve">. Moreover, some could also replace others with similar atomic radius, as is the case, for instance, of Rare Earth Elements, as well as Sr and Ca. For instance, some Rare Earth Elements can substitute Ca </w:t>
      </w:r>
      <w:r w:rsidRPr="007621E8">
        <w:rPr>
          <w:lang w:val="en-GB"/>
        </w:rPr>
        <w:t xml:space="preserve">in apatite and calcite </w:t>
      </w:r>
      <w:r w:rsidRPr="007621E8">
        <w:rPr>
          <w:rFonts w:cstheme="minorHAnsi"/>
          <w:lang w:val="en-GB"/>
        </w:rPr>
        <w:t xml:space="preserve">during diagenesis, where these elements mainly occupy the Ca I and Ca II sites </w:t>
      </w:r>
      <w:r w:rsidRPr="007621E8">
        <w:rPr>
          <w:rFonts w:cstheme="minorHAnsi"/>
          <w:lang w:val="en-GB"/>
        </w:rPr>
        <w:fldChar w:fldCharType="begin" w:fldLock="1"/>
      </w:r>
      <w:r w:rsidR="00F302D2">
        <w:rPr>
          <w:rFonts w:cstheme="minorHAnsi"/>
          <w:lang w:val="en-GB"/>
        </w:rPr>
        <w:instrText>ADDIN CSL_CITATION {"citationItems":[{"id":"ITEM-1","itemData":{"DOI":"10.1515/am.2014.4311","ISSN":"0003004X","abstract":"The nature of the fluorescence in the frequency-shift range of 1000–2500 cm–1 observed in the Raman spectra of many minerals when excited by a 785 nm laser has been investigated. Among the trivalent rare earths only Nd3+ has the combination of a good ionic-radius match to substitute for Ca2+ and an arrangement of energy levels to produce fluorescence in the frequency-shift range of interest. Raman/ fluorescence spectra of six calcium-based minerals, namely fluorite, calcite, powellite, scheelite, apatite, and grossular/tsavorite, have been obtained at both room temperature and liquid-nitrogen temperature and transition assignments made for the majority of fluorescence lines in fluorite, powellite, scheelite, and grossular/tsavorite. The room-temperature results agree closely with results on individual minerals obtained by previous workers for fluorite and scheelite. The liquid-nitrogen-temperature results as well as the transition assignments for powellite and grossular/tsavorite are new. The Nd concentration has been measured by laser-ablation induction-coupled-plasma mass spectrometry (LA-ICP-MS) and cor- related with Nd3+ fluorescence intensity where possible. For fluorite, the fluorescence intensity increases at least linearly with concentration at levels up to a few parts per million and then saturates at higher levels due to concentration quenching. Analysis of room-temperature Raman/fluorescence spectra of a much larger group of minerals available on the RRUFF web site shows that strong or very strong Nd3+ fluorescence is much more likely in calcium-based minerals than in non-calcium-based ones and is completely absent for minerals containing iron in the chemical formula. Nd3+ fluorescence is best understood in fluorite and less well understood in the other five minerals. Further study of calcite, apatite, and grossular/tsavorite is necessary to improve the understanding of the charge-compensation mechanisms and increase the number of identified transitions in calcite and apatite. The results of this work indicate that Nd3+ fluorescence in calcium-based minerals, when excited by a 785 nm laser, has potential uses in three areas: mineral identification, structure characterization and determination of trace-element concentration.","author":[{"dropping-particle":"","family":"Chen","given":"Hongmei","non-dropping-particle":"","parse-names":false,"suffix":""},{"dropping-particle":"","family":"Stimets","given":"Richard W.","non-dropping-particle":"","parse-names":false,"suffix":""}],"container-title":"American Mineralogist","id":"ITEM-1","issue":"2-3","issued":{"date-parts":[["2014"]]},"page":"332-342","title":"Fluorescence of trivalent neodymium in various materials excited by a 785 nm laser","type":"article-journal","volume":"99"},"uris":["http://www.mendeley.com/documents/?uuid=8baf1cf3-821d-47e4-8394-e78e2cfc4d9e"]},{"id":"ITEM-2","itemData":{"DOI":"10.1017/S1551929515000024","ISSN":"1551-9295","author":[{"dropping-particle":"","family":"Gueriau","given":"Pierre","non-dropping-particle":"","parse-names":false,"suffix":""},{"dropping-particle":"","family":"Bertrand","given":"Loïc","non-dropping-particle":"","parse-names":false,"suffix":""}],"container-title":"Microscopy Today","id":"ITEM-2","issue":"03","issued":{"date-parts":[["2015"]]},"page":"20-25","title":"Deciphering Exceptional Preservation of Fossils Through Trace Elemental Imaging","type":"article-journal","volume":"23"},"uris":["http://www.mendeley.com/documents/?uuid=f9e529bb-9aec-47b8-ba38-174c59d6834f"]}],"mendeley":{"formattedCitation":"&lt;sup&gt;25,33&lt;/sup&gt;","plainTextFormattedCitation":"25,33","previouslyFormattedCitation":"(Chen and Stimets, 2014; Gueriau and Bertrand, 2015)"},"properties":{"noteIndex":0},"schema":"https://github.com/citation-style-language/schema/raw/master/csl-citation.json"}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25,33</w:t>
      </w:r>
      <w:r w:rsidRPr="007621E8">
        <w:rPr>
          <w:rFonts w:cstheme="minorHAnsi"/>
          <w:lang w:val="en-GB"/>
        </w:rPr>
        <w:fldChar w:fldCharType="end"/>
      </w:r>
      <w:r w:rsidRPr="007621E8">
        <w:rPr>
          <w:rFonts w:cstheme="minorHAnsi"/>
          <w:lang w:val="en-GB"/>
        </w:rPr>
        <w:t>.</w:t>
      </w:r>
    </w:p>
    <w:p w14:paraId="06ABD0E8" w14:textId="77777777" w:rsidR="008906C4" w:rsidRPr="007621E8" w:rsidRDefault="008906C4" w:rsidP="008906C4">
      <w:pPr>
        <w:spacing w:after="0" w:line="360" w:lineRule="auto"/>
        <w:rPr>
          <w:rFonts w:cstheme="minorHAnsi"/>
          <w:b/>
          <w:lang w:val="en-GB"/>
        </w:rPr>
      </w:pPr>
    </w:p>
    <w:p w14:paraId="087A030A" w14:textId="77777777" w:rsidR="008906C4" w:rsidRPr="007621E8" w:rsidRDefault="008906C4" w:rsidP="008906C4">
      <w:pPr>
        <w:spacing w:after="0" w:line="360" w:lineRule="auto"/>
        <w:rPr>
          <w:rFonts w:cstheme="minorHAnsi"/>
          <w:b/>
          <w:lang w:val="en-GB"/>
        </w:rPr>
      </w:pPr>
      <w:r w:rsidRPr="007621E8">
        <w:rPr>
          <w:rFonts w:cstheme="minorHAnsi"/>
          <w:b/>
          <w:lang w:val="en-GB"/>
        </w:rPr>
        <w:lastRenderedPageBreak/>
        <w:t>1.4. Raman Spectroscopy</w:t>
      </w:r>
    </w:p>
    <w:p w14:paraId="4BD3574C" w14:textId="7D3F178D" w:rsidR="008906C4" w:rsidRPr="007621E8" w:rsidRDefault="008906C4" w:rsidP="008906C4">
      <w:pPr>
        <w:spacing w:after="0" w:line="360" w:lineRule="auto"/>
        <w:rPr>
          <w:rFonts w:cstheme="minorHAnsi"/>
          <w:lang w:val="en-GB"/>
        </w:rPr>
      </w:pPr>
      <w:r w:rsidRPr="007621E8">
        <w:rPr>
          <w:rFonts w:cstheme="minorHAnsi"/>
          <w:lang w:val="en-GB"/>
        </w:rPr>
        <w:t>According to our results, the CPCA 3590 headcrest is mainly composed of calcium phosphate and eumelanin. These compounds were identified by diagnostic peaks among examined regions</w:t>
      </w:r>
      <w:r w:rsidR="0045436B">
        <w:rPr>
          <w:rFonts w:cstheme="minorHAnsi"/>
          <w:lang w:val="en-GB"/>
        </w:rPr>
        <w:t>, which varied in their intensities</w:t>
      </w:r>
      <w:r w:rsidRPr="007621E8">
        <w:rPr>
          <w:rFonts w:cstheme="minorHAnsi"/>
          <w:lang w:val="en-GB"/>
        </w:rPr>
        <w:t>. For instance, the PO</w:t>
      </w:r>
      <w:r w:rsidRPr="007621E8">
        <w:rPr>
          <w:rFonts w:cstheme="minorHAnsi"/>
          <w:vertAlign w:val="subscript"/>
          <w:lang w:val="en-GB"/>
        </w:rPr>
        <w:t>4</w:t>
      </w:r>
      <w:r w:rsidRPr="007621E8">
        <w:rPr>
          <w:rFonts w:cstheme="minorHAnsi"/>
          <w:vertAlign w:val="superscript"/>
          <w:lang w:val="en-GB"/>
        </w:rPr>
        <w:t>3-</w:t>
      </w:r>
      <w:r w:rsidRPr="007621E8">
        <w:rPr>
          <w:rFonts w:cstheme="minorHAnsi"/>
          <w:lang w:val="en-GB"/>
        </w:rPr>
        <w:t xml:space="preserve"> bands occur at ca. 965 cm</w:t>
      </w:r>
      <w:r w:rsidRPr="007621E8">
        <w:rPr>
          <w:rFonts w:cstheme="minorHAnsi"/>
          <w:vertAlign w:val="superscript"/>
          <w:lang w:val="en-GB"/>
        </w:rPr>
        <w:t>-1</w:t>
      </w:r>
      <w:r w:rsidRPr="007621E8">
        <w:rPr>
          <w:rFonts w:cstheme="minorHAnsi"/>
          <w:lang w:val="en-GB"/>
        </w:rPr>
        <w:t xml:space="preserve"> </w:t>
      </w:r>
      <w:r w:rsidRPr="007621E8">
        <w:rPr>
          <w:rFonts w:cstheme="minorHAnsi"/>
          <w:lang w:val="en-GB"/>
        </w:rPr>
        <w:fldChar w:fldCharType="begin" w:fldLock="1"/>
      </w:r>
      <w:r w:rsidR="00F302D2">
        <w:rPr>
          <w:rFonts w:cstheme="minorHAnsi"/>
          <w:lang w:val="en-GB"/>
        </w:rPr>
        <w:instrText>ADDIN CSL_CITATION {"citationItems":[{"id":"ITEM-1","itemData":{"DOI":"10.1007/s11999-010-1692-y","ISBN":"1199901016","ISSN":"15281132","abstract":"Progress in the diagnosis and prediction of fragility fractures depends on improvements to the understating of the compositional contributors of bone quality to mechanical competence. Raman spectroscopy has been used to evaluate alterations to bone composition associated with aging, disease, or injury.","author":[{"dropping-particle":"","family":"Morris","given":"Michael D.","non-dropping-particle":"","parse-names":false,"suffix":""},{"dropping-particle":"","family":"Mandair","given":"Gurjit S.","non-dropping-particle":"","parse-names":false,"suffix":""}],"container-title":"Clinical Orthopaedics and Related Research","id":"ITEM-1","issue":"8","issued":{"date-parts":[["2011"]]},"page":"2160-2169","title":"Raman assessment of bone quality","type":"article-journal","volume":"469"},"uris":["http://www.mendeley.com/documents/?uuid=402ba09e-6410-48cc-b162-0c637b90808a"]}],"mendeley":{"formattedCitation":"&lt;sup&gt;29&lt;/sup&gt;","plainTextFormattedCitation":"29","previouslyFormattedCitation":"(Morris and Mandair, 2011)"},"properties":{"noteIndex":0},"schema":"https://github.com/citation-style-language/schema/raw/master/csl-citation.json"}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29</w:t>
      </w:r>
      <w:r w:rsidRPr="007621E8">
        <w:rPr>
          <w:rFonts w:cstheme="minorHAnsi"/>
          <w:lang w:val="en-GB"/>
        </w:rPr>
        <w:fldChar w:fldCharType="end"/>
      </w:r>
      <w:r w:rsidRPr="007621E8">
        <w:rPr>
          <w:rFonts w:cstheme="minorHAnsi"/>
          <w:lang w:val="en-GB"/>
        </w:rPr>
        <w:t>, whereas the eumelanin between 1300 cm</w:t>
      </w:r>
      <w:r w:rsidRPr="007621E8">
        <w:rPr>
          <w:rFonts w:cstheme="minorHAnsi"/>
          <w:vertAlign w:val="superscript"/>
          <w:lang w:val="en-GB"/>
        </w:rPr>
        <w:t>-1</w:t>
      </w:r>
      <w:r w:rsidRPr="007621E8">
        <w:rPr>
          <w:rFonts w:cstheme="minorHAnsi"/>
          <w:lang w:val="en-GB"/>
        </w:rPr>
        <w:t xml:space="preserve"> and 1600 cm</w:t>
      </w:r>
      <w:r w:rsidRPr="007621E8">
        <w:rPr>
          <w:rFonts w:cstheme="minorHAnsi"/>
          <w:vertAlign w:val="superscript"/>
          <w:lang w:val="en-GB"/>
        </w:rPr>
        <w:t>-1</w:t>
      </w:r>
      <w:r w:rsidRPr="007621E8">
        <w:rPr>
          <w:rFonts w:cstheme="minorHAnsi"/>
          <w:lang w:val="en-GB"/>
        </w:rPr>
        <w:t xml:space="preserve"> </w:t>
      </w:r>
      <w:r w:rsidRPr="007621E8">
        <w:rPr>
          <w:rFonts w:cstheme="minorHAnsi"/>
          <w:lang w:val="en-GB"/>
        </w:rPr>
        <w:fldChar w:fldCharType="begin" w:fldLock="1"/>
      </w:r>
      <w:r w:rsidR="00F302D2">
        <w:rPr>
          <w:rFonts w:cstheme="minorHAnsi"/>
          <w:lang w:val="en-GB"/>
        </w:rPr>
        <w:instrText>ADDIN CSL_CITATION {"citationItems":[{"id":"ITEM-1","itemData":{"DOI":"10.1002/pi.5182","ISSN":"10970126","abstract":"Â© 2016 Society of Chemical IndustryWe report vibrational spectra of two types of eumelanin samples: a synthetic one, produced by oxidation of tyrosine with hydrogen peroxide, and a natural one, extracted from Sepia officinalis, with the aim of pointing out the differences between the main vibrational properties of such two pigments. Fourier transform infrared, Raman and surface-enhanced Raman scattering spectra allow the identification of several vibrational modes involving specific monomeric units. The main differences between the spectra of the two types of eumelanin are related to (i) a larger amount of carboxylic acid in the synthetic than in the natural sample; (ii) a shift of spectral position of corresponding peaks; and (iii) a contribution of residual proteins to the signals from the natural sample. Such results suggest that vibrational techniques may be helpful for non-destructively determining the composition of various eumelanin pigments, with potential applications in biomedical, electronic and cultural heritage fields. Â© 2016 Society of Chemical Industry.","author":[{"dropping-particle":"","family":"Perna","given":"Giuseppe","non-dropping-particle":"","parse-names":false,"suffix":""},{"dropping-particle":"","family":"Lasalvia","given":"Maria","non-dropping-particle":"","parse-names":false,"suffix":""},{"dropping-particle":"","family":"Capozzi","given":"Vito","non-dropping-particle":"","parse-names":false,"suffix":""}],"container-title":"Polymer International","id":"ITEM-1","issue":"11","issued":{"date-parts":[["2016"]]},"page":"1323-1330","title":"Vibrational spectroscopy of synthetic and natural eumelanin","type":"article-journal","volume":"65"},"uris":["http://www.mendeley.com/documents/?uuid=f918686c-94f0-4f4e-8b1d-9b953900a293"]}],"mendeley":{"formattedCitation":"&lt;sup&gt;34&lt;/sup&gt;","plainTextFormattedCitation":"34","previouslyFormattedCitation":"(Perna et al., 2016)"},"properties":{"noteIndex":0},"schema":"https://github.com/citation-style-language/schema/raw/master/csl-citation.json"}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34</w:t>
      </w:r>
      <w:r w:rsidRPr="007621E8">
        <w:rPr>
          <w:rFonts w:cstheme="minorHAnsi"/>
          <w:lang w:val="en-GB"/>
        </w:rPr>
        <w:fldChar w:fldCharType="end"/>
      </w:r>
      <w:r w:rsidRPr="007621E8">
        <w:rPr>
          <w:rFonts w:cstheme="minorHAnsi"/>
          <w:lang w:val="en-GB"/>
        </w:rPr>
        <w:t>. Furthermore, the phosphate spectra also exhibit bands of HCO</w:t>
      </w:r>
      <w:r w:rsidRPr="007621E8">
        <w:rPr>
          <w:rFonts w:cstheme="minorHAnsi"/>
          <w:vertAlign w:val="subscript"/>
          <w:lang w:val="en-GB"/>
        </w:rPr>
        <w:t>3</w:t>
      </w:r>
      <w:r w:rsidRPr="007621E8">
        <w:rPr>
          <w:rFonts w:cstheme="minorHAnsi"/>
          <w:vertAlign w:val="superscript"/>
          <w:lang w:val="en-GB"/>
        </w:rPr>
        <w:t>–</w:t>
      </w:r>
      <w:r w:rsidRPr="007621E8">
        <w:rPr>
          <w:rFonts w:cstheme="minorHAnsi"/>
          <w:lang w:val="en-GB"/>
        </w:rPr>
        <w:t xml:space="preserve"> (from calcium carbonate), which usually occur between 1085 cm</w:t>
      </w:r>
      <w:r w:rsidRPr="007621E8">
        <w:rPr>
          <w:rFonts w:cstheme="minorHAnsi"/>
          <w:vertAlign w:val="superscript"/>
          <w:lang w:val="en-GB"/>
        </w:rPr>
        <w:t>-1</w:t>
      </w:r>
      <w:r w:rsidRPr="007621E8">
        <w:rPr>
          <w:rFonts w:cstheme="minorHAnsi"/>
          <w:lang w:val="en-GB"/>
        </w:rPr>
        <w:t xml:space="preserve"> and 1092 cm</w:t>
      </w:r>
      <w:r w:rsidRPr="007621E8">
        <w:rPr>
          <w:rFonts w:cstheme="minorHAnsi"/>
          <w:vertAlign w:val="superscript"/>
          <w:lang w:val="en-GB"/>
        </w:rPr>
        <w:t>-1</w:t>
      </w:r>
      <w:r w:rsidRPr="007621E8">
        <w:rPr>
          <w:rFonts w:cstheme="minorHAnsi"/>
          <w:lang w:val="en-GB"/>
        </w:rPr>
        <w:t xml:space="preserve"> </w:t>
      </w:r>
      <w:r w:rsidRPr="007621E8">
        <w:rPr>
          <w:rFonts w:cstheme="minorHAnsi"/>
          <w:lang w:val="en-GB"/>
        </w:rPr>
        <w:fldChar w:fldCharType="begin" w:fldLock="1"/>
      </w:r>
      <w:r w:rsidR="00F302D2">
        <w:rPr>
          <w:rFonts w:cstheme="minorHAnsi"/>
          <w:lang w:val="en-GB"/>
        </w:rPr>
        <w:instrText>ADDIN CSL_CITATION {"citationItems":[{"id":"ITEM-1","itemData":{"DOI":"10.1002/jrs.1518","ISSN":"03770486","abstract":"The Raman and mid-range infrared spectra have been measured on natural limestone and dolomite minerals. The carbonate minerals show four prominent absorption bands in the regions 1450-1420, 890-870, 720-700 and 1000-1100 cm(-1). The positions of the wavenumbers are unique for each carbonate mineral and are thus diagnostic of their mineralogy. Calcite and dolomite groups are characterized by the Raman wavenumbers at 288 and 309 cm(-1) and the infrared absorption bands at 712 and 728 cm(-1), respectively. The principal wavenumber at 1092 cm(-1) in the limestone spectra is accompanied by two satellites with values of 1062 and 1075 cm(-1). The observed non-split peaks nu(2) and nu(4) in the infrared spectra of limestone indicate the presence of calcite structure in all these samples. The principal reflections occurring at the d-spacings, 3.03482, 1.91658 and 1.87962 angstrom, confirm the presence of calcite structure in limestone minerals. The principal reflections occurring at the d-spacings, 3.037, 1.79179 and 2.19750 angstrom, confirm the existence of dolomite structure in the dolomite minerals. The calculated lattice parameters for the limestone minerals are: a = 4.9781 angstrom, c = 17.1188 angstrom and V = 367.392(angstrom)(3) and the corresponding values for the dolomite minerals are: a = 4.8247 angstrom, c = 15.9868 angstrom and V = 322.28 (angstrom)(3). Copyright (c) 2006 John Wiley &amp; Sons, Ltd.","author":[{"dropping-particle":"","family":"Gunasekaran","given":"S.","non-dropping-particle":"","parse-names":false,"suffix":""},{"dropping-particle":"","family":"Anbalagan","given":"G.","non-dropping-particle":"","parse-names":false,"suffix":""},{"dropping-particle":"","family":"Pandi","given":"S.","non-dropping-particle":"","parse-names":false,"suffix":""}],"container-title":"Journal of Raman Spectroscopy","id":"ITEM-1","issue":"9","issued":{"date-parts":[["2006"]]},"page":"892-899","title":"Raman and infrared spectra of carbonates of calcite structure","type":"article-journal","volume":"37"},"uris":["http://www.mendeley.com/documents/?uuid=f6e6924e-cb80-4973-b10a-9e63f7b867c3"]}],"mendeley":{"formattedCitation":"&lt;sup&gt;35&lt;/sup&gt;","plainTextFormattedCitation":"35","previouslyFormattedCitation":"(Gunasekaran et al., 2006)"},"properties":{"noteIndex":0},"schema":"https://github.com/citation-style-language/schema/raw/master/csl-citation.json"}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35</w:t>
      </w:r>
      <w:r w:rsidRPr="007621E8">
        <w:rPr>
          <w:rFonts w:cstheme="minorHAnsi"/>
          <w:lang w:val="en-GB"/>
        </w:rPr>
        <w:fldChar w:fldCharType="end"/>
      </w:r>
      <w:r w:rsidRPr="007621E8">
        <w:rPr>
          <w:rFonts w:cstheme="minorHAnsi"/>
          <w:lang w:val="en-GB"/>
        </w:rPr>
        <w:t>. Thus, the overall spectra of the headcrest tissue consist of 282, 965, 1086 cm</w:t>
      </w:r>
      <w:r w:rsidRPr="007621E8">
        <w:rPr>
          <w:rFonts w:cstheme="minorHAnsi"/>
          <w:vertAlign w:val="superscript"/>
          <w:lang w:val="en-GB"/>
        </w:rPr>
        <w:t>-1</w:t>
      </w:r>
      <w:r w:rsidRPr="007621E8">
        <w:rPr>
          <w:rFonts w:cstheme="minorHAnsi"/>
          <w:lang w:val="en-GB"/>
        </w:rPr>
        <w:t xml:space="preserve"> bands (Fig. 2; Fig. S4), which are here assigned to the </w:t>
      </w:r>
      <w:r w:rsidRPr="007621E8">
        <w:rPr>
          <w:rFonts w:cstheme="minorHAnsi"/>
          <w:i/>
          <w:lang w:val="en-GB"/>
        </w:rPr>
        <w:t>v</w:t>
      </w:r>
      <w:r w:rsidRPr="007621E8">
        <w:rPr>
          <w:rFonts w:cstheme="minorHAnsi"/>
          <w:vertAlign w:val="subscript"/>
          <w:lang w:val="en-GB"/>
        </w:rPr>
        <w:t>1</w:t>
      </w:r>
      <w:r w:rsidRPr="007621E8">
        <w:rPr>
          <w:rFonts w:cstheme="minorHAnsi"/>
          <w:lang w:val="en-GB"/>
        </w:rPr>
        <w:t xml:space="preserve"> and </w:t>
      </w:r>
      <w:r w:rsidRPr="007621E8">
        <w:rPr>
          <w:rFonts w:cstheme="minorHAnsi"/>
          <w:i/>
          <w:lang w:val="en-GB"/>
        </w:rPr>
        <w:t>v</w:t>
      </w:r>
      <w:r w:rsidRPr="007621E8">
        <w:rPr>
          <w:rFonts w:cstheme="minorHAnsi"/>
          <w:vertAlign w:val="subscript"/>
          <w:lang w:val="en-GB"/>
        </w:rPr>
        <w:t>3</w:t>
      </w:r>
      <w:r w:rsidRPr="007621E8">
        <w:rPr>
          <w:rFonts w:cstheme="minorHAnsi"/>
          <w:lang w:val="en-GB"/>
        </w:rPr>
        <w:t xml:space="preserve"> vibrations of PO</w:t>
      </w:r>
      <w:r w:rsidRPr="007621E8">
        <w:rPr>
          <w:rFonts w:cstheme="minorHAnsi"/>
          <w:vertAlign w:val="subscript"/>
          <w:lang w:val="en-GB"/>
        </w:rPr>
        <w:t>4</w:t>
      </w:r>
      <w:r w:rsidRPr="007621E8">
        <w:rPr>
          <w:rFonts w:cstheme="minorHAnsi"/>
          <w:vertAlign w:val="superscript"/>
          <w:lang w:val="en-GB"/>
        </w:rPr>
        <w:t>3+</w:t>
      </w:r>
      <w:r w:rsidRPr="007621E8">
        <w:rPr>
          <w:rFonts w:cstheme="minorHAnsi"/>
          <w:lang w:val="en-GB"/>
        </w:rPr>
        <w:t xml:space="preserve"> and CO</w:t>
      </w:r>
      <w:r w:rsidRPr="007621E8">
        <w:rPr>
          <w:rFonts w:cstheme="minorHAnsi"/>
          <w:vertAlign w:val="subscript"/>
          <w:lang w:val="en-GB"/>
        </w:rPr>
        <w:t>3</w:t>
      </w:r>
      <w:r w:rsidRPr="007621E8">
        <w:rPr>
          <w:rFonts w:cstheme="minorHAnsi"/>
          <w:lang w:val="en-GB"/>
        </w:rPr>
        <w:t>, respectively. Both compounds exhibit different peak intensit</w:t>
      </w:r>
      <w:r w:rsidR="0045436B">
        <w:rPr>
          <w:rFonts w:cstheme="minorHAnsi"/>
          <w:lang w:val="en-GB"/>
        </w:rPr>
        <w:t>ies</w:t>
      </w:r>
      <w:r w:rsidRPr="007621E8">
        <w:rPr>
          <w:rFonts w:cstheme="minorHAnsi"/>
          <w:lang w:val="en-GB"/>
        </w:rPr>
        <w:t>, and, for carbonate, bands are strong and narrow, whereas for phosphate they are weak and narrow. This feature is indicative of an ordered crystalline lattice, and the difference in intensity may suggest a stronger influence of the overlying matrix, which may mask PO</w:t>
      </w:r>
      <w:r w:rsidRPr="007621E8">
        <w:rPr>
          <w:rFonts w:cstheme="minorHAnsi"/>
          <w:vertAlign w:val="subscript"/>
          <w:lang w:val="en-GB"/>
        </w:rPr>
        <w:t>4</w:t>
      </w:r>
      <w:r w:rsidRPr="007621E8">
        <w:rPr>
          <w:rFonts w:cstheme="minorHAnsi"/>
          <w:vertAlign w:val="superscript"/>
          <w:lang w:val="en-GB"/>
        </w:rPr>
        <w:t>3+</w:t>
      </w:r>
      <w:r w:rsidRPr="007621E8">
        <w:rPr>
          <w:rFonts w:cstheme="minorHAnsi"/>
          <w:lang w:val="en-GB"/>
        </w:rPr>
        <w:t xml:space="preserve"> scattering.</w:t>
      </w:r>
      <w:r w:rsidRPr="007621E8">
        <w:rPr>
          <w:lang w:val="en-GB"/>
        </w:rPr>
        <w:t xml:space="preserve"> </w:t>
      </w:r>
      <w:r w:rsidRPr="007621E8">
        <w:rPr>
          <w:rFonts w:cstheme="minorHAnsi"/>
          <w:lang w:val="en-GB"/>
        </w:rPr>
        <w:t>The comparative analysis indicates that CPCA 3590 sample spectra are more related to hydroxyapatite due to the presence of 318 cm</w:t>
      </w:r>
      <w:r w:rsidRPr="007621E8">
        <w:rPr>
          <w:rFonts w:cstheme="minorHAnsi"/>
          <w:vertAlign w:val="superscript"/>
          <w:lang w:val="en-GB"/>
        </w:rPr>
        <w:t>-1</w:t>
      </w:r>
      <w:r w:rsidRPr="007621E8">
        <w:rPr>
          <w:rFonts w:cstheme="minorHAnsi"/>
          <w:lang w:val="en-GB"/>
        </w:rPr>
        <w:t xml:space="preserve"> and 1077 cm</w:t>
      </w:r>
      <w:r w:rsidRPr="007621E8">
        <w:rPr>
          <w:rFonts w:cstheme="minorHAnsi"/>
          <w:vertAlign w:val="superscript"/>
          <w:lang w:val="en-GB"/>
        </w:rPr>
        <w:t>-1</w:t>
      </w:r>
      <w:r w:rsidRPr="007621E8">
        <w:rPr>
          <w:rFonts w:cstheme="minorHAnsi"/>
          <w:lang w:val="en-GB"/>
        </w:rPr>
        <w:t xml:space="preserve"> bands.</w:t>
      </w:r>
    </w:p>
    <w:p w14:paraId="05C8CF16" w14:textId="3A0596AD" w:rsidR="008906C4" w:rsidRPr="007621E8" w:rsidRDefault="008906C4" w:rsidP="008906C4">
      <w:pPr>
        <w:spacing w:after="0" w:line="360" w:lineRule="auto"/>
        <w:ind w:firstLine="708"/>
        <w:rPr>
          <w:rFonts w:cstheme="minorHAnsi"/>
          <w:lang w:val="en-GB"/>
        </w:rPr>
      </w:pPr>
      <w:r w:rsidRPr="007621E8">
        <w:rPr>
          <w:rFonts w:cstheme="minorHAnsi"/>
          <w:lang w:val="en-GB"/>
        </w:rPr>
        <w:t xml:space="preserve">The typical Raman spectrum of melanin is generally characterized by double and broad bands </w:t>
      </w:r>
      <w:r w:rsidR="0045436B">
        <w:rPr>
          <w:rFonts w:cstheme="minorHAnsi"/>
          <w:lang w:val="en-GB"/>
        </w:rPr>
        <w:t>centred between</w:t>
      </w:r>
      <w:r w:rsidRPr="007621E8">
        <w:rPr>
          <w:rFonts w:cstheme="minorHAnsi"/>
          <w:lang w:val="en-GB"/>
        </w:rPr>
        <w:t xml:space="preserve"> ca. 1380 </w:t>
      </w:r>
      <w:r w:rsidR="0045436B">
        <w:rPr>
          <w:rFonts w:cstheme="minorHAnsi"/>
          <w:lang w:val="en-GB"/>
        </w:rPr>
        <w:t>and</w:t>
      </w:r>
      <w:r w:rsidRPr="007621E8">
        <w:rPr>
          <w:rFonts w:cstheme="minorHAnsi"/>
          <w:lang w:val="en-GB"/>
        </w:rPr>
        <w:t xml:space="preserve"> 1585 cm</w:t>
      </w:r>
      <w:r w:rsidRPr="007621E8">
        <w:rPr>
          <w:rFonts w:cstheme="minorHAnsi"/>
          <w:vertAlign w:val="superscript"/>
          <w:lang w:val="en-GB"/>
        </w:rPr>
        <w:t xml:space="preserve">-1 </w:t>
      </w:r>
      <w:r w:rsidRPr="007621E8">
        <w:rPr>
          <w:rFonts w:cstheme="minorHAnsi"/>
          <w:lang w:val="en-GB"/>
        </w:rPr>
        <w:fldChar w:fldCharType="begin" w:fldLock="1"/>
      </w:r>
      <w:r w:rsidR="00F302D2">
        <w:rPr>
          <w:rFonts w:cstheme="minorHAnsi"/>
          <w:lang w:val="en-GB"/>
        </w:rPr>
        <w:instrText>ADDIN CSL_CITATION {"citationItems":[{"id":"ITEM-1","itemData":{"DOI":"10.1117/1.1805553","ISSN":"10833668","abstract":"We successfully acquire the in vivo Raman spectrum of melanin from human skin using a rapid near-infrared (NIR) Raman spectrometer. The Raman signals of in vivo cutaneous melanin are similar to those observed from natural and synthetic eumelanins. The melanin Raman spectrum is dominated by two intense and broad peaks at about 1580 and 1380 cm(-1), which can be interpreted as originating from the in-plane stretching of the aromatic rings and the linear stretching of the C-C bonds within the rings, along with some contributions from the C-H vibrations in the methyl and methylene groups. Variations in the peak frequencies and bandwidths of these two Raman signals due to differing biological environments have been observed in melanin from different sources. The ability to acquire these unique in vivo melanin signals suggests that Raman spectroscopy may be a useful clinical method for noninvasive in situ analysis and diagnosis of the skin.","author":[{"dropping-particle":"","family":"Huang","given":"Zhiwei","non-dropping-particle":"","parse-names":false,"suffix":""},{"dropping-particle":"","family":"Lui","given":"Harvey","non-dropping-particle":"","parse-names":false,"suffix":""},{"dropping-particle":"","family":"Chen","given":"X. K.","non-dropping-particle":"","parse-names":false,"suffix":""},{"dropping-particle":"","family":"Alajlan","given":"Abdulmajeed","non-dropping-particle":"","parse-names":false,"suffix":""},{"dropping-particle":"","family":"McLean","given":"David I.","non-dropping-particle":"","parse-names":false,"suffix":""},{"dropping-particle":"","family":"Zeng","given":"Haishan","non-dropping-particle":"","parse-names":false,"suffix":""}],"container-title":"Journal of Biomedical Optics","id":"ITEM-1","issue":"6","issued":{"date-parts":[["2004"]]},"page":"1198","title":"Raman spectroscopy of in vivo cutaneous melanin","type":"article-journal","volume":"9"},"uris":["http://www.mendeley.com/documents/?uuid=8a196f9e-3100-44c8-869f-ee36e535f297"]},{"id":"ITEM-2","itemData":{"DOI":"10.1111/pcmr.12140","ISSN":"17551471","abstract":"The quantification of melanins is a complex task due to the chemical heterogeneity of the pigments and the difficulty of their isolation. The best accepted procedure currently consists in the chemical cleavage of melanins and the subsequent detection of degradation products by HPLC, which implies the destruction of samples. Here, we show that Raman spectroscopy is a non-invasive technique that can be used to quantify melanins. We made parallel analyses of the characteristics of pheomelanin and eumelanin Raman spectra as measured by confocal Raman microscopy and of degradation products of pheomelanin (4-amino-3-hydroxyphenylalanine, 4-AHP) and eumelanin (pyrrole-2,3,5-tricarboxylic acid, PTCA) as measured by HPLC in feathers of red-legged partridges and hairs of wild boars and humans. We found strong correlations between the spectral Raman characteristics and 4-AHP and PTCA levels, which indicates that the Raman spectra of melanins can be used to determine their content.","author":[{"dropping-particle":"","family":"Galván","given":"Ismael","non-dropping-particle":"","parse-names":false,"suffix":""},{"dropping-particle":"","family":"Jorge","given":"Alberto","non-dropping-particle":"","parse-names":false,"suffix":""},{"dropping-particle":"","family":"Ito","given":"Kazuma","non-dropping-particle":"","parse-names":false,"suffix":""},{"dropping-particle":"","family":"Tabuchi","given":"Keisuke","non-dropping-particle":"","parse-names":false,"suffix":""},{"dropping-particle":"","family":"Solano","given":"Francisco","non-dropping-particle":"","parse-names":false,"suffix":""},{"dropping-particle":"","family":"Wakamatsu","given":"Kazumasa","non-dropping-particle":"","parse-names":false,"suffix":""}],"container-title":"Pigment Cell and Melanoma Research","id":"ITEM-2","issue":"6","issued":{"date-parts":[["2013"]]},"page":"917-923","title":"Raman spectroscopy as a non-invasive technique for the quantification of melanins in feathers and hairs","type":"article-journal","volume":"26"},"uris":["http://www.mendeley.com/documents/?uuid=f98c277c-3556-471b-8234-b1c0ddeaaea8"]},{"id":"ITEM-3","itemData":{"DOI":"10.1016/j.saa.2013.03.027","ISSN":"13861425","author":[{"dropping-particle":"","family":"Galván","given":"Ismael","non-dropping-particle":"","parse-names":false,"suffix":""},{"dropping-particle":"","family":"Jorge","given":"Alberto","non-dropping-particle":"","parse-names":false,"suffix":""},{"dropping-particle":"","family":"Solano","given":"Francisco","non-dropping-particle":"","parse-names":false,"suffix":""},{"dropping-particle":"","family":"Wakamatsu","given":"Kazumasa","non-dropping-particle":"","parse-names":false,"suffix":""}],"container-title":"Spectrochimica Acta Part A: Molecular and Biomolecular Spectroscopy","id":"ITEM-3","issued":{"date-parts":[["2013","6"]]},"page":"55-59","title":"Vibrational characterization of pheomelanin and trichochrome F by Raman spectroscopy","type":"article-journal","volume":"110"},"uris":["http://www.mendeley.com/documents/?uuid=80a31f8e-5da4-4c84-80c1-6ca5cd6f45ee"]}],"mendeley":{"formattedCitation":"&lt;sup&gt;36–38&lt;/sup&gt;","plainTextFormattedCitation":"36–38","previouslyFormattedCitation":"(Galván et al., 2013a, 2013b; Huang et al., 2004)"},"properties":{"noteIndex":0},"schema":"https://github.com/citation-style-language/schema/raw/master/csl-citation.json"}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36–38</w:t>
      </w:r>
      <w:r w:rsidRPr="007621E8">
        <w:rPr>
          <w:rFonts w:cstheme="minorHAnsi"/>
          <w:lang w:val="en-GB"/>
        </w:rPr>
        <w:fldChar w:fldCharType="end"/>
      </w:r>
      <w:r w:rsidRPr="007621E8">
        <w:rPr>
          <w:rFonts w:cstheme="minorHAnsi"/>
          <w:lang w:val="en-GB"/>
        </w:rPr>
        <w:t xml:space="preserve">. According to peak position, </w:t>
      </w:r>
      <w:r w:rsidR="0045436B">
        <w:rPr>
          <w:rFonts w:cstheme="minorHAnsi"/>
          <w:lang w:val="en-GB"/>
        </w:rPr>
        <w:t>it</w:t>
      </w:r>
      <w:r w:rsidRPr="007621E8">
        <w:rPr>
          <w:rFonts w:cstheme="minorHAnsi"/>
          <w:lang w:val="en-GB"/>
        </w:rPr>
        <w:t xml:space="preserve"> can be assigned to different molecular bonds, such as out of plane deformation of O―H, C―OH from phenols, C―N stretching from pyrroles or indoles, among others (for details, see </w:t>
      </w:r>
      <w:r w:rsidRPr="007621E8">
        <w:rPr>
          <w:rFonts w:cstheme="minorHAnsi"/>
          <w:lang w:val="en-GB"/>
        </w:rPr>
        <w:fldChar w:fldCharType="begin" w:fldLock="1"/>
      </w:r>
      <w:r w:rsidR="00F302D2">
        <w:rPr>
          <w:rFonts w:cstheme="minorHAnsi"/>
          <w:lang w:val="en-GB"/>
        </w:rPr>
        <w:instrText>ADDIN CSL_CITATION {"citationItems":[{"id":"ITEM-1","itemData":{"DOI":"10.2174/1876531901305010001","ISSN":"18765319","abstract":"Eumelanin biopolymer synthetized from L-DOPA has been characterized by Raman and Surface Enhanced Raman Spectroscopy (SERS). Although Raman spectra of eumelanin were scarcely resolved, SERS measurements of this biopolymer on nanostructured gold substrate, provided a large enhancement of vibrational peaks related to functional groups adherent to the substrate, so that well resolved vibrational spectra were obtained. The SERS peaks correspond to vibrational modes related to the monomeric units of eumelanin. So, SERS spectra can be used to identify the monomeric content of eumelanin and resolve the presence of vibrational modes which have been calculated and predicted according to different theoretical models and previously observed in vibrational spectra of single monomeric units.","author":[{"dropping-particle":"","family":"Perna","given":"Giuseppe","non-dropping-particle":"","parse-names":false,"suffix":""}],"container-title":"The Open Surface Science Journal","id":"ITEM-1","issue":"1","issued":{"date-parts":[["2013","9","19"]]},"page":"1-8","title":"Vibrational Characterization of Synthetic Eumelanin by Means of Raman and Surface Enhanced Raman Scattering","type":"article-journal","volume":"5"},"uris":["http://www.mendeley.com/documents/?uuid=b4b13af9-7803-4cad-9aac-1f373e0079e2"]},{"id":"ITEM-2","itemData":{"DOI":"10.1002/pi.5182","ISSN":"10970126","abstract":"Â© 2016 Society of Chemical IndustryWe report vibrational spectra of two types of eumelanin samples: a synthetic one, produced by oxidation of tyrosine with hydrogen peroxide, and a natural one, extracted from Sepia officinalis, with the aim of pointing out the differences between the main vibrational properties of such two pigments. Fourier transform infrared, Raman and surface-enhanced Raman scattering spectra allow the identification of several vibrational modes involving specific monomeric units. The main differences between the spectra of the two types of eumelanin are related to (i) a larger amount of carboxylic acid in the synthetic than in the natural sample; (ii) a shift of spectral position of corresponding peaks; and (iii) a contribution of residual proteins to the signals from the natural sample. Such results suggest that vibrational techniques may be helpful for non-destructively determining the composition of various eumelanin pigments, with potential applications in biomedical, electronic and cultural heritage fields. Â© 2016 Society of Chemical Industry.","author":[{"dropping-particle":"","family":"Perna","given":"Giuseppe","non-dropping-particle":"","parse-names":false,"suffix":""},{"dropping-particle":"","family":"Lasalvia","given":"Maria","non-dropping-particle":"","parse-names":false,"suffix":""},{"dropping-particle":"","family":"Capozzi","given":"Vito","non-dropping-particle":"","parse-names":false,"suffix":""}],"container-title":"Polymer International","id":"ITEM-2","issue":"11","issued":{"date-parts":[["2016"]]},"page":"1323-1330","title":"Vibrational spectroscopy of synthetic and natural eumelanin","type":"article-journal","volume":"65"},"uris":["http://www.mendeley.com/documents/?uuid=f918686c-94f0-4f4e-8b1d-9b953900a293"]}],"mendeley":{"formattedCitation":"&lt;sup&gt;34,39&lt;/sup&gt;","manualFormatting":"17 and 22","plainTextFormattedCitation":"34,39","previouslyFormattedCitation":"(Perna, 2013; Perna et al., 2016)"},"properties":{"noteIndex":0},"schema":"https://github.com/citation-style-language/schema/raw/master/csl-citation.json"}</w:instrText>
      </w:r>
      <w:r w:rsidRPr="007621E8">
        <w:rPr>
          <w:rFonts w:cstheme="minorHAnsi"/>
          <w:lang w:val="en-GB"/>
        </w:rPr>
        <w:fldChar w:fldCharType="separate"/>
      </w:r>
      <w:r w:rsidRPr="007621E8">
        <w:rPr>
          <w:rFonts w:cstheme="minorHAnsi"/>
          <w:noProof/>
          <w:lang w:val="en-GB"/>
        </w:rPr>
        <w:t>17 and 22</w:t>
      </w:r>
      <w:r w:rsidRPr="007621E8">
        <w:rPr>
          <w:rFonts w:cstheme="minorHAnsi"/>
          <w:lang w:val="en-GB"/>
        </w:rPr>
        <w:fldChar w:fldCharType="end"/>
      </w:r>
      <w:r w:rsidRPr="007621E8">
        <w:rPr>
          <w:rFonts w:cstheme="minorHAnsi"/>
          <w:lang w:val="en-GB"/>
        </w:rPr>
        <w:t xml:space="preserve"> and references therein). The broadness and relative intens</w:t>
      </w:r>
      <w:r w:rsidR="0045436B">
        <w:rPr>
          <w:rFonts w:cstheme="minorHAnsi"/>
          <w:lang w:val="en-GB"/>
        </w:rPr>
        <w:t>ity of</w:t>
      </w:r>
      <w:r w:rsidRPr="007621E8">
        <w:rPr>
          <w:rFonts w:cstheme="minorHAnsi"/>
          <w:lang w:val="en-GB"/>
        </w:rPr>
        <w:t xml:space="preserve"> bands may be caused by the irregular (less crystalline) arrangement of their carbon bonds </w:t>
      </w:r>
      <w:r w:rsidRPr="007621E8">
        <w:rPr>
          <w:rFonts w:cstheme="minorHAnsi"/>
          <w:lang w:val="en-GB"/>
        </w:rPr>
        <w:fldChar w:fldCharType="begin" w:fldLock="1"/>
      </w:r>
      <w:r w:rsidR="00F302D2">
        <w:rPr>
          <w:rFonts w:cstheme="minorHAnsi"/>
          <w:lang w:val="en-GB"/>
        </w:rPr>
        <w:instrText>ADDIN CSL_CITATION {"citationItems":[{"id":"ITEM-1","itemData":{"DOI":"10.1002/ece3.1453","ISSN":"20457758","abstract":"Melanins are the most prevalent pigments in animals and are involved in visual communication by producing colored traits that often evolve as intraspecific sig- nals of quality. Identifying and quantifying melanins are therefore essential to understand the function and evolution of melanin-based signals. However, the analysis of melanins is difficult due to their insolubility and the lack of simple methods that allow the identification of their chemical forms. We recently pro- posed the use of Raman spectroscopy as a simple, noninvasive technique that can be used to identify and quantify melanins in feathers and hairs. Contrarily, other authors later stated that melanins are characterized by a lack of defined Raman signals. Here, we use confocal Raman microscopy to confirm previous analyses showing that the two main chemical forms of melanins (eumelanin and pheomel- anin) exhibit distinct Raman signal and compare different excitation wavelengths to analyze synthetic pheomelanin and natural melanins in feathers of different species of birds. Our analyses indicate that only laser excitation wavelengths below 1064 nm are useful for the analysis of melanins by Raman spectroscopy, and only 780-nm laser in the case of melanins in feathers. These findings show that the capacity of Raman spectroscopy to distinguish different chemical forms of melanins depends on laser power and integration time. As a consequence, Raman spectroscopy should be applied after preliminar analyses using a range of these parameters, especially in fragile biological tissues such as feathers.","author":[{"dropping-particle":"","family":"Galván","given":"Ismael","non-dropping-particle":"","parse-names":false,"suffix":""},{"dropping-particle":"","family":"Jorge","given":"Alberto","non-dropping-particle":"","parse-names":false,"suffix":""}],"container-title":"Ecology and Evolution","id":"ITEM-1","issue":"7","issued":{"date-parts":[["2015"]]},"page":"1425-1431","title":"Dispersive Raman spectroscopy allows the identification and quantification of melanin types","type":"article-journal","volume":"5"},"uris":["http://www.mendeley.com/documents/?uuid=79cd394d-0163-4d4e-804d-ed5ff8074cd0"]}],"mendeley":{"formattedCitation":"&lt;sup&gt;40&lt;/sup&gt;","plainTextFormattedCitation":"40","previouslyFormattedCitation":"(Galván and Jorge, 2015)"},"properties":{"noteIndex":0},"schema":"https://github.com/citation-style-language/schema/raw/master/csl-citation.json"}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40</w:t>
      </w:r>
      <w:r w:rsidRPr="007621E8">
        <w:rPr>
          <w:rFonts w:cstheme="minorHAnsi"/>
          <w:lang w:val="en-GB"/>
        </w:rPr>
        <w:fldChar w:fldCharType="end"/>
      </w:r>
      <w:r w:rsidRPr="007621E8">
        <w:rPr>
          <w:rFonts w:cstheme="minorHAnsi"/>
          <w:lang w:val="en-GB"/>
        </w:rPr>
        <w:t xml:space="preserve">. In CPCA 3590, Raman peaks are assigned to plane vibrations of C―C bonds, as well as stretching of C―OH (from COOH), C―N from pyrrole rings, and C―O from the phenolic group, as well as from indole ring vibration </w:t>
      </w:r>
      <w:r w:rsidRPr="007621E8">
        <w:rPr>
          <w:rFonts w:cstheme="minorHAnsi"/>
          <w:lang w:val="en-GB"/>
        </w:rPr>
        <w:fldChar w:fldCharType="begin" w:fldLock="1"/>
      </w:r>
      <w:r w:rsidR="00F302D2">
        <w:rPr>
          <w:rFonts w:cstheme="minorHAnsi"/>
          <w:lang w:val="en-GB"/>
        </w:rPr>
        <w:instrText>ADDIN CSL_CITATION {"citationItems":[{"id":"ITEM-1","itemData":{"DOI":"10.1117/1.1805553","ISSN":"10833668","abstract":"We successfully acquire the in vivo Raman spectrum of melanin from human skin using a rapid near-infrared (NIR) Raman spectrometer. The Raman signals of in vivo cutaneous melanin are similar to those observed from natural and synthetic eumelanins. The melanin Raman spectrum is dominated by two intense and broad peaks at about 1580 and 1380 cm(-1), which can be interpreted as originating from the in-plane stretching of the aromatic rings and the linear stretching of the C-C bonds within the rings, along with some contributions from the C-H vibrations in the methyl and methylene groups. Variations in the peak frequencies and bandwidths of these two Raman signals due to differing biological environments have been observed in melanin from different sources. The ability to acquire these unique in vivo melanin signals suggests that Raman spectroscopy may be a useful clinical method for noninvasive in situ analysis and diagnosis of the skin.","author":[{"dropping-particle":"","family":"Huang","given":"Zhiwei","non-dropping-particle":"","parse-names":false,"suffix":""},{"dropping-particle":"","family":"Lui","given":"Harvey","non-dropping-particle":"","parse-names":false,"suffix":""},{"dropping-particle":"","family":"Chen","given":"X. K.","non-dropping-particle":"","parse-names":false,"suffix":""},{"dropping-particle":"","family":"Alajlan","given":"Abdulmajeed","non-dropping-particle":"","parse-names":false,"suffix":""},{"dropping-particle":"","family":"McLean","given":"David I.","non-dropping-particle":"","parse-names":false,"suffix":""},{"dropping-particle":"","family":"Zeng","given":"Haishan","non-dropping-particle":"","parse-names":false,"suffix":""}],"container-title":"Journal of Biomedical Optics","id":"ITEM-1","issue":"6","issued":{"date-parts":[["2004"]]},"page":"1198","title":"Raman spectroscopy of in vivo cutaneous melanin","type":"article-journal","volume":"9"},"uris":["http://www.mendeley.com/documents/?uuid=8a196f9e-3100-44c8-869f-ee36e535f297"]},{"id":"ITEM-2","itemData":{"DOI":"10.1111/pcmr.12140","ISSN":"17551471","abstract":"The quantification of melanins is a complex task due to the chemical heterogeneity of the pigments and the difficulty of their isolation. The best accepted procedure currently consists in the chemical cleavage of melanins and the subsequent detection of degradation products by HPLC, which implies the destruction of samples. Here, we show that Raman spectroscopy is a non-invasive technique that can be used to quantify melanins. We made parallel analyses of the characteristics of pheomelanin and eumelanin Raman spectra as measured by confocal Raman microscopy and of degradation products of pheomelanin (4-amino-3-hydroxyphenylalanine, 4-AHP) and eumelanin (pyrrole-2,3,5-tricarboxylic acid, PTCA) as measured by HPLC in feathers of red-legged partridges and hairs of wild boars and humans. We found strong correlations between the spectral Raman characteristics and 4-AHP and PTCA levels, which indicates that the Raman spectra of melanins can be used to determine their content.","author":[{"dropping-particle":"","family":"Galván","given":"Ismael","non-dropping-particle":"","parse-names":false,"suffix":""},{"dropping-particle":"","family":"Jorge","given":"Alberto","non-dropping-particle":"","parse-names":false,"suffix":""},{"dropping-particle":"","family":"Ito","given":"Kazuma","non-dropping-particle":"","parse-names":false,"suffix":""},{"dropping-particle":"","family":"Tabuchi","given":"Keisuke","non-dropping-particle":"","parse-names":false,"suffix":""},{"dropping-particle":"","family":"Solano","given":"Francisco","non-dropping-particle":"","parse-names":false,"suffix":""},{"dropping-particle":"","family":"Wakamatsu","given":"Kazumasa","non-dropping-particle":"","parse-names":false,"suffix":""}],"container-title":"Pigment Cell and Melanoma Research","id":"ITEM-2","issue":"6","issued":{"date-parts":[["2013"]]},"page":"917-923","title":"Raman spectroscopy as a non-invasive technique for the quantification of melanins in feathers and hairs","type":"article-journal","volume":"26"},"uris":["http://www.mendeley.com/documents/?uuid=f98c277c-3556-471b-8234-b1c0ddeaaea8"]},{"id":"ITEM-3","itemData":{"DOI":"10.1016/j.saa.2013.03.027","ISSN":"13861425","author":[{"dropping-particle":"","family":"Galván","given":"Ismael","non-dropping-particle":"","parse-names":false,"suffix":""},{"dropping-particle":"","family":"Jorge","given":"Alberto","non-dropping-particle":"","parse-names":false,"suffix":""},{"dropping-particle":"","family":"Solano","given":"Francisco","non-dropping-particle":"","parse-names":false,"suffix":""},{"dropping-particle":"","family":"Wakamatsu","given":"Kazumasa","non-dropping-particle":"","parse-names":false,"suffix":""}],"container-title":"Spectrochimica Acta Part A: Molecular and Biomolecular Spectroscopy","id":"ITEM-3","issued":{"date-parts":[["2013","6"]]},"page":"55-59","title":"Vibrational characterization of pheomelanin and trichochrome F by Raman spectroscopy","type":"article-journal","volume":"110"},"uris":["http://www.mendeley.com/documents/?uuid=80a31f8e-5da4-4c84-80c1-6ca5cd6f45ee"]},{"id":"ITEM-4","itemData":{"DOI":"10.1002/ece3.1453","ISSN":"20457758","abstract":"Melanins are the most prevalent pigments in animals and are involved in visual communication by producing colored traits that often evolve as intraspecific sig- nals of quality. Identifying and quantifying melanins are therefore essential to understand the function and evolution of melanin-based signals. However, the analysis of melanins is difficult due to their insolubility and the lack of simple methods that allow the identification of their chemical forms. We recently pro- posed the use of Raman spectroscopy as a simple, noninvasive technique that can be used to identify and quantify melanins in feathers and hairs. Contrarily, other authors later stated that melanins are characterized by a lack of defined Raman signals. Here, we use confocal Raman microscopy to confirm previous analyses showing that the two main chemical forms of melanins (eumelanin and pheomel- anin) exhibit distinct Raman signal and compare different excitation wavelengths to analyze synthetic pheomelanin and natural melanins in feathers of different species of birds. Our analyses indicate that only laser excitation wavelengths below 1064 nm are useful for the analysis of melanins by Raman spectroscopy, and only 780-nm laser in the case of melanins in feathers. These findings show that the capacity of Raman spectroscopy to distinguish different chemical forms of melanins depends on laser power and integration time. As a consequence, Raman spectroscopy should be applied after preliminar analyses using a range of these parameters, especially in fragile biological tissues such as feathers.","author":[{"dropping-particle":"","family":"Galván","given":"Ismael","non-dropping-particle":"","parse-names":false,"suffix":""},{"dropping-particle":"","family":"Jorge","given":"Alberto","non-dropping-particle":"","parse-names":false,"suffix":""}],"container-title":"Ecology and Evolution","id":"ITEM-4","issue":"7","issued":{"date-parts":[["2015"]]},"page":"1425-1431","title":"Dispersive Raman spectroscopy allows the identification and quantification of melanin types","type":"article-journal","volume":"5"},"uris":["http://www.mendeley.com/documents/?uuid=79cd394d-0163-4d4e-804d-ed5ff8074cd0"]},{"id":"ITEM-5","itemData":{"DOI":"10.2174/1876531901305010001","ISSN":"18765319","abstract":"Eumelanin biopolymer synthetized from L-DOPA has been characterized by Raman and Surface Enhanced Raman Spectroscopy (SERS). Although Raman spectra of eumelanin were scarcely resolved, SERS measurements of this biopolymer on nanostructured gold substrate, provided a large enhancement of vibrational peaks related to functional groups adherent to the substrate, so that well resolved vibrational spectra were obtained. The SERS peaks correspond to vibrational modes related to the monomeric units of eumelanin. So, SERS spectra can be used to identify the monomeric content of eumelanin and resolve the presence of vibrational modes which have been calculated and predicted according to different theoretical models and previously observed in vibrational spectra of single monomeric units.","author":[{"dropping-particle":"","family":"Perna","given":"Giuseppe","non-dropping-particle":"","parse-names":false,"suffix":""}],"container-title":"The Open Surface Science Journal","id":"ITEM-5","issue":"1","issued":{"date-parts":[["2013","9","19"]]},"page":"1-8","title":"Vibrational Characterization of Synthetic Eumelanin by Means of Raman and Surface Enhanced Raman Scattering","type":"article-journal","volume":"5"},"uris":["http://www.mendeley.com/documents/?uuid=b4b13af9-7803-4cad-9aac-1f373e0079e2"]},{"id":"ITEM-6","itemData":{"DOI":"10.1002/pi.5182","ISSN":"10970126","abstract":"Â© 2016 Society of Chemical IndustryWe report vibrational spectra of two types of eumelanin samples: a synthetic one, produced by oxidation of tyrosine with hydrogen peroxide, and a natural one, extracted from Sepia officinalis, with the aim of pointing out the differences between the main vibrational properties of such two pigments. Fourier transform infrared, Raman and surface-enhanced Raman scattering spectra allow the identification of several vibrational modes involving specific monomeric units. The main differences between the spectra of the two types of eumelanin are related to (i) a larger amount of carboxylic acid in the synthetic than in the natural sample; (ii) a shift of spectral position of corresponding peaks; and (iii) a contribution of residual proteins to the signals from the natural sample. Such results suggest that vibrational techniques may be helpful for non-destructively determining the composition of various eumelanin pigments, with potential applications in biomedical, electronic and cultural heritage fields. Â© 2016 Society of Chemical Industry.","author":[{"dropping-particle":"","family":"Perna","given":"Giuseppe","non-dropping-particle":"","parse-names":false,"suffix":""},{"dropping-particle":"","family":"Lasalvia","given":"Maria","non-dropping-particle":"","parse-names":false,"suffix":""},{"dropping-particle":"","family":"Capozzi","given":"Vito","non-dropping-particle":"","parse-names":false,"suffix":""}],"container-title":"Polymer International","id":"ITEM-6","issue":"11","issued":{"date-parts":[["2016"]]},"page":"1323-1330","title":"Vibrational spectroscopy of synthetic and natural eumelanin","type":"article-journal","volume":"65"},"uris":["http://www.mendeley.com/documents/?uuid=f918686c-94f0-4f4e-8b1d-9b953900a293"]}],"mendeley":{"formattedCitation":"&lt;sup&gt;34,36–40&lt;/sup&gt;","plainTextFormattedCitation":"34,36–40","previouslyFormattedCitation":"(Galván et al., 2013a, 2013b; Galván and Jorge, 2015; Huang et al., 2004; Perna, 2013; Perna et al., 2016)"},"properties":{"noteIndex":0},"schema":"https://github.com/citation-style-language/schema/raw/master/csl-citation.json"}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34,36–40</w:t>
      </w:r>
      <w:r w:rsidRPr="007621E8">
        <w:rPr>
          <w:rFonts w:cstheme="minorHAnsi"/>
          <w:lang w:val="en-GB"/>
        </w:rPr>
        <w:fldChar w:fldCharType="end"/>
      </w:r>
      <w:r w:rsidRPr="007621E8">
        <w:rPr>
          <w:rFonts w:cstheme="minorHAnsi"/>
          <w:lang w:val="en-GB"/>
        </w:rPr>
        <w:t>.</w:t>
      </w:r>
    </w:p>
    <w:p w14:paraId="03BD359E" w14:textId="336D8529" w:rsidR="008906C4" w:rsidRPr="007621E8" w:rsidRDefault="008906C4" w:rsidP="008906C4">
      <w:pPr>
        <w:spacing w:after="0" w:line="360" w:lineRule="auto"/>
        <w:ind w:firstLine="708"/>
        <w:rPr>
          <w:rFonts w:cstheme="minorHAnsi"/>
          <w:lang w:val="en-GB"/>
        </w:rPr>
      </w:pPr>
      <w:r w:rsidRPr="007621E8">
        <w:rPr>
          <w:rFonts w:cstheme="minorHAnsi"/>
          <w:lang w:val="en-GB"/>
        </w:rPr>
        <w:t>At the soft tissue, Raman spectra also exhibit two broad bands between ca. 1200 to 1650 cm</w:t>
      </w:r>
      <w:r w:rsidRPr="007621E8">
        <w:rPr>
          <w:rFonts w:cstheme="minorHAnsi"/>
          <w:vertAlign w:val="superscript"/>
          <w:lang w:val="en-GB"/>
        </w:rPr>
        <w:t xml:space="preserve">-1 </w:t>
      </w:r>
      <w:r w:rsidRPr="007621E8">
        <w:rPr>
          <w:rFonts w:cstheme="minorHAnsi"/>
          <w:lang w:val="en-GB"/>
        </w:rPr>
        <w:t xml:space="preserve">(Fig. 2, C; Fig. S4, B), and their identification varies largely among examined </w:t>
      </w:r>
      <w:r w:rsidR="0045436B">
        <w:rPr>
          <w:rFonts w:cstheme="minorHAnsi"/>
          <w:lang w:val="en-GB"/>
        </w:rPr>
        <w:t xml:space="preserve">regions </w:t>
      </w:r>
      <w:r w:rsidRPr="007621E8">
        <w:rPr>
          <w:rFonts w:cstheme="minorHAnsi"/>
          <w:lang w:val="en-GB"/>
        </w:rPr>
        <w:t>(Fig. S4, C and D). We kept the laser power at a minimum to avoid sample damaging, as a higher power or prolonged exposure time can produce, by blazing, the D and G bands of carbonaceous compounds, which are common for organic matter decomposition. This procedure also ensured that peaks between 1300 to 1600 cm</w:t>
      </w:r>
      <w:r w:rsidRPr="007621E8">
        <w:rPr>
          <w:rFonts w:cstheme="minorHAnsi"/>
          <w:vertAlign w:val="superscript"/>
          <w:lang w:val="en-GB"/>
        </w:rPr>
        <w:t>-1</w:t>
      </w:r>
      <w:r w:rsidRPr="007621E8">
        <w:rPr>
          <w:rFonts w:cstheme="minorHAnsi"/>
          <w:lang w:val="en-GB"/>
        </w:rPr>
        <w:t xml:space="preserve"> are not </w:t>
      </w:r>
      <w:r w:rsidR="00C90625" w:rsidRPr="007621E8">
        <w:rPr>
          <w:rFonts w:cstheme="minorHAnsi"/>
          <w:lang w:val="en-GB"/>
        </w:rPr>
        <w:t>artefactual and</w:t>
      </w:r>
      <w:r w:rsidR="0045436B">
        <w:rPr>
          <w:rFonts w:cstheme="minorHAnsi"/>
          <w:lang w:val="en-GB"/>
        </w:rPr>
        <w:t xml:space="preserve"> are</w:t>
      </w:r>
      <w:r w:rsidRPr="007621E8">
        <w:rPr>
          <w:rFonts w:cstheme="minorHAnsi"/>
          <w:lang w:val="en-GB"/>
        </w:rPr>
        <w:t xml:space="preserve"> indeed derived from the original compound. </w:t>
      </w:r>
    </w:p>
    <w:p w14:paraId="0CBEB1D6" w14:textId="77777777" w:rsidR="008906C4" w:rsidRPr="007621E8" w:rsidRDefault="008906C4" w:rsidP="008906C4">
      <w:pPr>
        <w:spacing w:after="0" w:line="360" w:lineRule="auto"/>
        <w:ind w:firstLine="708"/>
        <w:rPr>
          <w:rFonts w:cstheme="minorHAnsi"/>
          <w:lang w:val="en-GB"/>
        </w:rPr>
      </w:pPr>
      <w:r w:rsidRPr="007621E8">
        <w:rPr>
          <w:rFonts w:cstheme="minorHAnsi"/>
          <w:lang w:val="en-GB"/>
        </w:rPr>
        <w:t>The fitting procedure performed using Gaussian function (</w:t>
      </w:r>
      <w:r w:rsidRPr="007621E8">
        <w:rPr>
          <w:rFonts w:cstheme="minorHAnsi"/>
          <w:i/>
          <w:lang w:val="en-GB"/>
        </w:rPr>
        <w:t>R</w:t>
      </w:r>
      <w:r w:rsidRPr="007621E8">
        <w:rPr>
          <w:rFonts w:cstheme="minorHAnsi"/>
          <w:i/>
          <w:vertAlign w:val="superscript"/>
          <w:lang w:val="en-GB"/>
        </w:rPr>
        <w:t>2</w:t>
      </w:r>
      <w:r w:rsidRPr="007621E8">
        <w:rPr>
          <w:rFonts w:cstheme="minorHAnsi"/>
          <w:lang w:val="en-GB"/>
        </w:rPr>
        <w:t xml:space="preserve">=0.9539) revealed the exact position of the two bands (Fig. S4, B), which </w:t>
      </w:r>
      <w:r w:rsidRPr="007621E8">
        <w:rPr>
          <w:rFonts w:cstheme="minorHAnsi"/>
          <w:color w:val="000000" w:themeColor="text1"/>
          <w:lang w:val="en-GB"/>
        </w:rPr>
        <w:t>are centred at ca. 1336 cm</w:t>
      </w:r>
      <w:r w:rsidRPr="007621E8">
        <w:rPr>
          <w:rFonts w:cstheme="minorHAnsi"/>
          <w:color w:val="000000" w:themeColor="text1"/>
          <w:vertAlign w:val="superscript"/>
          <w:lang w:val="en-GB"/>
        </w:rPr>
        <w:t>-1</w:t>
      </w:r>
      <w:r w:rsidRPr="007621E8">
        <w:rPr>
          <w:rFonts w:cstheme="minorHAnsi"/>
          <w:color w:val="000000" w:themeColor="text1"/>
          <w:lang w:val="en-GB"/>
        </w:rPr>
        <w:t xml:space="preserve"> and 1567 cm</w:t>
      </w:r>
      <w:r w:rsidRPr="007621E8">
        <w:rPr>
          <w:rFonts w:cstheme="minorHAnsi"/>
          <w:color w:val="000000" w:themeColor="text1"/>
          <w:vertAlign w:val="superscript"/>
          <w:lang w:val="en-GB"/>
        </w:rPr>
        <w:t>-1</w:t>
      </w:r>
      <w:r w:rsidRPr="007621E8">
        <w:rPr>
          <w:rFonts w:cstheme="minorHAnsi"/>
          <w:color w:val="000000" w:themeColor="text1"/>
          <w:lang w:val="en-GB"/>
        </w:rPr>
        <w:t xml:space="preserve"> </w:t>
      </w:r>
      <w:r w:rsidRPr="007621E8">
        <w:rPr>
          <w:rFonts w:cstheme="minorHAnsi"/>
          <w:lang w:val="en-GB"/>
        </w:rPr>
        <w:t>(Tab. S2). Although the signal is generally low as melanin is in trace amounts, these results strongly suggest that the spectra of CPCA 3590 are indeed derived from the vibration of eumelanin units.</w:t>
      </w:r>
    </w:p>
    <w:p w14:paraId="0AB92481" w14:textId="05B040B9" w:rsidR="008906C4" w:rsidRPr="007621E8" w:rsidRDefault="008906C4" w:rsidP="008906C4">
      <w:pPr>
        <w:spacing w:after="240" w:line="360" w:lineRule="auto"/>
        <w:ind w:firstLine="708"/>
        <w:rPr>
          <w:rFonts w:cstheme="minorHAnsi"/>
          <w:lang w:val="en-GB"/>
        </w:rPr>
      </w:pPr>
      <w:r w:rsidRPr="007621E8">
        <w:rPr>
          <w:rFonts w:cstheme="minorHAnsi"/>
          <w:color w:val="000000" w:themeColor="text1"/>
          <w:lang w:val="en-GB"/>
        </w:rPr>
        <w:lastRenderedPageBreak/>
        <w:t xml:space="preserve">In conclusion, the presence of peaks of carbonate indicates that the matrix has a significant contribution to the overall RS spectra; and this may be more pronounced in the melanin bands, which are broad and less intense. As a result, this influence could suggest that: (a) the laser beam has a deeper penetration than expected, and during the excitation, it gathers information from both fossil and the underlying matrix; and (b) melanin is present in low concentrations (trace amounts), possibly distributed in thin layers that are exceeded by the beam, which reaches the underlying matrix. Nevertheless, the identification of carbonates and phosphates strongly support </w:t>
      </w:r>
      <w:r w:rsidRPr="007621E8">
        <w:rPr>
          <w:rFonts w:cstheme="minorHAnsi"/>
          <w:lang w:val="en-GB"/>
        </w:rPr>
        <w:t xml:space="preserve">the interpretation that microbodies were preserved by phosphatization as suggested previously </w:t>
      </w:r>
      <w:r w:rsidRPr="007621E8">
        <w:rPr>
          <w:rFonts w:cstheme="minorHAnsi"/>
          <w:lang w:val="en-GB"/>
        </w:rPr>
        <w:fldChar w:fldCharType="begin" w:fldLock="1"/>
      </w:r>
      <w:r w:rsidR="00F302D2">
        <w:rPr>
          <w:rFonts w:cstheme="minorHAnsi"/>
          <w:lang w:val="en-GB"/>
        </w:rPr>
        <w:instrText>ADDIN CSL_CITATION {"citationItems":[{"id":"ITEM-1","itemData":{"DOI":"10.4202/app.2010.0057","ISSN":"0567-7920","abstract":"A new specimen of Tupandactylus imperator, comprising an incomplete skull with associated lower jaw, is described. The material is the best preserved specimen of this species known so far and provides new information on the anatomy of this pterodactyloid pterosaur, especially with respect to the morphology of the lower jaw, the first one formally described for the species. Also, the new specimen shows an extensive preservation of soft tissues such as the soft−tissue component of the headcrest, ramphoteca associated with the premaxillae and lower jaw, as well as probable pycnofibres. A phylogenetic analysis was performed in order to test the relationships of the taxon within Tapejaridae. The results of the analysis support Tapejaridae, as well as monophyly of Tapejarinae and Thalassodrominae.","author":[{"dropping-particle":"","family":"Pinheiro","given":"Felipe L.","non-dropping-particle":"","parse-names":false,"suffix":""},{"dropping-particle":"","family":"Fortier","given":"Daniel C.","non-dropping-particle":"","parse-names":false,"suffix":""},{"dropping-particle":"","family":"Schultz","given":"Cesar L.","non-dropping-particle":"","parse-names":false,"suffix":""},{"dropping-particle":"","family":"Andrade","given":"José Artur F. G.","non-dropping-particle":"","parse-names":false,"suffix":""},{"dropping-particle":"","family":"Bantim","given":"Renan A. M.","non-dropping-particle":"","parse-names":false,"suffix":""}],"container-title":"Acta Palaeontologica Polonica","id":"ITEM-1","issue":"3","issued":{"date-parts":[["2011","9"]]},"page":"567-580","title":"New information on the pterosaur Tupandactylus imperator, with comments on the relationships of Tapejaridae","type":"article-journal","volume":"56"},"uris":["http://www.mendeley.com/documents/?uuid=91a49e91-5f7a-49ca-85ac-e3e76d5c95bd"]}],"mendeley":{"formattedCitation":"&lt;sup&gt;19&lt;/sup&gt;","plainTextFormattedCitation":"19","previouslyFormattedCitation":"(Pinheiro et al., 2011)"},"properties":{"noteIndex":0},"schema":"https://github.com/citation-style-language/schema/raw/master/csl-citation.json"}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19</w:t>
      </w:r>
      <w:r w:rsidRPr="007621E8">
        <w:rPr>
          <w:rFonts w:cstheme="minorHAnsi"/>
          <w:lang w:val="en-GB"/>
        </w:rPr>
        <w:fldChar w:fldCharType="end"/>
      </w:r>
      <w:r w:rsidRPr="007621E8">
        <w:rPr>
          <w:rFonts w:cstheme="minorHAnsi"/>
          <w:lang w:val="en-GB"/>
        </w:rPr>
        <w:t>. Therefore</w:t>
      </w:r>
      <w:r w:rsidRPr="007621E8">
        <w:rPr>
          <w:rFonts w:cstheme="minorHAnsi"/>
          <w:color w:val="000000" w:themeColor="text1"/>
          <w:lang w:val="en-GB"/>
        </w:rPr>
        <w:t xml:space="preserve">, the two broad bands observed unequivocally indicate that dark bands of </w:t>
      </w:r>
      <w:r w:rsidRPr="007621E8">
        <w:rPr>
          <w:rFonts w:cstheme="minorHAnsi"/>
          <w:i/>
          <w:color w:val="000000" w:themeColor="text1"/>
          <w:lang w:val="en-GB"/>
        </w:rPr>
        <w:t>T. imperator</w:t>
      </w:r>
      <w:r w:rsidRPr="007621E8">
        <w:rPr>
          <w:rFonts w:cstheme="minorHAnsi"/>
          <w:color w:val="000000" w:themeColor="text1"/>
          <w:lang w:val="en-GB"/>
        </w:rPr>
        <w:t xml:space="preserve"> are composed </w:t>
      </w:r>
      <w:r w:rsidR="0045436B">
        <w:rPr>
          <w:rFonts w:cstheme="minorHAnsi"/>
          <w:color w:val="000000" w:themeColor="text1"/>
          <w:lang w:val="en-GB"/>
        </w:rPr>
        <w:t>of</w:t>
      </w:r>
      <w:r w:rsidRPr="007621E8">
        <w:rPr>
          <w:rFonts w:cstheme="minorHAnsi"/>
          <w:color w:val="000000" w:themeColor="text1"/>
          <w:lang w:val="en-GB"/>
        </w:rPr>
        <w:t xml:space="preserve"> eumelanin.</w:t>
      </w:r>
    </w:p>
    <w:p w14:paraId="7BBA2075" w14:textId="77777777" w:rsidR="008906C4" w:rsidRPr="007621E8" w:rsidRDefault="008906C4" w:rsidP="008906C4">
      <w:pPr>
        <w:spacing w:after="0" w:line="360" w:lineRule="auto"/>
        <w:rPr>
          <w:rFonts w:cstheme="minorHAnsi"/>
          <w:lang w:val="en-GB"/>
        </w:rPr>
      </w:pPr>
    </w:p>
    <w:p w14:paraId="2E7C202A" w14:textId="77777777" w:rsidR="008906C4" w:rsidRPr="007621E8" w:rsidRDefault="008906C4" w:rsidP="008906C4">
      <w:pPr>
        <w:spacing w:after="0" w:line="360" w:lineRule="auto"/>
        <w:rPr>
          <w:rFonts w:cstheme="minorHAnsi"/>
          <w:b/>
          <w:lang w:val="en-GB"/>
        </w:rPr>
      </w:pPr>
      <w:r w:rsidRPr="007621E8">
        <w:rPr>
          <w:rFonts w:cstheme="minorHAnsi"/>
          <w:b/>
          <w:lang w:val="en-GB"/>
        </w:rPr>
        <w:t>2. Detailed Methods</w:t>
      </w:r>
    </w:p>
    <w:p w14:paraId="6AEAC83E" w14:textId="77777777" w:rsidR="008906C4" w:rsidRPr="007621E8" w:rsidRDefault="008906C4" w:rsidP="008906C4">
      <w:pPr>
        <w:spacing w:after="0" w:line="360" w:lineRule="auto"/>
        <w:rPr>
          <w:rFonts w:cstheme="minorHAnsi"/>
          <w:b/>
          <w:color w:val="000000" w:themeColor="text1"/>
          <w:lang w:val="en-GB"/>
        </w:rPr>
      </w:pPr>
      <w:r w:rsidRPr="007621E8">
        <w:rPr>
          <w:rFonts w:cstheme="minorHAnsi"/>
          <w:b/>
          <w:color w:val="000000" w:themeColor="text1"/>
          <w:lang w:val="en-GB"/>
        </w:rPr>
        <w:t>2.1. Synchrotron Radiation µX-Ray Fluorescence</w:t>
      </w:r>
    </w:p>
    <w:p w14:paraId="4C10DC52" w14:textId="77777777" w:rsidR="008906C4" w:rsidRPr="007621E8" w:rsidRDefault="008906C4" w:rsidP="008906C4">
      <w:pPr>
        <w:spacing w:after="0" w:line="360" w:lineRule="auto"/>
        <w:rPr>
          <w:rFonts w:cstheme="minorHAnsi"/>
          <w:color w:val="000000" w:themeColor="text1"/>
          <w:lang w:val="en-GB"/>
        </w:rPr>
      </w:pPr>
      <w:r w:rsidRPr="007621E8">
        <w:rPr>
          <w:rFonts w:cstheme="minorHAnsi"/>
          <w:color w:val="000000" w:themeColor="text1"/>
          <w:lang w:val="en-GB"/>
        </w:rPr>
        <w:t>Examinations were performed at the UVX synchrotron light source of the Brazilian Synchrotron Light Laboratory from the Brazilian Centre for Research in Energy and Materials (LNLS-CNPEM), at the SR-μXRF beamline under the XRF-20170713 proposal. The experiment was performed using the white-beam mode with Iron (III) foil filters, the collimator of 3 mm, and the microbeam was provided by the KB system that produced a beam size of approximately 12 X 25 µm. Samples were placed onto aluminium sample-holders tilted 45° from the detector distant 20 cm. Examinations of small regions (ca. 1.0 to 5.2 mm) were carried out using the flyscan mode under 40 or 50 µm of step-size with an accumulation time of 0.1 seconds/point, with varying deadtime. The analysis generated various EDF and HDF archives, which w</w:t>
      </w:r>
      <w:r w:rsidR="001F6296">
        <w:rPr>
          <w:rFonts w:cstheme="minorHAnsi"/>
          <w:color w:val="000000" w:themeColor="text1"/>
          <w:lang w:val="en-GB"/>
        </w:rPr>
        <w:t>ere</w:t>
      </w:r>
      <w:r w:rsidRPr="007621E8">
        <w:rPr>
          <w:rFonts w:cstheme="minorHAnsi"/>
          <w:color w:val="000000" w:themeColor="text1"/>
          <w:lang w:val="en-GB"/>
        </w:rPr>
        <w:t xml:space="preserve"> latter normalized and fitted, and</w:t>
      </w:r>
      <w:r w:rsidR="001F6296">
        <w:rPr>
          <w:rFonts w:cstheme="minorHAnsi"/>
          <w:color w:val="000000" w:themeColor="text1"/>
          <w:lang w:val="en-GB"/>
        </w:rPr>
        <w:t xml:space="preserve"> its</w:t>
      </w:r>
      <w:r w:rsidRPr="007621E8">
        <w:rPr>
          <w:rFonts w:cstheme="minorHAnsi"/>
          <w:color w:val="000000" w:themeColor="text1"/>
          <w:lang w:val="en-GB"/>
        </w:rPr>
        <w:t xml:space="preserve"> elements identified using the PyMCA software. Spectral and elemental maps were produced and saved as JPG and PNG, and further graphical processing was performed using Inkscape version 0.92.3 (2405546, 2018-03-11).</w:t>
      </w:r>
    </w:p>
    <w:p w14:paraId="3DE121E9" w14:textId="77777777" w:rsidR="008906C4" w:rsidRPr="007621E8" w:rsidRDefault="008906C4" w:rsidP="008906C4">
      <w:pPr>
        <w:spacing w:after="0" w:line="360" w:lineRule="auto"/>
        <w:rPr>
          <w:rFonts w:cstheme="minorHAnsi"/>
          <w:color w:val="000000" w:themeColor="text1"/>
          <w:lang w:val="en-GB"/>
        </w:rPr>
      </w:pPr>
    </w:p>
    <w:p w14:paraId="00DEC59C" w14:textId="77777777" w:rsidR="008906C4" w:rsidRPr="007621E8" w:rsidRDefault="008906C4" w:rsidP="008906C4">
      <w:pPr>
        <w:spacing w:after="0" w:line="360" w:lineRule="auto"/>
        <w:rPr>
          <w:rFonts w:cstheme="minorHAnsi"/>
          <w:b/>
          <w:lang w:val="en-GB"/>
        </w:rPr>
      </w:pPr>
      <w:r w:rsidRPr="007621E8">
        <w:rPr>
          <w:rFonts w:cstheme="minorHAnsi"/>
          <w:b/>
          <w:lang w:val="en-GB"/>
        </w:rPr>
        <w:t>2.2. Identification of PTCA and PTeCA</w:t>
      </w:r>
    </w:p>
    <w:p w14:paraId="7D4F9C9A" w14:textId="2491DAF8" w:rsidR="008906C4" w:rsidRPr="007621E8" w:rsidRDefault="008906C4" w:rsidP="008906C4">
      <w:pPr>
        <w:spacing w:after="0" w:line="360" w:lineRule="auto"/>
        <w:rPr>
          <w:rFonts w:cstheme="minorHAnsi"/>
          <w:lang w:val="en-GB"/>
        </w:rPr>
      </w:pPr>
      <w:r w:rsidRPr="007621E8">
        <w:rPr>
          <w:rFonts w:cstheme="minorHAnsi"/>
          <w:lang w:val="en-GB"/>
        </w:rPr>
        <w:t xml:space="preserve">To confirm the identification of PTCA and PTeCA in the alkaline peroxide oxidation mixture from CPCA 3590, the mixture was extracted with diethyl ether, dried as described previously </w:t>
      </w:r>
      <w:r w:rsidRPr="007621E8">
        <w:rPr>
          <w:rFonts w:cstheme="minorHAnsi"/>
          <w:lang w:val="en-GB"/>
        </w:rPr>
        <w:fldChar w:fldCharType="begin" w:fldLock="1"/>
      </w:r>
      <w:r w:rsidR="00F302D2">
        <w:rPr>
          <w:rFonts w:cstheme="minorHAnsi"/>
          <w:lang w:val="en-GB"/>
        </w:rPr>
        <w:instrText>ADDIN CSL_CITATION {"citationItems":[{"id":"ITEM-1","itemData":{"DOI":"10.1073/pnas.1118448109","ISBN":"9780387734118","ISSN":"0027-8424","PMID":"12847293","abstract":"Melanin is a ubiquitous biological pigment found in bacteria, fungi, plants, and animals. It has a diverse range of ecological and biochemical functions, including display, evasion, photoprotection, detoxification, and metal scavenging. To date, evidence of melanin in fossil organisms has relied entirely on indirect morphological and chemical analyses. Here, we apply direct chemical techniques to categorically demonstrate the preservation of eumelanin in two &gt; 160 Ma Jurassic cephalopod ink sacs and to confirm its chemical similarity to the ink of the modern cephalopod, Sepia officinalis. Identification and characterization of degradation-resistant melanin may provide insights into its diverse roles in ancient organisms.","author":[{"dropping-particle":"","family":"Glass","given":"Keely E.","non-dropping-particle":"","parse-names":false,"suffix":""},{"dropping-particle":"","family":"Ito","given":"Shosuke","non-dropping-particle":"","parse-names":false,"suffix":""},{"dropping-particle":"","family":"Wilby","given":"Philip R.","non-dropping-particle":"","parse-names":false,"suffix":""},{"dropping-particle":"","family":"Sota","given":"Takayuki","non-dropping-particle":"","parse-names":false,"suffix":""},{"dropping-particle":"","family":"Nakamura","given":"Atsushi","non-dropping-particle":"","parse-names":false,"suffix":""},{"dropping-particle":"","family":"Bowers","given":"C. Russel","non-dropping-particle":"","parse-names":false,"suffix":""},{"dropping-particle":"","family":"Vinther","given":"Jakob","non-dropping-particle":"","parse-names":false,"suffix":""},{"dropping-particle":"","family":"Dutta","given":"Suryendu","non-dropping-particle":"","parse-names":false,"suffix":""},{"dropping-particle":"","family":"Summons","given":"Roger","non-dropping-particle":"","parse-names":false,"suffix":""},{"dropping-particle":"","family":"Briggs","given":"Derek E. G.","non-dropping-particle":"","parse-names":false,"suffix":""},{"dropping-particle":"","family":"Wakamatsu","given":"Kazumasa","non-dropping-particle":"","parse-names":false,"suffix":""},{"dropping-particle":"","family":"Simon","given":"John D.","non-dropping-particle":"","parse-names":false,"suffix":""}],"container-title":"Proceedings of the National Academy of Sciences","id":"ITEM-1","issue":"26","issued":{"date-parts":[["2012","6","26"]]},"page":"10218-10223","title":"Direct chemical evidence for eumelanin pigment from the Jurassic period","type":"article-journal","volume":"109"},"uris":["http://www.mendeley.com/documents/?uuid=1a9d9833-67f8-4224-8b3e-fe741837c65d"]}],"mendeley":{"formattedCitation":"&lt;sup&gt;41&lt;/sup&gt;","plainTextFormattedCitation":"41","previouslyFormattedCitation":"(Glass et al., 2012)"},"properties":{"noteIndex":0},"schema":"https://github.com/citation-style-language/schema/raw/master/csl-citation.json"}</w:instrText>
      </w:r>
      <w:r w:rsidRPr="007621E8">
        <w:rPr>
          <w:rFonts w:cstheme="minorHAnsi"/>
          <w:lang w:val="en-GB"/>
        </w:rPr>
        <w:fldChar w:fldCharType="separate"/>
      </w:r>
      <w:r w:rsidR="00F302D2" w:rsidRPr="00F302D2">
        <w:rPr>
          <w:rFonts w:cstheme="minorHAnsi"/>
          <w:noProof/>
          <w:vertAlign w:val="superscript"/>
          <w:lang w:val="en-GB"/>
        </w:rPr>
        <w:t>41</w:t>
      </w:r>
      <w:r w:rsidRPr="007621E8">
        <w:rPr>
          <w:rFonts w:cstheme="minorHAnsi"/>
          <w:lang w:val="en-GB"/>
        </w:rPr>
        <w:fldChar w:fldCharType="end"/>
      </w:r>
      <w:r w:rsidRPr="007621E8">
        <w:rPr>
          <w:rFonts w:cstheme="minorHAnsi"/>
          <w:lang w:val="en-GB"/>
        </w:rPr>
        <w:t xml:space="preserve">. A 25 </w:t>
      </w:r>
      <w:proofErr w:type="spellStart"/>
      <w:r w:rsidRPr="007621E8">
        <w:rPr>
          <w:rFonts w:ascii="Calibri" w:hAnsi="Calibri" w:cstheme="minorHAnsi"/>
          <w:lang w:val="en-GB"/>
        </w:rPr>
        <w:t>μL</w:t>
      </w:r>
      <w:proofErr w:type="spellEnd"/>
      <w:r w:rsidRPr="007621E8">
        <w:rPr>
          <w:rFonts w:ascii="Calibri" w:hAnsi="Calibri" w:cstheme="minorHAnsi"/>
          <w:lang w:val="en-GB"/>
        </w:rPr>
        <w:t xml:space="preserve"> injection of CPCA 3590 at a concentration of 60-80 μM in a 75:25 mixture of LC grade methanol and water solution was injected onto an Agilent 1200 Series high-performance liquid chromatography system (HPLC, Agilent Technologies Inc.) and separated using a Ascentis Express 5 cm x 2.1 mm x 2.7 μm C</w:t>
      </w:r>
      <w:r w:rsidRPr="007621E8">
        <w:rPr>
          <w:rFonts w:ascii="Calibri" w:hAnsi="Calibri" w:cstheme="minorHAnsi"/>
          <w:vertAlign w:val="subscript"/>
          <w:lang w:val="en-GB"/>
        </w:rPr>
        <w:t>18</w:t>
      </w:r>
      <w:r w:rsidRPr="007621E8">
        <w:rPr>
          <w:rFonts w:ascii="Calibri" w:hAnsi="Calibri" w:cstheme="minorHAnsi"/>
          <w:lang w:val="en-GB"/>
        </w:rPr>
        <w:t xml:space="preserve"> column (Supelco Analytical) with a column temperature of 35°C. The HPLC was connected with a standard ESI interface to an Agilent Technologies 6224 </w:t>
      </w:r>
      <w:r w:rsidRPr="007621E8">
        <w:rPr>
          <w:rFonts w:ascii="Calibri" w:hAnsi="Calibri" w:cstheme="minorHAnsi"/>
          <w:lang w:val="en-GB"/>
        </w:rPr>
        <w:lastRenderedPageBreak/>
        <w:t xml:space="preserve">MS-TOF to obtain high-resolution exact mass measurements. The LC-MS-TOF was operated at a flow rate of 0.17 mL/min using a linear gradient of 0.3% formic acid, 98% water, and 2% methanol (A) and 0.3% formic acid, 98% acetonitrile, and 2% water (B) as the mobile phase. The gradient program is provided in the table below (Table S3). The MS used an electrospray ionization (ESI) source in the negative mode. </w:t>
      </w:r>
      <w:r w:rsidRPr="007621E8">
        <w:rPr>
          <w:rFonts w:cstheme="minorHAnsi"/>
          <w:lang w:val="en-GB"/>
        </w:rPr>
        <w:t xml:space="preserve">The results are shown in Figure S5. </w:t>
      </w:r>
    </w:p>
    <w:p w14:paraId="7237C338" w14:textId="77777777" w:rsidR="008906C4" w:rsidRPr="007621E8" w:rsidRDefault="008906C4" w:rsidP="008906C4">
      <w:pPr>
        <w:spacing w:after="0" w:line="360" w:lineRule="auto"/>
        <w:rPr>
          <w:rFonts w:cstheme="minorHAnsi"/>
          <w:lang w:val="en-GB"/>
        </w:rPr>
      </w:pPr>
    </w:p>
    <w:p w14:paraId="604929B6" w14:textId="77777777" w:rsidR="008906C4" w:rsidRPr="007621E8" w:rsidRDefault="008906C4" w:rsidP="008906C4">
      <w:pPr>
        <w:spacing w:after="0" w:line="360" w:lineRule="auto"/>
        <w:rPr>
          <w:rFonts w:cstheme="minorHAnsi"/>
          <w:b/>
          <w:lang w:val="en-GB"/>
        </w:rPr>
      </w:pPr>
      <w:r w:rsidRPr="007621E8">
        <w:rPr>
          <w:rFonts w:cstheme="minorHAnsi"/>
          <w:b/>
          <w:lang w:val="en-GB"/>
        </w:rPr>
        <w:t>2.3. Raman Spectroscopy</w:t>
      </w:r>
    </w:p>
    <w:p w14:paraId="71D21A62" w14:textId="30BE29C1" w:rsidR="008906C4" w:rsidRPr="007621E8" w:rsidRDefault="008906C4" w:rsidP="008906C4">
      <w:pPr>
        <w:spacing w:after="0" w:line="360" w:lineRule="auto"/>
        <w:rPr>
          <w:rFonts w:cstheme="minorHAnsi"/>
          <w:b/>
          <w:lang w:val="en-GB"/>
        </w:rPr>
      </w:pPr>
      <w:r w:rsidRPr="007621E8">
        <w:rPr>
          <w:color w:val="000000" w:themeColor="text1"/>
          <w:lang w:val="en-GB"/>
        </w:rPr>
        <w:t>Prior to the Raman analysis, in order to eliminate modern contaminants during transport, the small fragment was washed in ethanol and left to dry inside a partially closed petri dish at ambient temperature and humidity. The sample was handled using disposable powder-free gloves. This washing procedure was repeated three times before the fragment was placed onto sterile glass slides in the confocal micro-Raman In Via Renishaw equipped with, He-Ne monochromatic lasers with 633 and 785 nm, detector CCD and spectral resolution of 4 cm</w:t>
      </w:r>
      <w:r w:rsidRPr="007621E8">
        <w:rPr>
          <w:color w:val="000000" w:themeColor="text1"/>
          <w:vertAlign w:val="superscript"/>
          <w:lang w:val="en-GB"/>
        </w:rPr>
        <w:t>-1</w:t>
      </w:r>
      <w:r w:rsidRPr="007621E8">
        <w:rPr>
          <w:color w:val="000000" w:themeColor="text1"/>
          <w:lang w:val="en-GB"/>
        </w:rPr>
        <w:t>. Spectra were collected with a spectral range between 200-2000 cm</w:t>
      </w:r>
      <w:r w:rsidRPr="007621E8">
        <w:rPr>
          <w:color w:val="000000" w:themeColor="text1"/>
          <w:vertAlign w:val="superscript"/>
          <w:lang w:val="en-GB"/>
        </w:rPr>
        <w:t>-1</w:t>
      </w:r>
      <w:r w:rsidRPr="007621E8">
        <w:rPr>
          <w:color w:val="000000" w:themeColor="text1"/>
          <w:lang w:val="en-GB"/>
        </w:rPr>
        <w:t xml:space="preserve">, with 0.05 to 1% laser power and an exposure time from 1 to 10 seconds, with an average of 20 accumulations. The analysis was made both in </w:t>
      </w:r>
      <w:r w:rsidRPr="007621E8">
        <w:rPr>
          <w:lang w:val="en-GB"/>
        </w:rPr>
        <w:t>mapping and point-and-shoot modes</w:t>
      </w:r>
      <w:r w:rsidR="00D7009C">
        <w:rPr>
          <w:lang w:val="en-GB"/>
        </w:rPr>
        <w:t>,</w:t>
      </w:r>
      <w:r w:rsidRPr="007621E8">
        <w:rPr>
          <w:lang w:val="en-GB"/>
        </w:rPr>
        <w:t xml:space="preserve"> and examinations were carried out with sample devoid of any type of coating. In order to distinguish the materials, the spectrum was obtained using WiRE 4.1 and using Origin 8 (OriginLab). Spectra were normalized, and smoothing processing was performed using the Savitzky-Golay filter. Subtract baseline was performed using Fityk 0.9.8 </w:t>
      </w:r>
      <w:r w:rsidRPr="007621E8">
        <w:rPr>
          <w:lang w:val="en-GB"/>
        </w:rPr>
        <w:fldChar w:fldCharType="begin" w:fldLock="1"/>
      </w:r>
      <w:r w:rsidR="00F302D2">
        <w:rPr>
          <w:lang w:val="en-GB"/>
        </w:rPr>
        <w:instrText>ADDIN CSL_CITATION {"citationItems":[{"id":"ITEM-1","itemData":{"DOI":"10.1107/S0021889810030499","ISBN":"0021889810030","ISSN":"0021-8898","abstract":"Fityk is portable, open-source software for nonlinear curve fitting and data analysis. It specializes in fitting a sum of bell-shaped functions to experimental data. In particular, it enables Pawley refinement of powder diffraction data and size–strain analysis.","author":[{"dropping-particle":"","family":"Wojdyr","given":"Marcin","non-dropping-particle":"","parse-names":false,"suffix":""}],"container-title":"Journal of Applied Crystallography","id":"ITEM-1","issue":"5","issued":{"date-parts":[["2010","10","1"]]},"page":"1126-1128","publisher":"International Union of Crystallography","title":"Fityk : a general-purpose peak fitting program","type":"article-journal","volume":"43"},"uris":["http://www.mendeley.com/documents/?uuid=6c098b2b-a672-4fda-928f-8471818328f0"]}],"mendeley":{"formattedCitation":"&lt;sup&gt;42&lt;/sup&gt;","plainTextFormattedCitation":"42","previouslyFormattedCitation":"(Wojdyr, 2010)"},"properties":{"noteIndex":0},"schema":"https://github.com/citation-style-language/schema/raw/master/csl-citation.json"}</w:instrText>
      </w:r>
      <w:r w:rsidRPr="007621E8">
        <w:rPr>
          <w:lang w:val="en-GB"/>
        </w:rPr>
        <w:fldChar w:fldCharType="separate"/>
      </w:r>
      <w:r w:rsidR="00F302D2" w:rsidRPr="00F302D2">
        <w:rPr>
          <w:noProof/>
          <w:vertAlign w:val="superscript"/>
          <w:lang w:val="en-GB"/>
        </w:rPr>
        <w:t>42</w:t>
      </w:r>
      <w:r w:rsidRPr="007621E8">
        <w:rPr>
          <w:lang w:val="en-GB"/>
        </w:rPr>
        <w:fldChar w:fldCharType="end"/>
      </w:r>
      <w:r w:rsidRPr="007621E8">
        <w:rPr>
          <w:lang w:val="en-GB"/>
        </w:rPr>
        <w:t xml:space="preserve">, and deconvolutions were carried out using the Gaussian function with a spectral range between 1200 </w:t>
      </w:r>
      <w:r w:rsidRPr="007621E8">
        <w:rPr>
          <w:color w:val="000000" w:themeColor="text1"/>
          <w:lang w:val="en-GB"/>
        </w:rPr>
        <w:t>to 1700 cm</w:t>
      </w:r>
      <w:r w:rsidRPr="007621E8">
        <w:rPr>
          <w:color w:val="000000" w:themeColor="text1"/>
          <w:vertAlign w:val="superscript"/>
          <w:lang w:val="en-GB"/>
        </w:rPr>
        <w:t>-1</w:t>
      </w:r>
      <w:r w:rsidRPr="007621E8">
        <w:rPr>
          <w:color w:val="000000" w:themeColor="text1"/>
          <w:lang w:val="en-GB"/>
        </w:rPr>
        <w:t xml:space="preserve">, where only correlation values below </w:t>
      </w:r>
      <w:r w:rsidRPr="007621E8">
        <w:rPr>
          <w:i/>
          <w:color w:val="000000" w:themeColor="text1"/>
          <w:lang w:val="en-GB"/>
        </w:rPr>
        <w:t>R</w:t>
      </w:r>
      <w:r w:rsidRPr="007621E8">
        <w:rPr>
          <w:i/>
          <w:color w:val="000000" w:themeColor="text1"/>
          <w:vertAlign w:val="superscript"/>
          <w:lang w:val="en-GB"/>
        </w:rPr>
        <w:t>2</w:t>
      </w:r>
      <w:r w:rsidRPr="007621E8">
        <w:rPr>
          <w:color w:val="000000" w:themeColor="text1"/>
          <w:lang w:val="en-GB"/>
        </w:rPr>
        <w:t>=0.98 were considered. For spectra comparison, we examined the synthetic</w:t>
      </w:r>
      <w:r w:rsidR="00EA4A63">
        <w:rPr>
          <w:color w:val="000000" w:themeColor="text1"/>
          <w:lang w:val="en-GB"/>
        </w:rPr>
        <w:t xml:space="preserve"> melanin from the oxidation of tyrosinase by hydrogen peroxide</w:t>
      </w:r>
      <w:r w:rsidRPr="007621E8">
        <w:rPr>
          <w:color w:val="000000" w:themeColor="text1"/>
          <w:lang w:val="en-GB"/>
        </w:rPr>
        <w:t xml:space="preserve"> (M8631) and natural melanins from </w:t>
      </w:r>
      <w:r w:rsidRPr="007621E8">
        <w:rPr>
          <w:i/>
          <w:color w:val="000000" w:themeColor="text1"/>
          <w:lang w:val="en-GB"/>
        </w:rPr>
        <w:t xml:space="preserve">Sepia officinalis </w:t>
      </w:r>
      <w:r w:rsidRPr="007621E8">
        <w:rPr>
          <w:color w:val="000000" w:themeColor="text1"/>
          <w:lang w:val="en-GB"/>
        </w:rPr>
        <w:t xml:space="preserve">(M2649) purchased from Sigma-Aldrich Co. (Saint Louis - MO, USA). We also used the standard mineral spectra from the database of the RRUFF Project </w:t>
      </w:r>
      <w:r w:rsidRPr="007621E8">
        <w:rPr>
          <w:color w:val="000000" w:themeColor="text1"/>
          <w:lang w:val="en-GB"/>
        </w:rPr>
        <w:fldChar w:fldCharType="begin" w:fldLock="1"/>
      </w:r>
      <w:r w:rsidR="00F302D2">
        <w:rPr>
          <w:color w:val="000000" w:themeColor="text1"/>
          <w:lang w:val="en-GB"/>
        </w:rPr>
        <w:instrText>ADDIN CSL_CITATION {"citationItems":[{"id":"ITEM-1","itemData":{"DOI":"10.1515/9783110417104-003","ISBN":"9783110417104","abstract":"\"Highlights in Mineralogical Crystallography\" presents a collection of review articles with the common topic: structural properties of minerals and synthetic analogues. It is a valuable resource for mineralogists, materials scientists, crystallographers, and earth scientists. This book includes: u An introduction to the RRUFF database for structural, spectroscopic, and chemical mineral identification. u A systematic evaluation of structural complexity of minerals. u ab initio computer modelling of mineral surfaces. u Natural quasicrystals of meteoritic origin. u The potential role of terrestrial ringwoodite on the water content of the Earth's mantle. u Structural characterization of nanocrystalline bio-related minerals by electron-diffraction tomography. u The uniqueness of mayenite-type compounds as minerals and high-tech ceramics.","author":[{"dropping-particle":"","family":"Lafuente","given":"Barbara","non-dropping-particle":"","parse-names":false,"suffix":""},{"dropping-particle":"","family":"Downs","given":"Robert T.","non-dropping-particle":"","parse-names":false,"suffix":""},{"dropping-particle":"","family":"Yang","given":"Hexiong","non-dropping-particle":"","parse-names":false,"suffix":""},{"dropping-particle":"","family":"Stone","given":"Nate","non-dropping-particle":"","parse-names":false,"suffix":""}],"container-title":"Highlights in Mineralogical Crystallography","id":"ITEM-1","issued":{"date-parts":[["2016"]]},"number-of-pages":"1-29","title":"The power of databases: The RRUFF project","type":"book"},"uris":["http://www.mendeley.com/documents/?uuid=066a8e03-c6a1-4c72-ba71-07f51ab35659"]}],"mendeley":{"formattedCitation":"&lt;sup&gt;43&lt;/sup&gt;","plainTextFormattedCitation":"43","previouslyFormattedCitation":"(Lafuente et al., 2016)"},"properties":{"noteIndex":0},"schema":"https://github.com/citation-style-language/schema/raw/master/csl-citation.json"}</w:instrText>
      </w:r>
      <w:r w:rsidRPr="007621E8">
        <w:rPr>
          <w:color w:val="000000" w:themeColor="text1"/>
          <w:lang w:val="en-GB"/>
        </w:rPr>
        <w:fldChar w:fldCharType="separate"/>
      </w:r>
      <w:r w:rsidR="00F302D2" w:rsidRPr="00F302D2">
        <w:rPr>
          <w:noProof/>
          <w:color w:val="000000" w:themeColor="text1"/>
          <w:vertAlign w:val="superscript"/>
          <w:lang w:val="en-GB"/>
        </w:rPr>
        <w:t>43</w:t>
      </w:r>
      <w:r w:rsidRPr="007621E8">
        <w:rPr>
          <w:color w:val="000000" w:themeColor="text1"/>
          <w:lang w:val="en-GB"/>
        </w:rPr>
        <w:fldChar w:fldCharType="end"/>
      </w:r>
      <w:r w:rsidRPr="007621E8">
        <w:rPr>
          <w:color w:val="000000" w:themeColor="text1"/>
          <w:lang w:val="en-GB"/>
        </w:rPr>
        <w:t xml:space="preserve">. The RS equipment (FAPESP 2012/18936-0) is housed in the Research Unit of Astrobiology of the University of São Paulo (NAP/Astrobio, PRP-USP) currently at the TGM beamline (Toroidal Grating Monochromator) of the Brazilian Synchrotron Light Laboratory (LNLS) of the National Centre for Energy and Materials Research. </w:t>
      </w:r>
    </w:p>
    <w:p w14:paraId="244B17B1" w14:textId="77777777" w:rsidR="008906C4" w:rsidRPr="007621E8" w:rsidRDefault="008906C4" w:rsidP="008906C4">
      <w:pPr>
        <w:spacing w:after="0" w:line="360" w:lineRule="auto"/>
        <w:rPr>
          <w:rFonts w:cstheme="minorHAnsi"/>
          <w:b/>
          <w:lang w:val="en-GB"/>
        </w:rPr>
      </w:pPr>
    </w:p>
    <w:p w14:paraId="6FD89EF7" w14:textId="77777777" w:rsidR="008906C4" w:rsidRPr="007621E8" w:rsidRDefault="008906C4" w:rsidP="008906C4">
      <w:pPr>
        <w:spacing w:after="0" w:line="360" w:lineRule="auto"/>
        <w:rPr>
          <w:rFonts w:cstheme="minorHAnsi"/>
          <w:lang w:val="en-GB"/>
        </w:rPr>
      </w:pPr>
      <w:r w:rsidRPr="007621E8">
        <w:rPr>
          <w:rFonts w:cstheme="minorHAnsi"/>
          <w:b/>
          <w:lang w:val="en-GB"/>
        </w:rPr>
        <w:t>Cited References</w:t>
      </w:r>
    </w:p>
    <w:p w14:paraId="54E8DA4E" w14:textId="18583324" w:rsidR="00F302D2" w:rsidRPr="00F0485C" w:rsidRDefault="008906C4" w:rsidP="00F302D2">
      <w:pPr>
        <w:widowControl w:val="0"/>
        <w:autoSpaceDE w:val="0"/>
        <w:autoSpaceDN w:val="0"/>
        <w:adjustRightInd w:val="0"/>
        <w:spacing w:after="0" w:line="360" w:lineRule="auto"/>
        <w:ind w:left="640" w:hanging="640"/>
        <w:rPr>
          <w:rFonts w:ascii="Calibri" w:hAnsi="Calibri" w:cs="Calibri"/>
          <w:noProof/>
          <w:szCs w:val="24"/>
          <w:lang w:val="pt-BR"/>
        </w:rPr>
      </w:pPr>
      <w:r w:rsidRPr="007621E8">
        <w:rPr>
          <w:rFonts w:cstheme="minorHAnsi"/>
          <w:lang w:val="en-GB"/>
        </w:rPr>
        <w:fldChar w:fldCharType="begin" w:fldLock="1"/>
      </w:r>
      <w:r w:rsidRPr="007621E8">
        <w:rPr>
          <w:rFonts w:cstheme="minorHAnsi"/>
          <w:lang w:val="en-GB"/>
        </w:rPr>
        <w:instrText xml:space="preserve">ADDIN Mendeley Bibliography CSL_BIBLIOGRAPHY </w:instrText>
      </w:r>
      <w:r w:rsidRPr="007621E8">
        <w:rPr>
          <w:rFonts w:cstheme="minorHAnsi"/>
          <w:lang w:val="en-GB"/>
        </w:rPr>
        <w:fldChar w:fldCharType="separate"/>
      </w:r>
      <w:r w:rsidR="00F302D2" w:rsidRPr="00F302D2">
        <w:rPr>
          <w:rFonts w:ascii="Calibri" w:hAnsi="Calibri" w:cs="Calibri"/>
          <w:noProof/>
          <w:szCs w:val="24"/>
        </w:rPr>
        <w:t>1.</w:t>
      </w:r>
      <w:r w:rsidR="00F302D2" w:rsidRPr="00F302D2">
        <w:rPr>
          <w:rFonts w:ascii="Calibri" w:hAnsi="Calibri" w:cs="Calibri"/>
          <w:noProof/>
          <w:szCs w:val="24"/>
        </w:rPr>
        <w:tab/>
        <w:t xml:space="preserve">Coimbra, J. C., Arai, M. &amp; Carreño, A. L. Biostratigraphy of Lower Cretaceous microfossils from the Araripe basin, northeastern Brazil. </w:t>
      </w:r>
      <w:r w:rsidR="00F302D2" w:rsidRPr="00F0485C">
        <w:rPr>
          <w:rFonts w:ascii="Calibri" w:hAnsi="Calibri" w:cs="Calibri"/>
          <w:i/>
          <w:iCs/>
          <w:noProof/>
          <w:szCs w:val="24"/>
          <w:lang w:val="pt-BR"/>
        </w:rPr>
        <w:t>Geobios</w:t>
      </w:r>
      <w:r w:rsidR="00F302D2" w:rsidRPr="00F0485C">
        <w:rPr>
          <w:rFonts w:ascii="Calibri" w:hAnsi="Calibri" w:cs="Calibri"/>
          <w:noProof/>
          <w:szCs w:val="24"/>
          <w:lang w:val="pt-BR"/>
        </w:rPr>
        <w:t xml:space="preserve"> </w:t>
      </w:r>
      <w:r w:rsidR="00F302D2" w:rsidRPr="00F0485C">
        <w:rPr>
          <w:rFonts w:ascii="Calibri" w:hAnsi="Calibri" w:cs="Calibri"/>
          <w:b/>
          <w:bCs/>
          <w:noProof/>
          <w:szCs w:val="24"/>
          <w:lang w:val="pt-BR"/>
        </w:rPr>
        <w:t>35</w:t>
      </w:r>
      <w:r w:rsidR="00F302D2" w:rsidRPr="00F0485C">
        <w:rPr>
          <w:rFonts w:ascii="Calibri" w:hAnsi="Calibri" w:cs="Calibri"/>
          <w:noProof/>
          <w:szCs w:val="24"/>
          <w:lang w:val="pt-BR"/>
        </w:rPr>
        <w:t>, 687–698 (2002).</w:t>
      </w:r>
    </w:p>
    <w:p w14:paraId="040BBDD4" w14:textId="77777777" w:rsidR="00F302D2" w:rsidRPr="00F0485C" w:rsidRDefault="00F302D2" w:rsidP="00F302D2">
      <w:pPr>
        <w:widowControl w:val="0"/>
        <w:autoSpaceDE w:val="0"/>
        <w:autoSpaceDN w:val="0"/>
        <w:adjustRightInd w:val="0"/>
        <w:spacing w:after="0" w:line="360" w:lineRule="auto"/>
        <w:ind w:left="640" w:hanging="640"/>
        <w:rPr>
          <w:rFonts w:ascii="Calibri" w:hAnsi="Calibri" w:cs="Calibri"/>
          <w:noProof/>
          <w:szCs w:val="24"/>
          <w:lang w:val="pt-BR"/>
        </w:rPr>
      </w:pPr>
      <w:r w:rsidRPr="00F0485C">
        <w:rPr>
          <w:rFonts w:ascii="Calibri" w:hAnsi="Calibri" w:cs="Calibri"/>
          <w:noProof/>
          <w:szCs w:val="24"/>
          <w:lang w:val="pt-BR"/>
        </w:rPr>
        <w:t>2.</w:t>
      </w:r>
      <w:r w:rsidRPr="00F0485C">
        <w:rPr>
          <w:rFonts w:ascii="Calibri" w:hAnsi="Calibri" w:cs="Calibri"/>
          <w:noProof/>
          <w:szCs w:val="24"/>
          <w:lang w:val="pt-BR"/>
        </w:rPr>
        <w:tab/>
        <w:t xml:space="preserve">Assine, M. L. </w:t>
      </w:r>
      <w:r w:rsidRPr="00F0485C">
        <w:rPr>
          <w:rFonts w:ascii="Calibri" w:hAnsi="Calibri" w:cs="Calibri"/>
          <w:i/>
          <w:iCs/>
          <w:noProof/>
          <w:szCs w:val="24"/>
          <w:lang w:val="pt-BR"/>
        </w:rPr>
        <w:t>et al.</w:t>
      </w:r>
      <w:r w:rsidRPr="00F0485C">
        <w:rPr>
          <w:rFonts w:ascii="Calibri" w:hAnsi="Calibri" w:cs="Calibri"/>
          <w:noProof/>
          <w:szCs w:val="24"/>
          <w:lang w:val="pt-BR"/>
        </w:rPr>
        <w:t xml:space="preserve"> Sequências deposicionais do Andar Alagoas da Bacia do Araripe, Nordeste do Brasil. </w:t>
      </w:r>
      <w:r w:rsidRPr="00F0485C">
        <w:rPr>
          <w:rFonts w:ascii="Calibri" w:hAnsi="Calibri" w:cs="Calibri"/>
          <w:i/>
          <w:iCs/>
          <w:noProof/>
          <w:szCs w:val="24"/>
          <w:lang w:val="pt-BR"/>
        </w:rPr>
        <w:t>Bol. Geociencias da Petrobras</w:t>
      </w:r>
      <w:r w:rsidRPr="00F0485C">
        <w:rPr>
          <w:rFonts w:ascii="Calibri" w:hAnsi="Calibri" w:cs="Calibri"/>
          <w:noProof/>
          <w:szCs w:val="24"/>
          <w:lang w:val="pt-BR"/>
        </w:rPr>
        <w:t xml:space="preserve"> </w:t>
      </w:r>
      <w:r w:rsidRPr="00F0485C">
        <w:rPr>
          <w:rFonts w:ascii="Calibri" w:hAnsi="Calibri" w:cs="Calibri"/>
          <w:b/>
          <w:bCs/>
          <w:noProof/>
          <w:szCs w:val="24"/>
          <w:lang w:val="pt-BR"/>
        </w:rPr>
        <w:t>22</w:t>
      </w:r>
      <w:r w:rsidRPr="00F0485C">
        <w:rPr>
          <w:rFonts w:ascii="Calibri" w:hAnsi="Calibri" w:cs="Calibri"/>
          <w:noProof/>
          <w:szCs w:val="24"/>
          <w:lang w:val="pt-BR"/>
        </w:rPr>
        <w:t>, 3–28 (2014).</w:t>
      </w:r>
    </w:p>
    <w:p w14:paraId="517E192C"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0485C">
        <w:rPr>
          <w:rFonts w:ascii="Calibri" w:hAnsi="Calibri" w:cs="Calibri"/>
          <w:noProof/>
          <w:szCs w:val="24"/>
          <w:lang w:val="pt-BR"/>
        </w:rPr>
        <w:lastRenderedPageBreak/>
        <w:t>3.</w:t>
      </w:r>
      <w:r w:rsidRPr="00F0485C">
        <w:rPr>
          <w:rFonts w:ascii="Calibri" w:hAnsi="Calibri" w:cs="Calibri"/>
          <w:noProof/>
          <w:szCs w:val="24"/>
          <w:lang w:val="pt-BR"/>
        </w:rPr>
        <w:tab/>
        <w:t xml:space="preserve">Neumann, V. H. M. L. &amp; Cabrera, L. Características Hidrogeológicas gerais, mudanças de salinidade e caráter endorréico do sistema lacustre Cretáceo do Araripe, NE Brasil. </w:t>
      </w:r>
      <w:r w:rsidRPr="00F302D2">
        <w:rPr>
          <w:rFonts w:ascii="Calibri" w:hAnsi="Calibri" w:cs="Calibri"/>
          <w:i/>
          <w:iCs/>
          <w:noProof/>
          <w:szCs w:val="24"/>
        </w:rPr>
        <w:t>Rev. Geol.</w:t>
      </w:r>
      <w:r w:rsidRPr="00F302D2">
        <w:rPr>
          <w:rFonts w:ascii="Calibri" w:hAnsi="Calibri" w:cs="Calibri"/>
          <w:noProof/>
          <w:szCs w:val="24"/>
        </w:rPr>
        <w:t xml:space="preserve"> </w:t>
      </w:r>
      <w:r w:rsidRPr="00F302D2">
        <w:rPr>
          <w:rFonts w:ascii="Calibri" w:hAnsi="Calibri" w:cs="Calibri"/>
          <w:b/>
          <w:bCs/>
          <w:noProof/>
          <w:szCs w:val="24"/>
        </w:rPr>
        <w:t>15</w:t>
      </w:r>
      <w:r w:rsidRPr="00F302D2">
        <w:rPr>
          <w:rFonts w:ascii="Calibri" w:hAnsi="Calibri" w:cs="Calibri"/>
          <w:noProof/>
          <w:szCs w:val="24"/>
        </w:rPr>
        <w:t>, 43–54 (2002).</w:t>
      </w:r>
    </w:p>
    <w:p w14:paraId="6D989ECC"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4.</w:t>
      </w:r>
      <w:r w:rsidRPr="00F302D2">
        <w:rPr>
          <w:rFonts w:ascii="Calibri" w:hAnsi="Calibri" w:cs="Calibri"/>
          <w:noProof/>
          <w:szCs w:val="24"/>
        </w:rPr>
        <w:tab/>
        <w:t xml:space="preserve">Neumann, V. H., Borrego, A. G., Cabrera, L. &amp; Dino, R. Organic matter composition and distribution through the Aptian-Albian lacustrine sequences of the Araripe Basin, northeastern Brazil. </w:t>
      </w:r>
      <w:r w:rsidRPr="00F302D2">
        <w:rPr>
          <w:rFonts w:ascii="Calibri" w:hAnsi="Calibri" w:cs="Calibri"/>
          <w:i/>
          <w:iCs/>
          <w:noProof/>
          <w:szCs w:val="24"/>
        </w:rPr>
        <w:t>Int. J. Coal Geol.</w:t>
      </w:r>
      <w:r w:rsidRPr="00F302D2">
        <w:rPr>
          <w:rFonts w:ascii="Calibri" w:hAnsi="Calibri" w:cs="Calibri"/>
          <w:noProof/>
          <w:szCs w:val="24"/>
        </w:rPr>
        <w:t xml:space="preserve"> </w:t>
      </w:r>
      <w:r w:rsidRPr="00F302D2">
        <w:rPr>
          <w:rFonts w:ascii="Calibri" w:hAnsi="Calibri" w:cs="Calibri"/>
          <w:b/>
          <w:bCs/>
          <w:noProof/>
          <w:szCs w:val="24"/>
        </w:rPr>
        <w:t>54</w:t>
      </w:r>
      <w:r w:rsidRPr="00F302D2">
        <w:rPr>
          <w:rFonts w:ascii="Calibri" w:hAnsi="Calibri" w:cs="Calibri"/>
          <w:noProof/>
          <w:szCs w:val="24"/>
        </w:rPr>
        <w:t>, 21–40 (2003).</w:t>
      </w:r>
    </w:p>
    <w:p w14:paraId="1310F4F1"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5.</w:t>
      </w:r>
      <w:r w:rsidRPr="00F302D2">
        <w:rPr>
          <w:rFonts w:ascii="Calibri" w:hAnsi="Calibri" w:cs="Calibri"/>
          <w:noProof/>
          <w:szCs w:val="24"/>
        </w:rPr>
        <w:tab/>
        <w:t xml:space="preserve">Heimhofer, U. </w:t>
      </w:r>
      <w:r w:rsidRPr="00F302D2">
        <w:rPr>
          <w:rFonts w:ascii="Calibri" w:hAnsi="Calibri" w:cs="Calibri"/>
          <w:i/>
          <w:iCs/>
          <w:noProof/>
          <w:szCs w:val="24"/>
        </w:rPr>
        <w:t>et al.</w:t>
      </w:r>
      <w:r w:rsidRPr="00F302D2">
        <w:rPr>
          <w:rFonts w:ascii="Calibri" w:hAnsi="Calibri" w:cs="Calibri"/>
          <w:noProof/>
          <w:szCs w:val="24"/>
        </w:rPr>
        <w:t xml:space="preserve"> Deciphering the depositional environment of the laminated Crato fossil beds (Early Cretaceous, Araripe Basin, North-eastern Brazil). </w:t>
      </w:r>
      <w:r w:rsidRPr="00F302D2">
        <w:rPr>
          <w:rFonts w:ascii="Calibri" w:hAnsi="Calibri" w:cs="Calibri"/>
          <w:i/>
          <w:iCs/>
          <w:noProof/>
          <w:szCs w:val="24"/>
        </w:rPr>
        <w:t>Sedimentology</w:t>
      </w:r>
      <w:r w:rsidRPr="00F302D2">
        <w:rPr>
          <w:rFonts w:ascii="Calibri" w:hAnsi="Calibri" w:cs="Calibri"/>
          <w:noProof/>
          <w:szCs w:val="24"/>
        </w:rPr>
        <w:t xml:space="preserve"> </w:t>
      </w:r>
      <w:r w:rsidRPr="00F302D2">
        <w:rPr>
          <w:rFonts w:ascii="Calibri" w:hAnsi="Calibri" w:cs="Calibri"/>
          <w:b/>
          <w:bCs/>
          <w:noProof/>
          <w:szCs w:val="24"/>
        </w:rPr>
        <w:t>57</w:t>
      </w:r>
      <w:r w:rsidRPr="00F302D2">
        <w:rPr>
          <w:rFonts w:ascii="Calibri" w:hAnsi="Calibri" w:cs="Calibri"/>
          <w:noProof/>
          <w:szCs w:val="24"/>
        </w:rPr>
        <w:t>, 677–694 (2010).</w:t>
      </w:r>
    </w:p>
    <w:p w14:paraId="0C918CB5"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6.</w:t>
      </w:r>
      <w:r w:rsidRPr="00F302D2">
        <w:rPr>
          <w:rFonts w:ascii="Calibri" w:hAnsi="Calibri" w:cs="Calibri"/>
          <w:noProof/>
          <w:szCs w:val="24"/>
        </w:rPr>
        <w:tab/>
        <w:t xml:space="preserve">Neumann, V. H. &amp; Cabrera, L. Significance and genetic interpretation of the sequential organization of the Aptian-Albian. </w:t>
      </w:r>
      <w:r w:rsidRPr="00F302D2">
        <w:rPr>
          <w:rFonts w:ascii="Calibri" w:hAnsi="Calibri" w:cs="Calibri"/>
          <w:i/>
          <w:iCs/>
          <w:noProof/>
          <w:szCs w:val="24"/>
        </w:rPr>
        <w:t>An. Acad. Bras. Cienc.</w:t>
      </w:r>
      <w:r w:rsidRPr="00F302D2">
        <w:rPr>
          <w:rFonts w:ascii="Calibri" w:hAnsi="Calibri" w:cs="Calibri"/>
          <w:noProof/>
          <w:szCs w:val="24"/>
        </w:rPr>
        <w:t xml:space="preserve"> </w:t>
      </w:r>
      <w:r w:rsidRPr="00F302D2">
        <w:rPr>
          <w:rFonts w:ascii="Calibri" w:hAnsi="Calibri" w:cs="Calibri"/>
          <w:b/>
          <w:bCs/>
          <w:noProof/>
          <w:szCs w:val="24"/>
        </w:rPr>
        <w:t>72</w:t>
      </w:r>
      <w:r w:rsidRPr="00F302D2">
        <w:rPr>
          <w:rFonts w:ascii="Calibri" w:hAnsi="Calibri" w:cs="Calibri"/>
          <w:noProof/>
          <w:szCs w:val="24"/>
        </w:rPr>
        <w:t>, 607–608 (2000).</w:t>
      </w:r>
    </w:p>
    <w:p w14:paraId="46CFB659"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7.</w:t>
      </w:r>
      <w:r w:rsidRPr="00F302D2">
        <w:rPr>
          <w:rFonts w:ascii="Calibri" w:hAnsi="Calibri" w:cs="Calibri"/>
          <w:noProof/>
          <w:szCs w:val="24"/>
        </w:rPr>
        <w:tab/>
        <w:t xml:space="preserve">Heimhofer, U. &amp; Martill, D. M. The sedimentology and depositional environment of the Crato Formation. in </w:t>
      </w:r>
      <w:r w:rsidRPr="00F302D2">
        <w:rPr>
          <w:rFonts w:ascii="Calibri" w:hAnsi="Calibri" w:cs="Calibri"/>
          <w:i/>
          <w:iCs/>
          <w:noProof/>
          <w:szCs w:val="24"/>
        </w:rPr>
        <w:t>The Crato Fossil Beds of Brazil: Window into an Ancient World</w:t>
      </w:r>
      <w:r w:rsidRPr="00F302D2">
        <w:rPr>
          <w:rFonts w:ascii="Calibri" w:hAnsi="Calibri" w:cs="Calibri"/>
          <w:noProof/>
          <w:szCs w:val="24"/>
        </w:rPr>
        <w:t xml:space="preserve"> (eds. Martill, D. M., Bechly, G. &amp; Loveridge, R. F.) 44–62 (Cambridge University Press, 2007). doi:10.1017/CBO9780511535512.005</w:t>
      </w:r>
    </w:p>
    <w:p w14:paraId="29934FD2" w14:textId="77777777" w:rsidR="00F302D2" w:rsidRPr="00F0485C" w:rsidRDefault="00F302D2" w:rsidP="00F302D2">
      <w:pPr>
        <w:widowControl w:val="0"/>
        <w:autoSpaceDE w:val="0"/>
        <w:autoSpaceDN w:val="0"/>
        <w:adjustRightInd w:val="0"/>
        <w:spacing w:after="0" w:line="360" w:lineRule="auto"/>
        <w:ind w:left="640" w:hanging="640"/>
        <w:rPr>
          <w:rFonts w:ascii="Calibri" w:hAnsi="Calibri" w:cs="Calibri"/>
          <w:noProof/>
          <w:szCs w:val="24"/>
          <w:lang w:val="pt-BR"/>
        </w:rPr>
      </w:pPr>
      <w:r w:rsidRPr="00F0485C">
        <w:rPr>
          <w:rFonts w:ascii="Calibri" w:hAnsi="Calibri" w:cs="Calibri"/>
          <w:noProof/>
          <w:szCs w:val="24"/>
          <w:lang w:val="pt-BR"/>
        </w:rPr>
        <w:t>8.</w:t>
      </w:r>
      <w:r w:rsidRPr="00F0485C">
        <w:rPr>
          <w:rFonts w:ascii="Calibri" w:hAnsi="Calibri" w:cs="Calibri"/>
          <w:noProof/>
          <w:szCs w:val="24"/>
          <w:lang w:val="pt-BR"/>
        </w:rPr>
        <w:tab/>
        <w:t xml:space="preserve">Silva, V. R. </w:t>
      </w:r>
      <w:r w:rsidRPr="00F0485C">
        <w:rPr>
          <w:rFonts w:ascii="Calibri" w:hAnsi="Calibri" w:cs="Calibri"/>
          <w:i/>
          <w:iCs/>
          <w:noProof/>
          <w:szCs w:val="24"/>
          <w:lang w:val="pt-BR"/>
        </w:rPr>
        <w:t>et al.</w:t>
      </w:r>
      <w:r w:rsidRPr="00F0485C">
        <w:rPr>
          <w:rFonts w:ascii="Calibri" w:hAnsi="Calibri" w:cs="Calibri"/>
          <w:noProof/>
          <w:szCs w:val="24"/>
          <w:lang w:val="pt-BR"/>
        </w:rPr>
        <w:t xml:space="preserve"> First record of Neithea from the Aptian Crato Formation, Araripe Basin, Brazil, and it’s significance. in </w:t>
      </w:r>
      <w:r w:rsidRPr="00F0485C">
        <w:rPr>
          <w:rFonts w:ascii="Calibri" w:hAnsi="Calibri" w:cs="Calibri"/>
          <w:i/>
          <w:iCs/>
          <w:noProof/>
          <w:szCs w:val="24"/>
          <w:lang w:val="pt-BR"/>
        </w:rPr>
        <w:t>Boletim de resumos do XXV Congresso Brasileiro de Paleontologia</w:t>
      </w:r>
      <w:r w:rsidRPr="00F0485C">
        <w:rPr>
          <w:rFonts w:ascii="Calibri" w:hAnsi="Calibri" w:cs="Calibri"/>
          <w:noProof/>
          <w:szCs w:val="24"/>
          <w:lang w:val="pt-BR"/>
        </w:rPr>
        <w:t xml:space="preserve"> 320–320 (Sociedade Brasileira de Paleontologia, 2017).</w:t>
      </w:r>
    </w:p>
    <w:p w14:paraId="1369FCD0"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9.</w:t>
      </w:r>
      <w:r w:rsidRPr="00F302D2">
        <w:rPr>
          <w:rFonts w:ascii="Calibri" w:hAnsi="Calibri" w:cs="Calibri"/>
          <w:noProof/>
          <w:szCs w:val="24"/>
        </w:rPr>
        <w:tab/>
        <w:t xml:space="preserve">Catto, B., Jahnert, R. J., Warren, L. V., Varejão, F. G. &amp; Assine, M. L. The microbial nature of laminated limestones: Lessons from the Upper Aptian, Araripe Basin, Brazil. </w:t>
      </w:r>
      <w:r w:rsidRPr="00F302D2">
        <w:rPr>
          <w:rFonts w:ascii="Calibri" w:hAnsi="Calibri" w:cs="Calibri"/>
          <w:i/>
          <w:iCs/>
          <w:noProof/>
          <w:szCs w:val="24"/>
        </w:rPr>
        <w:t>Sediment. Geol.</w:t>
      </w:r>
      <w:r w:rsidRPr="00F302D2">
        <w:rPr>
          <w:rFonts w:ascii="Calibri" w:hAnsi="Calibri" w:cs="Calibri"/>
          <w:noProof/>
          <w:szCs w:val="24"/>
        </w:rPr>
        <w:t xml:space="preserve"> </w:t>
      </w:r>
      <w:r w:rsidRPr="00F302D2">
        <w:rPr>
          <w:rFonts w:ascii="Calibri" w:hAnsi="Calibri" w:cs="Calibri"/>
          <w:b/>
          <w:bCs/>
          <w:noProof/>
          <w:szCs w:val="24"/>
        </w:rPr>
        <w:t>341</w:t>
      </w:r>
      <w:r w:rsidRPr="00F302D2">
        <w:rPr>
          <w:rFonts w:ascii="Calibri" w:hAnsi="Calibri" w:cs="Calibri"/>
          <w:noProof/>
          <w:szCs w:val="24"/>
        </w:rPr>
        <w:t>, 304–315 (2016).</w:t>
      </w:r>
    </w:p>
    <w:p w14:paraId="64148303"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10.</w:t>
      </w:r>
      <w:r w:rsidRPr="00F302D2">
        <w:rPr>
          <w:rFonts w:ascii="Calibri" w:hAnsi="Calibri" w:cs="Calibri"/>
          <w:noProof/>
          <w:szCs w:val="24"/>
        </w:rPr>
        <w:tab/>
        <w:t xml:space="preserve">Warren, L. V. </w:t>
      </w:r>
      <w:r w:rsidRPr="00F302D2">
        <w:rPr>
          <w:rFonts w:ascii="Calibri" w:hAnsi="Calibri" w:cs="Calibri"/>
          <w:i/>
          <w:iCs/>
          <w:noProof/>
          <w:szCs w:val="24"/>
        </w:rPr>
        <w:t>et al.</w:t>
      </w:r>
      <w:r w:rsidRPr="00F302D2">
        <w:rPr>
          <w:rFonts w:ascii="Calibri" w:hAnsi="Calibri" w:cs="Calibri"/>
          <w:noProof/>
          <w:szCs w:val="24"/>
        </w:rPr>
        <w:t xml:space="preserve"> Stromatolites from the Aptian Crato Formation, a hypersaline lake system in the Araripe Basin, northeastern Brazil. </w:t>
      </w:r>
      <w:r w:rsidRPr="00F302D2">
        <w:rPr>
          <w:rFonts w:ascii="Calibri" w:hAnsi="Calibri" w:cs="Calibri"/>
          <w:i/>
          <w:iCs/>
          <w:noProof/>
          <w:szCs w:val="24"/>
        </w:rPr>
        <w:t>Facies</w:t>
      </w:r>
      <w:r w:rsidRPr="00F302D2">
        <w:rPr>
          <w:rFonts w:ascii="Calibri" w:hAnsi="Calibri" w:cs="Calibri"/>
          <w:noProof/>
          <w:szCs w:val="24"/>
        </w:rPr>
        <w:t xml:space="preserve"> </w:t>
      </w:r>
      <w:r w:rsidRPr="00F302D2">
        <w:rPr>
          <w:rFonts w:ascii="Calibri" w:hAnsi="Calibri" w:cs="Calibri"/>
          <w:b/>
          <w:bCs/>
          <w:noProof/>
          <w:szCs w:val="24"/>
        </w:rPr>
        <w:t>63</w:t>
      </w:r>
      <w:r w:rsidRPr="00F302D2">
        <w:rPr>
          <w:rFonts w:ascii="Calibri" w:hAnsi="Calibri" w:cs="Calibri"/>
          <w:noProof/>
          <w:szCs w:val="24"/>
        </w:rPr>
        <w:t>, 1–19 (2017).</w:t>
      </w:r>
    </w:p>
    <w:p w14:paraId="01F306ED"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11.</w:t>
      </w:r>
      <w:r w:rsidRPr="00F302D2">
        <w:rPr>
          <w:rFonts w:ascii="Calibri" w:hAnsi="Calibri" w:cs="Calibri"/>
          <w:noProof/>
          <w:szCs w:val="24"/>
        </w:rPr>
        <w:tab/>
        <w:t xml:space="preserve">Osés, G. L. </w:t>
      </w:r>
      <w:r w:rsidRPr="00F302D2">
        <w:rPr>
          <w:rFonts w:ascii="Calibri" w:hAnsi="Calibri" w:cs="Calibri"/>
          <w:i/>
          <w:iCs/>
          <w:noProof/>
          <w:szCs w:val="24"/>
        </w:rPr>
        <w:t>et al.</w:t>
      </w:r>
      <w:r w:rsidRPr="00F302D2">
        <w:rPr>
          <w:rFonts w:ascii="Calibri" w:hAnsi="Calibri" w:cs="Calibri"/>
          <w:noProof/>
          <w:szCs w:val="24"/>
        </w:rPr>
        <w:t xml:space="preserve"> Deciphering pyritization-kerogenization gradient for fish soft-tissue preservation. </w:t>
      </w:r>
      <w:r w:rsidRPr="00F302D2">
        <w:rPr>
          <w:rFonts w:ascii="Calibri" w:hAnsi="Calibri" w:cs="Calibri"/>
          <w:i/>
          <w:iCs/>
          <w:noProof/>
          <w:szCs w:val="24"/>
        </w:rPr>
        <w:t>Sci. Rep.</w:t>
      </w:r>
      <w:r w:rsidRPr="00F302D2">
        <w:rPr>
          <w:rFonts w:ascii="Calibri" w:hAnsi="Calibri" w:cs="Calibri"/>
          <w:noProof/>
          <w:szCs w:val="24"/>
        </w:rPr>
        <w:t xml:space="preserve"> </w:t>
      </w:r>
      <w:r w:rsidRPr="00F302D2">
        <w:rPr>
          <w:rFonts w:ascii="Calibri" w:hAnsi="Calibri" w:cs="Calibri"/>
          <w:b/>
          <w:bCs/>
          <w:noProof/>
          <w:szCs w:val="24"/>
        </w:rPr>
        <w:t>7</w:t>
      </w:r>
      <w:r w:rsidRPr="00F302D2">
        <w:rPr>
          <w:rFonts w:ascii="Calibri" w:hAnsi="Calibri" w:cs="Calibri"/>
          <w:noProof/>
          <w:szCs w:val="24"/>
        </w:rPr>
        <w:t>, (2017).</w:t>
      </w:r>
    </w:p>
    <w:p w14:paraId="635D56BC"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12.</w:t>
      </w:r>
      <w:r w:rsidRPr="00F302D2">
        <w:rPr>
          <w:rFonts w:ascii="Calibri" w:hAnsi="Calibri" w:cs="Calibri"/>
          <w:noProof/>
          <w:szCs w:val="24"/>
        </w:rPr>
        <w:tab/>
        <w:t xml:space="preserve">Osés, G. L. </w:t>
      </w:r>
      <w:r w:rsidRPr="00F302D2">
        <w:rPr>
          <w:rFonts w:ascii="Calibri" w:hAnsi="Calibri" w:cs="Calibri"/>
          <w:i/>
          <w:iCs/>
          <w:noProof/>
          <w:szCs w:val="24"/>
        </w:rPr>
        <w:t>et al.</w:t>
      </w:r>
      <w:r w:rsidRPr="00F302D2">
        <w:rPr>
          <w:rFonts w:ascii="Calibri" w:hAnsi="Calibri" w:cs="Calibri"/>
          <w:noProof/>
          <w:szCs w:val="24"/>
        </w:rPr>
        <w:t xml:space="preserve"> Deciphering the preservation of fossil insects: a case study from the Crato Member, Early Cretaceous of Brazil. </w:t>
      </w:r>
      <w:r w:rsidRPr="00F302D2">
        <w:rPr>
          <w:rFonts w:ascii="Calibri" w:hAnsi="Calibri" w:cs="Calibri"/>
          <w:i/>
          <w:iCs/>
          <w:noProof/>
          <w:szCs w:val="24"/>
        </w:rPr>
        <w:t>PeerJ</w:t>
      </w:r>
      <w:r w:rsidRPr="00F302D2">
        <w:rPr>
          <w:rFonts w:ascii="Calibri" w:hAnsi="Calibri" w:cs="Calibri"/>
          <w:noProof/>
          <w:szCs w:val="24"/>
        </w:rPr>
        <w:t xml:space="preserve"> </w:t>
      </w:r>
      <w:r w:rsidRPr="00F302D2">
        <w:rPr>
          <w:rFonts w:ascii="Calibri" w:hAnsi="Calibri" w:cs="Calibri"/>
          <w:b/>
          <w:bCs/>
          <w:noProof/>
          <w:szCs w:val="24"/>
        </w:rPr>
        <w:t>4</w:t>
      </w:r>
      <w:r w:rsidRPr="00F302D2">
        <w:rPr>
          <w:rFonts w:ascii="Calibri" w:hAnsi="Calibri" w:cs="Calibri"/>
          <w:noProof/>
          <w:szCs w:val="24"/>
        </w:rPr>
        <w:t>, e2756 (2016).</w:t>
      </w:r>
    </w:p>
    <w:p w14:paraId="0ED563B0" w14:textId="77777777" w:rsidR="00F302D2" w:rsidRPr="00F0485C" w:rsidRDefault="00F302D2" w:rsidP="00F302D2">
      <w:pPr>
        <w:widowControl w:val="0"/>
        <w:autoSpaceDE w:val="0"/>
        <w:autoSpaceDN w:val="0"/>
        <w:adjustRightInd w:val="0"/>
        <w:spacing w:after="0" w:line="360" w:lineRule="auto"/>
        <w:ind w:left="640" w:hanging="640"/>
        <w:rPr>
          <w:rFonts w:ascii="Calibri" w:hAnsi="Calibri" w:cs="Calibri"/>
          <w:noProof/>
          <w:szCs w:val="24"/>
          <w:lang w:val="pt-BR"/>
        </w:rPr>
      </w:pPr>
      <w:r w:rsidRPr="00F302D2">
        <w:rPr>
          <w:rFonts w:ascii="Calibri" w:hAnsi="Calibri" w:cs="Calibri"/>
          <w:noProof/>
          <w:szCs w:val="24"/>
        </w:rPr>
        <w:t>13.</w:t>
      </w:r>
      <w:r w:rsidRPr="00F302D2">
        <w:rPr>
          <w:rFonts w:ascii="Calibri" w:hAnsi="Calibri" w:cs="Calibri"/>
          <w:noProof/>
          <w:szCs w:val="24"/>
        </w:rPr>
        <w:tab/>
        <w:t xml:space="preserve">Varejão, F. G. </w:t>
      </w:r>
      <w:r w:rsidRPr="00F302D2">
        <w:rPr>
          <w:rFonts w:ascii="Calibri" w:hAnsi="Calibri" w:cs="Calibri"/>
          <w:i/>
          <w:iCs/>
          <w:noProof/>
          <w:szCs w:val="24"/>
        </w:rPr>
        <w:t>et al.</w:t>
      </w:r>
      <w:r w:rsidRPr="00F302D2">
        <w:rPr>
          <w:rFonts w:ascii="Calibri" w:hAnsi="Calibri" w:cs="Calibri"/>
          <w:noProof/>
          <w:szCs w:val="24"/>
        </w:rPr>
        <w:t xml:space="preserve"> Exceptional preservation of soft tissues by microbial entombment: Insights into the taphonomy of the Crato Konservat-Lagerstätte. </w:t>
      </w:r>
      <w:r w:rsidRPr="00F0485C">
        <w:rPr>
          <w:rFonts w:ascii="Calibri" w:hAnsi="Calibri" w:cs="Calibri"/>
          <w:i/>
          <w:iCs/>
          <w:noProof/>
          <w:szCs w:val="24"/>
          <w:lang w:val="pt-BR"/>
        </w:rPr>
        <w:t>Palaios</w:t>
      </w:r>
      <w:r w:rsidRPr="00F0485C">
        <w:rPr>
          <w:rFonts w:ascii="Calibri" w:hAnsi="Calibri" w:cs="Calibri"/>
          <w:noProof/>
          <w:szCs w:val="24"/>
          <w:lang w:val="pt-BR"/>
        </w:rPr>
        <w:t xml:space="preserve"> </w:t>
      </w:r>
      <w:r w:rsidRPr="00F0485C">
        <w:rPr>
          <w:rFonts w:ascii="Calibri" w:hAnsi="Calibri" w:cs="Calibri"/>
          <w:b/>
          <w:bCs/>
          <w:noProof/>
          <w:szCs w:val="24"/>
          <w:lang w:val="pt-BR"/>
        </w:rPr>
        <w:t>34</w:t>
      </w:r>
      <w:r w:rsidRPr="00F0485C">
        <w:rPr>
          <w:rFonts w:ascii="Calibri" w:hAnsi="Calibri" w:cs="Calibri"/>
          <w:noProof/>
          <w:szCs w:val="24"/>
          <w:lang w:val="pt-BR"/>
        </w:rPr>
        <w:t>, 331–348 (2019).</w:t>
      </w:r>
    </w:p>
    <w:p w14:paraId="2B5E04F2"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0485C">
        <w:rPr>
          <w:rFonts w:ascii="Calibri" w:hAnsi="Calibri" w:cs="Calibri"/>
          <w:noProof/>
          <w:szCs w:val="24"/>
          <w:lang w:val="pt-BR"/>
        </w:rPr>
        <w:t>14.</w:t>
      </w:r>
      <w:r w:rsidRPr="00F0485C">
        <w:rPr>
          <w:rFonts w:ascii="Calibri" w:hAnsi="Calibri" w:cs="Calibri"/>
          <w:noProof/>
          <w:szCs w:val="24"/>
          <w:lang w:val="pt-BR"/>
        </w:rPr>
        <w:tab/>
        <w:t xml:space="preserve">Pinheiro, F. L., Horn, B. L. D., Schultz, C. L., Andrade, J. A. F. G. &amp; Sucerquia, P. A. Fossilized bacteria in a Cretaceous pterosaur headcrest. </w:t>
      </w:r>
      <w:r w:rsidRPr="00F302D2">
        <w:rPr>
          <w:rFonts w:ascii="Calibri" w:hAnsi="Calibri" w:cs="Calibri"/>
          <w:i/>
          <w:iCs/>
          <w:noProof/>
          <w:szCs w:val="24"/>
        </w:rPr>
        <w:t>Lethaia</w:t>
      </w:r>
      <w:r w:rsidRPr="00F302D2">
        <w:rPr>
          <w:rFonts w:ascii="Calibri" w:hAnsi="Calibri" w:cs="Calibri"/>
          <w:noProof/>
          <w:szCs w:val="24"/>
        </w:rPr>
        <w:t xml:space="preserve"> </w:t>
      </w:r>
      <w:r w:rsidRPr="00F302D2">
        <w:rPr>
          <w:rFonts w:ascii="Calibri" w:hAnsi="Calibri" w:cs="Calibri"/>
          <w:b/>
          <w:bCs/>
          <w:noProof/>
          <w:szCs w:val="24"/>
        </w:rPr>
        <w:t>45</w:t>
      </w:r>
      <w:r w:rsidRPr="00F302D2">
        <w:rPr>
          <w:rFonts w:ascii="Calibri" w:hAnsi="Calibri" w:cs="Calibri"/>
          <w:noProof/>
          <w:szCs w:val="24"/>
        </w:rPr>
        <w:t>, 495–499 (2012).</w:t>
      </w:r>
    </w:p>
    <w:p w14:paraId="50F07F9F"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15.</w:t>
      </w:r>
      <w:r w:rsidRPr="00F302D2">
        <w:rPr>
          <w:rFonts w:ascii="Calibri" w:hAnsi="Calibri" w:cs="Calibri"/>
          <w:noProof/>
          <w:szCs w:val="24"/>
        </w:rPr>
        <w:tab/>
        <w:t xml:space="preserve">Prado, G. M. E. M., Anelli, L. E., Petri, S. &amp; Romero, G. R. New occurrences of fossilized feathers: systematics and taphonomy of the Santana Formation of the Araripe Basin (Cretaceous), NE, Brazil. </w:t>
      </w:r>
      <w:r w:rsidRPr="00F302D2">
        <w:rPr>
          <w:rFonts w:ascii="Calibri" w:hAnsi="Calibri" w:cs="Calibri"/>
          <w:i/>
          <w:iCs/>
          <w:noProof/>
          <w:szCs w:val="24"/>
        </w:rPr>
        <w:t>PeerJ</w:t>
      </w:r>
      <w:r w:rsidRPr="00F302D2">
        <w:rPr>
          <w:rFonts w:ascii="Calibri" w:hAnsi="Calibri" w:cs="Calibri"/>
          <w:noProof/>
          <w:szCs w:val="24"/>
        </w:rPr>
        <w:t xml:space="preserve"> </w:t>
      </w:r>
      <w:r w:rsidRPr="00F302D2">
        <w:rPr>
          <w:rFonts w:ascii="Calibri" w:hAnsi="Calibri" w:cs="Calibri"/>
          <w:b/>
          <w:bCs/>
          <w:noProof/>
          <w:szCs w:val="24"/>
        </w:rPr>
        <w:t>4</w:t>
      </w:r>
      <w:r w:rsidRPr="00F302D2">
        <w:rPr>
          <w:rFonts w:ascii="Calibri" w:hAnsi="Calibri" w:cs="Calibri"/>
          <w:noProof/>
          <w:szCs w:val="24"/>
        </w:rPr>
        <w:t>, e1916 (2016).</w:t>
      </w:r>
    </w:p>
    <w:p w14:paraId="355CCA15"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lastRenderedPageBreak/>
        <w:t>16.</w:t>
      </w:r>
      <w:r w:rsidRPr="00F302D2">
        <w:rPr>
          <w:rFonts w:ascii="Calibri" w:hAnsi="Calibri" w:cs="Calibri"/>
          <w:noProof/>
          <w:szCs w:val="24"/>
        </w:rPr>
        <w:tab/>
        <w:t xml:space="preserve">Li, Q. </w:t>
      </w:r>
      <w:r w:rsidRPr="00F302D2">
        <w:rPr>
          <w:rFonts w:ascii="Calibri" w:hAnsi="Calibri" w:cs="Calibri"/>
          <w:i/>
          <w:iCs/>
          <w:noProof/>
          <w:szCs w:val="24"/>
        </w:rPr>
        <w:t>et al.</w:t>
      </w:r>
      <w:r w:rsidRPr="00F302D2">
        <w:rPr>
          <w:rFonts w:ascii="Calibri" w:hAnsi="Calibri" w:cs="Calibri"/>
          <w:noProof/>
          <w:szCs w:val="24"/>
        </w:rPr>
        <w:t xml:space="preserve"> Reconstruction of Microraptor and the Evolution of Iridescent Plumage. </w:t>
      </w:r>
      <w:r w:rsidRPr="00F302D2">
        <w:rPr>
          <w:rFonts w:ascii="Calibri" w:hAnsi="Calibri" w:cs="Calibri"/>
          <w:i/>
          <w:iCs/>
          <w:noProof/>
          <w:szCs w:val="24"/>
        </w:rPr>
        <w:t>Science (80-. ).</w:t>
      </w:r>
      <w:r w:rsidRPr="00F302D2">
        <w:rPr>
          <w:rFonts w:ascii="Calibri" w:hAnsi="Calibri" w:cs="Calibri"/>
          <w:noProof/>
          <w:szCs w:val="24"/>
        </w:rPr>
        <w:t xml:space="preserve"> </w:t>
      </w:r>
      <w:r w:rsidRPr="00F302D2">
        <w:rPr>
          <w:rFonts w:ascii="Calibri" w:hAnsi="Calibri" w:cs="Calibri"/>
          <w:b/>
          <w:bCs/>
          <w:noProof/>
          <w:szCs w:val="24"/>
        </w:rPr>
        <w:t>335</w:t>
      </w:r>
      <w:r w:rsidRPr="00F302D2">
        <w:rPr>
          <w:rFonts w:ascii="Calibri" w:hAnsi="Calibri" w:cs="Calibri"/>
          <w:noProof/>
          <w:szCs w:val="24"/>
        </w:rPr>
        <w:t>, 1215–1219 (2012).</w:t>
      </w:r>
    </w:p>
    <w:p w14:paraId="43C160DE"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17.</w:t>
      </w:r>
      <w:r w:rsidRPr="00F302D2">
        <w:rPr>
          <w:rFonts w:ascii="Calibri" w:hAnsi="Calibri" w:cs="Calibri"/>
          <w:noProof/>
          <w:szCs w:val="24"/>
        </w:rPr>
        <w:tab/>
        <w:t xml:space="preserve">Schweitzer, M. H., Lindgren, J. &amp; Moyer, A. E. Melanosomes and ancient coloration re-examined: A response to Vinther 2015 (DOI 10.1002/bies.201500018). </w:t>
      </w:r>
      <w:r w:rsidRPr="00F302D2">
        <w:rPr>
          <w:rFonts w:ascii="Calibri" w:hAnsi="Calibri" w:cs="Calibri"/>
          <w:i/>
          <w:iCs/>
          <w:noProof/>
          <w:szCs w:val="24"/>
        </w:rPr>
        <w:t>BioEssays</w:t>
      </w:r>
      <w:r w:rsidRPr="00F302D2">
        <w:rPr>
          <w:rFonts w:ascii="Calibri" w:hAnsi="Calibri" w:cs="Calibri"/>
          <w:noProof/>
          <w:szCs w:val="24"/>
        </w:rPr>
        <w:t xml:space="preserve"> </w:t>
      </w:r>
      <w:r w:rsidRPr="00F302D2">
        <w:rPr>
          <w:rFonts w:ascii="Calibri" w:hAnsi="Calibri" w:cs="Calibri"/>
          <w:b/>
          <w:bCs/>
          <w:noProof/>
          <w:szCs w:val="24"/>
        </w:rPr>
        <w:t>37</w:t>
      </w:r>
      <w:r w:rsidRPr="00F302D2">
        <w:rPr>
          <w:rFonts w:ascii="Calibri" w:hAnsi="Calibri" w:cs="Calibri"/>
          <w:noProof/>
          <w:szCs w:val="24"/>
        </w:rPr>
        <w:t>, 1174–1183 (2015).</w:t>
      </w:r>
    </w:p>
    <w:p w14:paraId="6CAE0B4C"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18.</w:t>
      </w:r>
      <w:r w:rsidRPr="00F302D2">
        <w:rPr>
          <w:rFonts w:ascii="Calibri" w:hAnsi="Calibri" w:cs="Calibri"/>
          <w:noProof/>
          <w:szCs w:val="24"/>
        </w:rPr>
        <w:tab/>
        <w:t xml:space="preserve">Solano, F. Melanins: Skin Pigments and Much More—Types, Structural Models, Biological Functions, and Formation Routes. </w:t>
      </w:r>
      <w:r w:rsidRPr="00F302D2">
        <w:rPr>
          <w:rFonts w:ascii="Calibri" w:hAnsi="Calibri" w:cs="Calibri"/>
          <w:i/>
          <w:iCs/>
          <w:noProof/>
          <w:szCs w:val="24"/>
        </w:rPr>
        <w:t>New J. Sci.</w:t>
      </w:r>
      <w:r w:rsidRPr="00F302D2">
        <w:rPr>
          <w:rFonts w:ascii="Calibri" w:hAnsi="Calibri" w:cs="Calibri"/>
          <w:noProof/>
          <w:szCs w:val="24"/>
        </w:rPr>
        <w:t xml:space="preserve"> </w:t>
      </w:r>
      <w:r w:rsidRPr="00F302D2">
        <w:rPr>
          <w:rFonts w:ascii="Calibri" w:hAnsi="Calibri" w:cs="Calibri"/>
          <w:b/>
          <w:bCs/>
          <w:noProof/>
          <w:szCs w:val="24"/>
        </w:rPr>
        <w:t>2014</w:t>
      </w:r>
      <w:r w:rsidRPr="00F302D2">
        <w:rPr>
          <w:rFonts w:ascii="Calibri" w:hAnsi="Calibri" w:cs="Calibri"/>
          <w:noProof/>
          <w:szCs w:val="24"/>
        </w:rPr>
        <w:t>, 1–28 (2014).</w:t>
      </w:r>
    </w:p>
    <w:p w14:paraId="6BF45CF7"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19.</w:t>
      </w:r>
      <w:r w:rsidRPr="00F302D2">
        <w:rPr>
          <w:rFonts w:ascii="Calibri" w:hAnsi="Calibri" w:cs="Calibri"/>
          <w:noProof/>
          <w:szCs w:val="24"/>
        </w:rPr>
        <w:tab/>
        <w:t xml:space="preserve">Pinheiro, F. L., Fortier, D. C., Schultz, C. L., Andrade, J. A. F. G. &amp; Bantim, R. A. M. New information on the pterosaur Tupandactylus imperator, with comments on the relationships of Tapejaridae. </w:t>
      </w:r>
      <w:r w:rsidRPr="00F302D2">
        <w:rPr>
          <w:rFonts w:ascii="Calibri" w:hAnsi="Calibri" w:cs="Calibri"/>
          <w:i/>
          <w:iCs/>
          <w:noProof/>
          <w:szCs w:val="24"/>
        </w:rPr>
        <w:t>Acta Palaeontol. Pol.</w:t>
      </w:r>
      <w:r w:rsidRPr="00F302D2">
        <w:rPr>
          <w:rFonts w:ascii="Calibri" w:hAnsi="Calibri" w:cs="Calibri"/>
          <w:noProof/>
          <w:szCs w:val="24"/>
        </w:rPr>
        <w:t xml:space="preserve"> </w:t>
      </w:r>
      <w:r w:rsidRPr="00F302D2">
        <w:rPr>
          <w:rFonts w:ascii="Calibri" w:hAnsi="Calibri" w:cs="Calibri"/>
          <w:b/>
          <w:bCs/>
          <w:noProof/>
          <w:szCs w:val="24"/>
        </w:rPr>
        <w:t>56</w:t>
      </w:r>
      <w:r w:rsidRPr="00F302D2">
        <w:rPr>
          <w:rFonts w:ascii="Calibri" w:hAnsi="Calibri" w:cs="Calibri"/>
          <w:noProof/>
          <w:szCs w:val="24"/>
        </w:rPr>
        <w:t>, 567–580 (2011).</w:t>
      </w:r>
    </w:p>
    <w:p w14:paraId="189F6166"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20.</w:t>
      </w:r>
      <w:r w:rsidRPr="00F302D2">
        <w:rPr>
          <w:rFonts w:ascii="Calibri" w:hAnsi="Calibri" w:cs="Calibri"/>
          <w:noProof/>
          <w:szCs w:val="24"/>
        </w:rPr>
        <w:tab/>
        <w:t xml:space="preserve">Wogelius, R. A. </w:t>
      </w:r>
      <w:r w:rsidRPr="00F302D2">
        <w:rPr>
          <w:rFonts w:ascii="Calibri" w:hAnsi="Calibri" w:cs="Calibri"/>
          <w:i/>
          <w:iCs/>
          <w:noProof/>
          <w:szCs w:val="24"/>
        </w:rPr>
        <w:t>et al.</w:t>
      </w:r>
      <w:r w:rsidRPr="00F302D2">
        <w:rPr>
          <w:rFonts w:ascii="Calibri" w:hAnsi="Calibri" w:cs="Calibri"/>
          <w:noProof/>
          <w:szCs w:val="24"/>
        </w:rPr>
        <w:t xml:space="preserve"> Trace Metals as Biomarkers for Eumelanin Pigment in the Fossil Record. </w:t>
      </w:r>
      <w:r w:rsidRPr="00F302D2">
        <w:rPr>
          <w:rFonts w:ascii="Calibri" w:hAnsi="Calibri" w:cs="Calibri"/>
          <w:i/>
          <w:iCs/>
          <w:noProof/>
          <w:szCs w:val="24"/>
        </w:rPr>
        <w:t>Science (80-. ).</w:t>
      </w:r>
      <w:r w:rsidRPr="00F302D2">
        <w:rPr>
          <w:rFonts w:ascii="Calibri" w:hAnsi="Calibri" w:cs="Calibri"/>
          <w:noProof/>
          <w:szCs w:val="24"/>
        </w:rPr>
        <w:t xml:space="preserve"> </w:t>
      </w:r>
      <w:r w:rsidRPr="00F302D2">
        <w:rPr>
          <w:rFonts w:ascii="Calibri" w:hAnsi="Calibri" w:cs="Calibri"/>
          <w:b/>
          <w:bCs/>
          <w:noProof/>
          <w:szCs w:val="24"/>
        </w:rPr>
        <w:t>333</w:t>
      </w:r>
      <w:r w:rsidRPr="00F302D2">
        <w:rPr>
          <w:rFonts w:ascii="Calibri" w:hAnsi="Calibri" w:cs="Calibri"/>
          <w:noProof/>
          <w:szCs w:val="24"/>
        </w:rPr>
        <w:t>, 1622–1626 (2011).</w:t>
      </w:r>
    </w:p>
    <w:p w14:paraId="35684EA9"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21.</w:t>
      </w:r>
      <w:r w:rsidRPr="00F302D2">
        <w:rPr>
          <w:rFonts w:ascii="Calibri" w:hAnsi="Calibri" w:cs="Calibri"/>
          <w:noProof/>
          <w:szCs w:val="24"/>
        </w:rPr>
        <w:tab/>
        <w:t xml:space="preserve">Bergmann, U. </w:t>
      </w:r>
      <w:r w:rsidRPr="00F302D2">
        <w:rPr>
          <w:rFonts w:ascii="Calibri" w:hAnsi="Calibri" w:cs="Calibri"/>
          <w:i/>
          <w:iCs/>
          <w:noProof/>
          <w:szCs w:val="24"/>
        </w:rPr>
        <w:t>et al.</w:t>
      </w:r>
      <w:r w:rsidRPr="00F302D2">
        <w:rPr>
          <w:rFonts w:ascii="Calibri" w:hAnsi="Calibri" w:cs="Calibri"/>
          <w:noProof/>
          <w:szCs w:val="24"/>
        </w:rPr>
        <w:t xml:space="preserve"> Archaeopteryx feathers and bone chemistry fully revealed via synchrotron imaging. </w:t>
      </w:r>
      <w:r w:rsidRPr="00F302D2">
        <w:rPr>
          <w:rFonts w:ascii="Calibri" w:hAnsi="Calibri" w:cs="Calibri"/>
          <w:i/>
          <w:iCs/>
          <w:noProof/>
          <w:szCs w:val="24"/>
        </w:rPr>
        <w:t>Proc. Natl. Acad. Sci.</w:t>
      </w:r>
      <w:r w:rsidRPr="00F302D2">
        <w:rPr>
          <w:rFonts w:ascii="Calibri" w:hAnsi="Calibri" w:cs="Calibri"/>
          <w:noProof/>
          <w:szCs w:val="24"/>
        </w:rPr>
        <w:t xml:space="preserve"> </w:t>
      </w:r>
      <w:r w:rsidRPr="00F302D2">
        <w:rPr>
          <w:rFonts w:ascii="Calibri" w:hAnsi="Calibri" w:cs="Calibri"/>
          <w:b/>
          <w:bCs/>
          <w:noProof/>
          <w:szCs w:val="24"/>
        </w:rPr>
        <w:t>107</w:t>
      </w:r>
      <w:r w:rsidRPr="00F302D2">
        <w:rPr>
          <w:rFonts w:ascii="Calibri" w:hAnsi="Calibri" w:cs="Calibri"/>
          <w:noProof/>
          <w:szCs w:val="24"/>
        </w:rPr>
        <w:t>, 9060–9065 (2010).</w:t>
      </w:r>
    </w:p>
    <w:p w14:paraId="7D9E839B"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22.</w:t>
      </w:r>
      <w:r w:rsidRPr="00F302D2">
        <w:rPr>
          <w:rFonts w:ascii="Calibri" w:hAnsi="Calibri" w:cs="Calibri"/>
          <w:noProof/>
          <w:szCs w:val="24"/>
        </w:rPr>
        <w:tab/>
        <w:t xml:space="preserve">Bergmann, U., Manning, P. L. &amp; Wogelius, R. A. Chemical mapping of paleontological and archeological artifacts with synchrotron X-rays. </w:t>
      </w:r>
      <w:r w:rsidRPr="00F302D2">
        <w:rPr>
          <w:rFonts w:ascii="Calibri" w:hAnsi="Calibri" w:cs="Calibri"/>
          <w:i/>
          <w:iCs/>
          <w:noProof/>
          <w:szCs w:val="24"/>
        </w:rPr>
        <w:t>Annu. Rev. Anal. Chem. (Palo Alto. Calif).</w:t>
      </w:r>
      <w:r w:rsidRPr="00F302D2">
        <w:rPr>
          <w:rFonts w:ascii="Calibri" w:hAnsi="Calibri" w:cs="Calibri"/>
          <w:noProof/>
          <w:szCs w:val="24"/>
        </w:rPr>
        <w:t xml:space="preserve"> </w:t>
      </w:r>
      <w:r w:rsidRPr="00F302D2">
        <w:rPr>
          <w:rFonts w:ascii="Calibri" w:hAnsi="Calibri" w:cs="Calibri"/>
          <w:b/>
          <w:bCs/>
          <w:noProof/>
          <w:szCs w:val="24"/>
        </w:rPr>
        <w:t>5</w:t>
      </w:r>
      <w:r w:rsidRPr="00F302D2">
        <w:rPr>
          <w:rFonts w:ascii="Calibri" w:hAnsi="Calibri" w:cs="Calibri"/>
          <w:noProof/>
          <w:szCs w:val="24"/>
        </w:rPr>
        <w:t>, 361–89 (2012).</w:t>
      </w:r>
    </w:p>
    <w:p w14:paraId="452BC5D2"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23.</w:t>
      </w:r>
      <w:r w:rsidRPr="00F302D2">
        <w:rPr>
          <w:rFonts w:ascii="Calibri" w:hAnsi="Calibri" w:cs="Calibri"/>
          <w:noProof/>
          <w:szCs w:val="24"/>
        </w:rPr>
        <w:tab/>
        <w:t xml:space="preserve">Edwards, N. P. </w:t>
      </w:r>
      <w:r w:rsidRPr="00F302D2">
        <w:rPr>
          <w:rFonts w:ascii="Calibri" w:hAnsi="Calibri" w:cs="Calibri"/>
          <w:i/>
          <w:iCs/>
          <w:noProof/>
          <w:szCs w:val="24"/>
        </w:rPr>
        <w:t>et al.</w:t>
      </w:r>
      <w:r w:rsidRPr="00F302D2">
        <w:rPr>
          <w:rFonts w:ascii="Calibri" w:hAnsi="Calibri" w:cs="Calibri"/>
          <w:noProof/>
          <w:szCs w:val="24"/>
        </w:rPr>
        <w:t xml:space="preserve"> Mapping prehistoric ghosts in the synchrotron. </w:t>
      </w:r>
      <w:r w:rsidRPr="00F302D2">
        <w:rPr>
          <w:rFonts w:ascii="Calibri" w:hAnsi="Calibri" w:cs="Calibri"/>
          <w:i/>
          <w:iCs/>
          <w:noProof/>
          <w:szCs w:val="24"/>
        </w:rPr>
        <w:t>Appl. Phys. A Mater. Sci. Process.</w:t>
      </w:r>
      <w:r w:rsidRPr="00F302D2">
        <w:rPr>
          <w:rFonts w:ascii="Calibri" w:hAnsi="Calibri" w:cs="Calibri"/>
          <w:noProof/>
          <w:szCs w:val="24"/>
        </w:rPr>
        <w:t xml:space="preserve"> </w:t>
      </w:r>
      <w:r w:rsidRPr="00F302D2">
        <w:rPr>
          <w:rFonts w:ascii="Calibri" w:hAnsi="Calibri" w:cs="Calibri"/>
          <w:b/>
          <w:bCs/>
          <w:noProof/>
          <w:szCs w:val="24"/>
        </w:rPr>
        <w:t>111</w:t>
      </w:r>
      <w:r w:rsidRPr="00F302D2">
        <w:rPr>
          <w:rFonts w:ascii="Calibri" w:hAnsi="Calibri" w:cs="Calibri"/>
          <w:noProof/>
          <w:szCs w:val="24"/>
        </w:rPr>
        <w:t>, 147–155 (2013).</w:t>
      </w:r>
    </w:p>
    <w:p w14:paraId="3B50F483"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24.</w:t>
      </w:r>
      <w:r w:rsidRPr="00F302D2">
        <w:rPr>
          <w:rFonts w:ascii="Calibri" w:hAnsi="Calibri" w:cs="Calibri"/>
          <w:noProof/>
          <w:szCs w:val="24"/>
        </w:rPr>
        <w:tab/>
        <w:t xml:space="preserve">Gueriau, P. </w:t>
      </w:r>
      <w:r w:rsidRPr="00F302D2">
        <w:rPr>
          <w:rFonts w:ascii="Calibri" w:hAnsi="Calibri" w:cs="Calibri"/>
          <w:i/>
          <w:iCs/>
          <w:noProof/>
          <w:szCs w:val="24"/>
        </w:rPr>
        <w:t>et al.</w:t>
      </w:r>
      <w:r w:rsidRPr="00F302D2">
        <w:rPr>
          <w:rFonts w:ascii="Calibri" w:hAnsi="Calibri" w:cs="Calibri"/>
          <w:noProof/>
          <w:szCs w:val="24"/>
        </w:rPr>
        <w:t xml:space="preserve"> Trace Elemental Imaging of Rare Earth Elements Discriminates Tissues at Microscale in Flat Fossils. </w:t>
      </w:r>
      <w:r w:rsidRPr="00F302D2">
        <w:rPr>
          <w:rFonts w:ascii="Calibri" w:hAnsi="Calibri" w:cs="Calibri"/>
          <w:i/>
          <w:iCs/>
          <w:noProof/>
          <w:szCs w:val="24"/>
        </w:rPr>
        <w:t>PLoS One</w:t>
      </w:r>
      <w:r w:rsidRPr="00F302D2">
        <w:rPr>
          <w:rFonts w:ascii="Calibri" w:hAnsi="Calibri" w:cs="Calibri"/>
          <w:noProof/>
          <w:szCs w:val="24"/>
        </w:rPr>
        <w:t xml:space="preserve"> </w:t>
      </w:r>
      <w:r w:rsidRPr="00F302D2">
        <w:rPr>
          <w:rFonts w:ascii="Calibri" w:hAnsi="Calibri" w:cs="Calibri"/>
          <w:b/>
          <w:bCs/>
          <w:noProof/>
          <w:szCs w:val="24"/>
        </w:rPr>
        <w:t>9</w:t>
      </w:r>
      <w:r w:rsidRPr="00F302D2">
        <w:rPr>
          <w:rFonts w:ascii="Calibri" w:hAnsi="Calibri" w:cs="Calibri"/>
          <w:noProof/>
          <w:szCs w:val="24"/>
        </w:rPr>
        <w:t>, e86946 (2014).</w:t>
      </w:r>
    </w:p>
    <w:p w14:paraId="2BC11CA8"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25.</w:t>
      </w:r>
      <w:r w:rsidRPr="00F302D2">
        <w:rPr>
          <w:rFonts w:ascii="Calibri" w:hAnsi="Calibri" w:cs="Calibri"/>
          <w:noProof/>
          <w:szCs w:val="24"/>
        </w:rPr>
        <w:tab/>
        <w:t xml:space="preserve">Gueriau, P. &amp; Bertrand, L. Deciphering Exceptional Preservation of Fossils Through Trace Elemental Imaging. </w:t>
      </w:r>
      <w:r w:rsidRPr="00F302D2">
        <w:rPr>
          <w:rFonts w:ascii="Calibri" w:hAnsi="Calibri" w:cs="Calibri"/>
          <w:i/>
          <w:iCs/>
          <w:noProof/>
          <w:szCs w:val="24"/>
        </w:rPr>
        <w:t>Micros. Today</w:t>
      </w:r>
      <w:r w:rsidRPr="00F302D2">
        <w:rPr>
          <w:rFonts w:ascii="Calibri" w:hAnsi="Calibri" w:cs="Calibri"/>
          <w:noProof/>
          <w:szCs w:val="24"/>
        </w:rPr>
        <w:t xml:space="preserve"> </w:t>
      </w:r>
      <w:r w:rsidRPr="00F302D2">
        <w:rPr>
          <w:rFonts w:ascii="Calibri" w:hAnsi="Calibri" w:cs="Calibri"/>
          <w:b/>
          <w:bCs/>
          <w:noProof/>
          <w:szCs w:val="24"/>
        </w:rPr>
        <w:t>23</w:t>
      </w:r>
      <w:r w:rsidRPr="00F302D2">
        <w:rPr>
          <w:rFonts w:ascii="Calibri" w:hAnsi="Calibri" w:cs="Calibri"/>
          <w:noProof/>
          <w:szCs w:val="24"/>
        </w:rPr>
        <w:t>, 20–25 (2015).</w:t>
      </w:r>
    </w:p>
    <w:p w14:paraId="2A75356B"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26.</w:t>
      </w:r>
      <w:r w:rsidRPr="00F302D2">
        <w:rPr>
          <w:rFonts w:ascii="Calibri" w:hAnsi="Calibri" w:cs="Calibri"/>
          <w:noProof/>
          <w:szCs w:val="24"/>
        </w:rPr>
        <w:tab/>
        <w:t xml:space="preserve">Gueriau, P., Jauvion, C. &amp; Mocuta, C. Show me your yttrium, and I will tell you who you are: implications for fossil imaging. </w:t>
      </w:r>
      <w:r w:rsidRPr="00F302D2">
        <w:rPr>
          <w:rFonts w:ascii="Calibri" w:hAnsi="Calibri" w:cs="Calibri"/>
          <w:i/>
          <w:iCs/>
          <w:noProof/>
          <w:szCs w:val="24"/>
        </w:rPr>
        <w:t>Palaeontology</w:t>
      </w:r>
      <w:r w:rsidRPr="00F302D2">
        <w:rPr>
          <w:rFonts w:ascii="Calibri" w:hAnsi="Calibri" w:cs="Calibri"/>
          <w:noProof/>
          <w:szCs w:val="24"/>
        </w:rPr>
        <w:t xml:space="preserve"> </w:t>
      </w:r>
      <w:r w:rsidRPr="00F302D2">
        <w:rPr>
          <w:rFonts w:ascii="Calibri" w:hAnsi="Calibri" w:cs="Calibri"/>
          <w:b/>
          <w:bCs/>
          <w:noProof/>
          <w:szCs w:val="24"/>
        </w:rPr>
        <w:t>61</w:t>
      </w:r>
      <w:r w:rsidRPr="00F302D2">
        <w:rPr>
          <w:rFonts w:ascii="Calibri" w:hAnsi="Calibri" w:cs="Calibri"/>
          <w:noProof/>
          <w:szCs w:val="24"/>
        </w:rPr>
        <w:t>, 981–990 (2018).</w:t>
      </w:r>
    </w:p>
    <w:p w14:paraId="6D8F2249"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27.</w:t>
      </w:r>
      <w:r w:rsidRPr="00F302D2">
        <w:rPr>
          <w:rFonts w:ascii="Calibri" w:hAnsi="Calibri" w:cs="Calibri"/>
          <w:noProof/>
          <w:szCs w:val="24"/>
        </w:rPr>
        <w:tab/>
        <w:t xml:space="preserve">Gueriau, P., Bernard, S. &amp; Bertrand, L. Advanced Synchrotron Characterization of Paleontological Specimens. </w:t>
      </w:r>
      <w:r w:rsidRPr="00F302D2">
        <w:rPr>
          <w:rFonts w:ascii="Calibri" w:hAnsi="Calibri" w:cs="Calibri"/>
          <w:i/>
          <w:iCs/>
          <w:noProof/>
          <w:szCs w:val="24"/>
        </w:rPr>
        <w:t>Elements</w:t>
      </w:r>
      <w:r w:rsidRPr="00F302D2">
        <w:rPr>
          <w:rFonts w:ascii="Calibri" w:hAnsi="Calibri" w:cs="Calibri"/>
          <w:noProof/>
          <w:szCs w:val="24"/>
        </w:rPr>
        <w:t xml:space="preserve"> </w:t>
      </w:r>
      <w:r w:rsidRPr="00F302D2">
        <w:rPr>
          <w:rFonts w:ascii="Calibri" w:hAnsi="Calibri" w:cs="Calibri"/>
          <w:b/>
          <w:bCs/>
          <w:noProof/>
          <w:szCs w:val="24"/>
        </w:rPr>
        <w:t>12</w:t>
      </w:r>
      <w:r w:rsidRPr="00F302D2">
        <w:rPr>
          <w:rFonts w:ascii="Calibri" w:hAnsi="Calibri" w:cs="Calibri"/>
          <w:noProof/>
          <w:szCs w:val="24"/>
        </w:rPr>
        <w:t>, 45–50 (2016).</w:t>
      </w:r>
    </w:p>
    <w:p w14:paraId="27233140"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28.</w:t>
      </w:r>
      <w:r w:rsidRPr="00F302D2">
        <w:rPr>
          <w:rFonts w:ascii="Calibri" w:hAnsi="Calibri" w:cs="Calibri"/>
          <w:noProof/>
          <w:szCs w:val="24"/>
        </w:rPr>
        <w:tab/>
        <w:t xml:space="preserve">Edwards, N. P. </w:t>
      </w:r>
      <w:r w:rsidRPr="00F302D2">
        <w:rPr>
          <w:rFonts w:ascii="Calibri" w:hAnsi="Calibri" w:cs="Calibri"/>
          <w:i/>
          <w:iCs/>
          <w:noProof/>
          <w:szCs w:val="24"/>
        </w:rPr>
        <w:t>et al.</w:t>
      </w:r>
      <w:r w:rsidRPr="00F302D2">
        <w:rPr>
          <w:rFonts w:ascii="Calibri" w:hAnsi="Calibri" w:cs="Calibri"/>
          <w:noProof/>
          <w:szCs w:val="24"/>
        </w:rPr>
        <w:t xml:space="preserve"> Elemental characterisation of melanin in feathers via synchrotron X-ray imaging and absorption spectroscopy. </w:t>
      </w:r>
      <w:r w:rsidRPr="00F302D2">
        <w:rPr>
          <w:rFonts w:ascii="Calibri" w:hAnsi="Calibri" w:cs="Calibri"/>
          <w:i/>
          <w:iCs/>
          <w:noProof/>
          <w:szCs w:val="24"/>
        </w:rPr>
        <w:t>Sci. Rep.</w:t>
      </w:r>
      <w:r w:rsidRPr="00F302D2">
        <w:rPr>
          <w:rFonts w:ascii="Calibri" w:hAnsi="Calibri" w:cs="Calibri"/>
          <w:noProof/>
          <w:szCs w:val="24"/>
        </w:rPr>
        <w:t xml:space="preserve"> </w:t>
      </w:r>
      <w:r w:rsidRPr="00F302D2">
        <w:rPr>
          <w:rFonts w:ascii="Calibri" w:hAnsi="Calibri" w:cs="Calibri"/>
          <w:b/>
          <w:bCs/>
          <w:noProof/>
          <w:szCs w:val="24"/>
        </w:rPr>
        <w:t>6</w:t>
      </w:r>
      <w:r w:rsidRPr="00F302D2">
        <w:rPr>
          <w:rFonts w:ascii="Calibri" w:hAnsi="Calibri" w:cs="Calibri"/>
          <w:noProof/>
          <w:szCs w:val="24"/>
        </w:rPr>
        <w:t>, 1–10 (2016).</w:t>
      </w:r>
    </w:p>
    <w:p w14:paraId="0C2518EE"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29.</w:t>
      </w:r>
      <w:r w:rsidRPr="00F302D2">
        <w:rPr>
          <w:rFonts w:ascii="Calibri" w:hAnsi="Calibri" w:cs="Calibri"/>
          <w:noProof/>
          <w:szCs w:val="24"/>
        </w:rPr>
        <w:tab/>
        <w:t xml:space="preserve">Morris, M. D. &amp; Mandair, G. S. Raman assessment of bone quality. </w:t>
      </w:r>
      <w:r w:rsidRPr="00F302D2">
        <w:rPr>
          <w:rFonts w:ascii="Calibri" w:hAnsi="Calibri" w:cs="Calibri"/>
          <w:i/>
          <w:iCs/>
          <w:noProof/>
          <w:szCs w:val="24"/>
        </w:rPr>
        <w:t>Clin. Orthop. Relat. Res.</w:t>
      </w:r>
      <w:r w:rsidRPr="00F302D2">
        <w:rPr>
          <w:rFonts w:ascii="Calibri" w:hAnsi="Calibri" w:cs="Calibri"/>
          <w:noProof/>
          <w:szCs w:val="24"/>
        </w:rPr>
        <w:t xml:space="preserve"> </w:t>
      </w:r>
      <w:r w:rsidRPr="00F302D2">
        <w:rPr>
          <w:rFonts w:ascii="Calibri" w:hAnsi="Calibri" w:cs="Calibri"/>
          <w:b/>
          <w:bCs/>
          <w:noProof/>
          <w:szCs w:val="24"/>
        </w:rPr>
        <w:t>469</w:t>
      </w:r>
      <w:r w:rsidRPr="00F302D2">
        <w:rPr>
          <w:rFonts w:ascii="Calibri" w:hAnsi="Calibri" w:cs="Calibri"/>
          <w:noProof/>
          <w:szCs w:val="24"/>
        </w:rPr>
        <w:t>, 2160–2169 (2011).</w:t>
      </w:r>
    </w:p>
    <w:p w14:paraId="063A0A2D"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30.</w:t>
      </w:r>
      <w:r w:rsidRPr="00F302D2">
        <w:rPr>
          <w:rFonts w:ascii="Calibri" w:hAnsi="Calibri" w:cs="Calibri"/>
          <w:noProof/>
          <w:szCs w:val="24"/>
        </w:rPr>
        <w:tab/>
        <w:t xml:space="preserve">Hong, L., Liu, Y. &amp; Simon, J. D. Binding of Metal Ions to Melanin and Their Effects on the Aerobic Reactivity. </w:t>
      </w:r>
      <w:r w:rsidRPr="00F302D2">
        <w:rPr>
          <w:rFonts w:ascii="Calibri" w:hAnsi="Calibri" w:cs="Calibri"/>
          <w:i/>
          <w:iCs/>
          <w:noProof/>
          <w:szCs w:val="24"/>
        </w:rPr>
        <w:t>Photochem. Photobiol.</w:t>
      </w:r>
      <w:r w:rsidRPr="00F302D2">
        <w:rPr>
          <w:rFonts w:ascii="Calibri" w:hAnsi="Calibri" w:cs="Calibri"/>
          <w:noProof/>
          <w:szCs w:val="24"/>
        </w:rPr>
        <w:t xml:space="preserve"> </w:t>
      </w:r>
      <w:r w:rsidRPr="00F302D2">
        <w:rPr>
          <w:rFonts w:ascii="Calibri" w:hAnsi="Calibri" w:cs="Calibri"/>
          <w:b/>
          <w:bCs/>
          <w:noProof/>
          <w:szCs w:val="24"/>
        </w:rPr>
        <w:t>80</w:t>
      </w:r>
      <w:r w:rsidRPr="00F302D2">
        <w:rPr>
          <w:rFonts w:ascii="Calibri" w:hAnsi="Calibri" w:cs="Calibri"/>
          <w:noProof/>
          <w:szCs w:val="24"/>
        </w:rPr>
        <w:t>, 477 (2004).</w:t>
      </w:r>
    </w:p>
    <w:p w14:paraId="7BA51E29"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31.</w:t>
      </w:r>
      <w:r w:rsidRPr="00F302D2">
        <w:rPr>
          <w:rFonts w:ascii="Calibri" w:hAnsi="Calibri" w:cs="Calibri"/>
          <w:noProof/>
          <w:szCs w:val="24"/>
        </w:rPr>
        <w:tab/>
        <w:t xml:space="preserve">Egerton, V. M. </w:t>
      </w:r>
      <w:r w:rsidRPr="00F302D2">
        <w:rPr>
          <w:rFonts w:ascii="Calibri" w:hAnsi="Calibri" w:cs="Calibri"/>
          <w:i/>
          <w:iCs/>
          <w:noProof/>
          <w:szCs w:val="24"/>
        </w:rPr>
        <w:t>et al.</w:t>
      </w:r>
      <w:r w:rsidRPr="00F302D2">
        <w:rPr>
          <w:rFonts w:ascii="Calibri" w:hAnsi="Calibri" w:cs="Calibri"/>
          <w:noProof/>
          <w:szCs w:val="24"/>
        </w:rPr>
        <w:t xml:space="preserve"> The mapping and differentiation of biological and environmental elemental signatures in the fossil remains of a 50 million year old bird. </w:t>
      </w:r>
      <w:r w:rsidRPr="00F302D2">
        <w:rPr>
          <w:rFonts w:ascii="Calibri" w:hAnsi="Calibri" w:cs="Calibri"/>
          <w:i/>
          <w:iCs/>
          <w:noProof/>
          <w:szCs w:val="24"/>
        </w:rPr>
        <w:t xml:space="preserve">J. Anal. At. </w:t>
      </w:r>
      <w:r w:rsidRPr="00F302D2">
        <w:rPr>
          <w:rFonts w:ascii="Calibri" w:hAnsi="Calibri" w:cs="Calibri"/>
          <w:i/>
          <w:iCs/>
          <w:noProof/>
          <w:szCs w:val="24"/>
        </w:rPr>
        <w:lastRenderedPageBreak/>
        <w:t>Spectrom.</w:t>
      </w:r>
      <w:r w:rsidRPr="00F302D2">
        <w:rPr>
          <w:rFonts w:ascii="Calibri" w:hAnsi="Calibri" w:cs="Calibri"/>
          <w:noProof/>
          <w:szCs w:val="24"/>
        </w:rPr>
        <w:t xml:space="preserve"> </w:t>
      </w:r>
      <w:r w:rsidRPr="00F302D2">
        <w:rPr>
          <w:rFonts w:ascii="Calibri" w:hAnsi="Calibri" w:cs="Calibri"/>
          <w:b/>
          <w:bCs/>
          <w:noProof/>
          <w:szCs w:val="24"/>
        </w:rPr>
        <w:t>30</w:t>
      </w:r>
      <w:r w:rsidRPr="00F302D2">
        <w:rPr>
          <w:rFonts w:ascii="Calibri" w:hAnsi="Calibri" w:cs="Calibri"/>
          <w:noProof/>
          <w:szCs w:val="24"/>
        </w:rPr>
        <w:t>, 627–634 (2015).</w:t>
      </w:r>
    </w:p>
    <w:p w14:paraId="0883057B"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32.</w:t>
      </w:r>
      <w:r w:rsidRPr="00F302D2">
        <w:rPr>
          <w:rFonts w:ascii="Calibri" w:hAnsi="Calibri" w:cs="Calibri"/>
          <w:noProof/>
          <w:szCs w:val="24"/>
        </w:rPr>
        <w:tab/>
        <w:t xml:space="preserve">Manning, P. L. </w:t>
      </w:r>
      <w:r w:rsidRPr="00F302D2">
        <w:rPr>
          <w:rFonts w:ascii="Calibri" w:hAnsi="Calibri" w:cs="Calibri"/>
          <w:i/>
          <w:iCs/>
          <w:noProof/>
          <w:szCs w:val="24"/>
        </w:rPr>
        <w:t>et al.</w:t>
      </w:r>
      <w:r w:rsidRPr="00F302D2">
        <w:rPr>
          <w:rFonts w:ascii="Calibri" w:hAnsi="Calibri" w:cs="Calibri"/>
          <w:noProof/>
          <w:szCs w:val="24"/>
        </w:rPr>
        <w:t xml:space="preserve"> Synchrotron-based chemical imaging reveals plumage patterns in a 150 million year old early bird. </w:t>
      </w:r>
      <w:r w:rsidRPr="00F302D2">
        <w:rPr>
          <w:rFonts w:ascii="Calibri" w:hAnsi="Calibri" w:cs="Calibri"/>
          <w:i/>
          <w:iCs/>
          <w:noProof/>
          <w:szCs w:val="24"/>
        </w:rPr>
        <w:t>J. Anal. At. Spectrom.</w:t>
      </w:r>
      <w:r w:rsidRPr="00F302D2">
        <w:rPr>
          <w:rFonts w:ascii="Calibri" w:hAnsi="Calibri" w:cs="Calibri"/>
          <w:noProof/>
          <w:szCs w:val="24"/>
        </w:rPr>
        <w:t xml:space="preserve"> </w:t>
      </w:r>
      <w:r w:rsidRPr="00F302D2">
        <w:rPr>
          <w:rFonts w:ascii="Calibri" w:hAnsi="Calibri" w:cs="Calibri"/>
          <w:b/>
          <w:bCs/>
          <w:noProof/>
          <w:szCs w:val="24"/>
        </w:rPr>
        <w:t>28</w:t>
      </w:r>
      <w:r w:rsidRPr="00F302D2">
        <w:rPr>
          <w:rFonts w:ascii="Calibri" w:hAnsi="Calibri" w:cs="Calibri"/>
          <w:noProof/>
          <w:szCs w:val="24"/>
        </w:rPr>
        <w:t>, 1024–1030 (2013).</w:t>
      </w:r>
    </w:p>
    <w:p w14:paraId="2575F975"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33.</w:t>
      </w:r>
      <w:r w:rsidRPr="00F302D2">
        <w:rPr>
          <w:rFonts w:ascii="Calibri" w:hAnsi="Calibri" w:cs="Calibri"/>
          <w:noProof/>
          <w:szCs w:val="24"/>
        </w:rPr>
        <w:tab/>
        <w:t xml:space="preserve">Chen, H. &amp; Stimets, R. W. Fluorescence of trivalent neodymium in various materials excited by a 785 nm laser. </w:t>
      </w:r>
      <w:r w:rsidRPr="00F302D2">
        <w:rPr>
          <w:rFonts w:ascii="Calibri" w:hAnsi="Calibri" w:cs="Calibri"/>
          <w:i/>
          <w:iCs/>
          <w:noProof/>
          <w:szCs w:val="24"/>
        </w:rPr>
        <w:t>Am. Mineral.</w:t>
      </w:r>
      <w:r w:rsidRPr="00F302D2">
        <w:rPr>
          <w:rFonts w:ascii="Calibri" w:hAnsi="Calibri" w:cs="Calibri"/>
          <w:noProof/>
          <w:szCs w:val="24"/>
        </w:rPr>
        <w:t xml:space="preserve"> </w:t>
      </w:r>
      <w:r w:rsidRPr="00F302D2">
        <w:rPr>
          <w:rFonts w:ascii="Calibri" w:hAnsi="Calibri" w:cs="Calibri"/>
          <w:b/>
          <w:bCs/>
          <w:noProof/>
          <w:szCs w:val="24"/>
        </w:rPr>
        <w:t>99</w:t>
      </w:r>
      <w:r w:rsidRPr="00F302D2">
        <w:rPr>
          <w:rFonts w:ascii="Calibri" w:hAnsi="Calibri" w:cs="Calibri"/>
          <w:noProof/>
          <w:szCs w:val="24"/>
        </w:rPr>
        <w:t>, 332–342 (2014).</w:t>
      </w:r>
    </w:p>
    <w:p w14:paraId="39EFB2B4"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34.</w:t>
      </w:r>
      <w:r w:rsidRPr="00F302D2">
        <w:rPr>
          <w:rFonts w:ascii="Calibri" w:hAnsi="Calibri" w:cs="Calibri"/>
          <w:noProof/>
          <w:szCs w:val="24"/>
        </w:rPr>
        <w:tab/>
        <w:t xml:space="preserve">Perna, G., Lasalvia, M. &amp; Capozzi, V. Vibrational spectroscopy of synthetic and natural eumelanin. </w:t>
      </w:r>
      <w:r w:rsidRPr="00F302D2">
        <w:rPr>
          <w:rFonts w:ascii="Calibri" w:hAnsi="Calibri" w:cs="Calibri"/>
          <w:i/>
          <w:iCs/>
          <w:noProof/>
          <w:szCs w:val="24"/>
        </w:rPr>
        <w:t>Polym. Int.</w:t>
      </w:r>
      <w:r w:rsidRPr="00F302D2">
        <w:rPr>
          <w:rFonts w:ascii="Calibri" w:hAnsi="Calibri" w:cs="Calibri"/>
          <w:noProof/>
          <w:szCs w:val="24"/>
        </w:rPr>
        <w:t xml:space="preserve"> </w:t>
      </w:r>
      <w:r w:rsidRPr="00F302D2">
        <w:rPr>
          <w:rFonts w:ascii="Calibri" w:hAnsi="Calibri" w:cs="Calibri"/>
          <w:b/>
          <w:bCs/>
          <w:noProof/>
          <w:szCs w:val="24"/>
        </w:rPr>
        <w:t>65</w:t>
      </w:r>
      <w:r w:rsidRPr="00F302D2">
        <w:rPr>
          <w:rFonts w:ascii="Calibri" w:hAnsi="Calibri" w:cs="Calibri"/>
          <w:noProof/>
          <w:szCs w:val="24"/>
        </w:rPr>
        <w:t>, 1323–1330 (2016).</w:t>
      </w:r>
    </w:p>
    <w:p w14:paraId="3BA77BE2"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35.</w:t>
      </w:r>
      <w:r w:rsidRPr="00F302D2">
        <w:rPr>
          <w:rFonts w:ascii="Calibri" w:hAnsi="Calibri" w:cs="Calibri"/>
          <w:noProof/>
          <w:szCs w:val="24"/>
        </w:rPr>
        <w:tab/>
        <w:t xml:space="preserve">Gunasekaran, S., Anbalagan, G. &amp; Pandi, S. Raman and infrared spectra of carbonates of calcite structure. </w:t>
      </w:r>
      <w:r w:rsidRPr="00F302D2">
        <w:rPr>
          <w:rFonts w:ascii="Calibri" w:hAnsi="Calibri" w:cs="Calibri"/>
          <w:i/>
          <w:iCs/>
          <w:noProof/>
          <w:szCs w:val="24"/>
        </w:rPr>
        <w:t>J. Raman Spectrosc.</w:t>
      </w:r>
      <w:r w:rsidRPr="00F302D2">
        <w:rPr>
          <w:rFonts w:ascii="Calibri" w:hAnsi="Calibri" w:cs="Calibri"/>
          <w:noProof/>
          <w:szCs w:val="24"/>
        </w:rPr>
        <w:t xml:space="preserve"> </w:t>
      </w:r>
      <w:r w:rsidRPr="00F302D2">
        <w:rPr>
          <w:rFonts w:ascii="Calibri" w:hAnsi="Calibri" w:cs="Calibri"/>
          <w:b/>
          <w:bCs/>
          <w:noProof/>
          <w:szCs w:val="24"/>
        </w:rPr>
        <w:t>37</w:t>
      </w:r>
      <w:r w:rsidRPr="00F302D2">
        <w:rPr>
          <w:rFonts w:ascii="Calibri" w:hAnsi="Calibri" w:cs="Calibri"/>
          <w:noProof/>
          <w:szCs w:val="24"/>
        </w:rPr>
        <w:t>, 892–899 (2006).</w:t>
      </w:r>
    </w:p>
    <w:p w14:paraId="2348546F"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36.</w:t>
      </w:r>
      <w:r w:rsidRPr="00F302D2">
        <w:rPr>
          <w:rFonts w:ascii="Calibri" w:hAnsi="Calibri" w:cs="Calibri"/>
          <w:noProof/>
          <w:szCs w:val="24"/>
        </w:rPr>
        <w:tab/>
        <w:t xml:space="preserve">Huang, Z. </w:t>
      </w:r>
      <w:r w:rsidRPr="00F302D2">
        <w:rPr>
          <w:rFonts w:ascii="Calibri" w:hAnsi="Calibri" w:cs="Calibri"/>
          <w:i/>
          <w:iCs/>
          <w:noProof/>
          <w:szCs w:val="24"/>
        </w:rPr>
        <w:t>et al.</w:t>
      </w:r>
      <w:r w:rsidRPr="00F302D2">
        <w:rPr>
          <w:rFonts w:ascii="Calibri" w:hAnsi="Calibri" w:cs="Calibri"/>
          <w:noProof/>
          <w:szCs w:val="24"/>
        </w:rPr>
        <w:t xml:space="preserve"> Raman spectroscopy of in vivo cutaneous melanin. </w:t>
      </w:r>
      <w:r w:rsidRPr="00F302D2">
        <w:rPr>
          <w:rFonts w:ascii="Calibri" w:hAnsi="Calibri" w:cs="Calibri"/>
          <w:i/>
          <w:iCs/>
          <w:noProof/>
          <w:szCs w:val="24"/>
        </w:rPr>
        <w:t>J. Biomed. Opt.</w:t>
      </w:r>
      <w:r w:rsidRPr="00F302D2">
        <w:rPr>
          <w:rFonts w:ascii="Calibri" w:hAnsi="Calibri" w:cs="Calibri"/>
          <w:noProof/>
          <w:szCs w:val="24"/>
        </w:rPr>
        <w:t xml:space="preserve"> </w:t>
      </w:r>
      <w:r w:rsidRPr="00F302D2">
        <w:rPr>
          <w:rFonts w:ascii="Calibri" w:hAnsi="Calibri" w:cs="Calibri"/>
          <w:b/>
          <w:bCs/>
          <w:noProof/>
          <w:szCs w:val="24"/>
        </w:rPr>
        <w:t>9</w:t>
      </w:r>
      <w:r w:rsidRPr="00F302D2">
        <w:rPr>
          <w:rFonts w:ascii="Calibri" w:hAnsi="Calibri" w:cs="Calibri"/>
          <w:noProof/>
          <w:szCs w:val="24"/>
        </w:rPr>
        <w:t>, 1198 (2004).</w:t>
      </w:r>
    </w:p>
    <w:p w14:paraId="28DBFD2B"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37.</w:t>
      </w:r>
      <w:r w:rsidRPr="00F302D2">
        <w:rPr>
          <w:rFonts w:ascii="Calibri" w:hAnsi="Calibri" w:cs="Calibri"/>
          <w:noProof/>
          <w:szCs w:val="24"/>
        </w:rPr>
        <w:tab/>
        <w:t xml:space="preserve">Galván, I. </w:t>
      </w:r>
      <w:r w:rsidRPr="00F302D2">
        <w:rPr>
          <w:rFonts w:ascii="Calibri" w:hAnsi="Calibri" w:cs="Calibri"/>
          <w:i/>
          <w:iCs/>
          <w:noProof/>
          <w:szCs w:val="24"/>
        </w:rPr>
        <w:t>et al.</w:t>
      </w:r>
      <w:r w:rsidRPr="00F302D2">
        <w:rPr>
          <w:rFonts w:ascii="Calibri" w:hAnsi="Calibri" w:cs="Calibri"/>
          <w:noProof/>
          <w:szCs w:val="24"/>
        </w:rPr>
        <w:t xml:space="preserve"> Raman spectroscopy as a non-invasive technique for the quantification of melanins in feathers and hairs. </w:t>
      </w:r>
      <w:r w:rsidRPr="00F302D2">
        <w:rPr>
          <w:rFonts w:ascii="Calibri" w:hAnsi="Calibri" w:cs="Calibri"/>
          <w:i/>
          <w:iCs/>
          <w:noProof/>
          <w:szCs w:val="24"/>
        </w:rPr>
        <w:t>Pigment Cell Melanoma Res.</w:t>
      </w:r>
      <w:r w:rsidRPr="00F302D2">
        <w:rPr>
          <w:rFonts w:ascii="Calibri" w:hAnsi="Calibri" w:cs="Calibri"/>
          <w:noProof/>
          <w:szCs w:val="24"/>
        </w:rPr>
        <w:t xml:space="preserve"> </w:t>
      </w:r>
      <w:r w:rsidRPr="00F302D2">
        <w:rPr>
          <w:rFonts w:ascii="Calibri" w:hAnsi="Calibri" w:cs="Calibri"/>
          <w:b/>
          <w:bCs/>
          <w:noProof/>
          <w:szCs w:val="24"/>
        </w:rPr>
        <w:t>26</w:t>
      </w:r>
      <w:r w:rsidRPr="00F302D2">
        <w:rPr>
          <w:rFonts w:ascii="Calibri" w:hAnsi="Calibri" w:cs="Calibri"/>
          <w:noProof/>
          <w:szCs w:val="24"/>
        </w:rPr>
        <w:t>, 917–923 (2013).</w:t>
      </w:r>
    </w:p>
    <w:p w14:paraId="1A8C221B"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38.</w:t>
      </w:r>
      <w:r w:rsidRPr="00F302D2">
        <w:rPr>
          <w:rFonts w:ascii="Calibri" w:hAnsi="Calibri" w:cs="Calibri"/>
          <w:noProof/>
          <w:szCs w:val="24"/>
        </w:rPr>
        <w:tab/>
        <w:t xml:space="preserve">Galván, I., Jorge, A., Solano, F. &amp; Wakamatsu, K. Vibrational characterization of pheomelanin and trichochrome F by Raman spectroscopy. </w:t>
      </w:r>
      <w:r w:rsidRPr="00F302D2">
        <w:rPr>
          <w:rFonts w:ascii="Calibri" w:hAnsi="Calibri" w:cs="Calibri"/>
          <w:i/>
          <w:iCs/>
          <w:noProof/>
          <w:szCs w:val="24"/>
        </w:rPr>
        <w:t>Spectrochim. Acta Part A Mol. Biomol. Spectrosc.</w:t>
      </w:r>
      <w:r w:rsidRPr="00F302D2">
        <w:rPr>
          <w:rFonts w:ascii="Calibri" w:hAnsi="Calibri" w:cs="Calibri"/>
          <w:noProof/>
          <w:szCs w:val="24"/>
        </w:rPr>
        <w:t xml:space="preserve"> </w:t>
      </w:r>
      <w:r w:rsidRPr="00F302D2">
        <w:rPr>
          <w:rFonts w:ascii="Calibri" w:hAnsi="Calibri" w:cs="Calibri"/>
          <w:b/>
          <w:bCs/>
          <w:noProof/>
          <w:szCs w:val="24"/>
        </w:rPr>
        <w:t>110</w:t>
      </w:r>
      <w:r w:rsidRPr="00F302D2">
        <w:rPr>
          <w:rFonts w:ascii="Calibri" w:hAnsi="Calibri" w:cs="Calibri"/>
          <w:noProof/>
          <w:szCs w:val="24"/>
        </w:rPr>
        <w:t>, 55–59 (2013).</w:t>
      </w:r>
    </w:p>
    <w:p w14:paraId="0D05243A"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39.</w:t>
      </w:r>
      <w:r w:rsidRPr="00F302D2">
        <w:rPr>
          <w:rFonts w:ascii="Calibri" w:hAnsi="Calibri" w:cs="Calibri"/>
          <w:noProof/>
          <w:szCs w:val="24"/>
        </w:rPr>
        <w:tab/>
        <w:t xml:space="preserve">Perna, G. Vibrational Characterization of Synthetic Eumelanin by Means of Raman and Surface Enhanced Raman Scattering. </w:t>
      </w:r>
      <w:r w:rsidRPr="00F302D2">
        <w:rPr>
          <w:rFonts w:ascii="Calibri" w:hAnsi="Calibri" w:cs="Calibri"/>
          <w:i/>
          <w:iCs/>
          <w:noProof/>
          <w:szCs w:val="24"/>
        </w:rPr>
        <w:t>Open Surf. Sci. J.</w:t>
      </w:r>
      <w:r w:rsidRPr="00F302D2">
        <w:rPr>
          <w:rFonts w:ascii="Calibri" w:hAnsi="Calibri" w:cs="Calibri"/>
          <w:noProof/>
          <w:szCs w:val="24"/>
        </w:rPr>
        <w:t xml:space="preserve"> </w:t>
      </w:r>
      <w:r w:rsidRPr="00F302D2">
        <w:rPr>
          <w:rFonts w:ascii="Calibri" w:hAnsi="Calibri" w:cs="Calibri"/>
          <w:b/>
          <w:bCs/>
          <w:noProof/>
          <w:szCs w:val="24"/>
        </w:rPr>
        <w:t>5</w:t>
      </w:r>
      <w:r w:rsidRPr="00F302D2">
        <w:rPr>
          <w:rFonts w:ascii="Calibri" w:hAnsi="Calibri" w:cs="Calibri"/>
          <w:noProof/>
          <w:szCs w:val="24"/>
        </w:rPr>
        <w:t>, 1–8 (2013).</w:t>
      </w:r>
    </w:p>
    <w:p w14:paraId="194B8450"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40.</w:t>
      </w:r>
      <w:r w:rsidRPr="00F302D2">
        <w:rPr>
          <w:rFonts w:ascii="Calibri" w:hAnsi="Calibri" w:cs="Calibri"/>
          <w:noProof/>
          <w:szCs w:val="24"/>
        </w:rPr>
        <w:tab/>
        <w:t xml:space="preserve">Galván, I. &amp; Jorge, A. Dispersive Raman spectroscopy allows the identification and quantification of melanin types. </w:t>
      </w:r>
      <w:r w:rsidRPr="00F302D2">
        <w:rPr>
          <w:rFonts w:ascii="Calibri" w:hAnsi="Calibri" w:cs="Calibri"/>
          <w:i/>
          <w:iCs/>
          <w:noProof/>
          <w:szCs w:val="24"/>
        </w:rPr>
        <w:t>Ecol. Evol.</w:t>
      </w:r>
      <w:r w:rsidRPr="00F302D2">
        <w:rPr>
          <w:rFonts w:ascii="Calibri" w:hAnsi="Calibri" w:cs="Calibri"/>
          <w:noProof/>
          <w:szCs w:val="24"/>
        </w:rPr>
        <w:t xml:space="preserve"> </w:t>
      </w:r>
      <w:r w:rsidRPr="00F302D2">
        <w:rPr>
          <w:rFonts w:ascii="Calibri" w:hAnsi="Calibri" w:cs="Calibri"/>
          <w:b/>
          <w:bCs/>
          <w:noProof/>
          <w:szCs w:val="24"/>
        </w:rPr>
        <w:t>5</w:t>
      </w:r>
      <w:r w:rsidRPr="00F302D2">
        <w:rPr>
          <w:rFonts w:ascii="Calibri" w:hAnsi="Calibri" w:cs="Calibri"/>
          <w:noProof/>
          <w:szCs w:val="24"/>
        </w:rPr>
        <w:t>, 1425–1431 (2015).</w:t>
      </w:r>
    </w:p>
    <w:p w14:paraId="011FB03B"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41.</w:t>
      </w:r>
      <w:r w:rsidRPr="00F302D2">
        <w:rPr>
          <w:rFonts w:ascii="Calibri" w:hAnsi="Calibri" w:cs="Calibri"/>
          <w:noProof/>
          <w:szCs w:val="24"/>
        </w:rPr>
        <w:tab/>
        <w:t xml:space="preserve">Glass, K. E. </w:t>
      </w:r>
      <w:r w:rsidRPr="00F302D2">
        <w:rPr>
          <w:rFonts w:ascii="Calibri" w:hAnsi="Calibri" w:cs="Calibri"/>
          <w:i/>
          <w:iCs/>
          <w:noProof/>
          <w:szCs w:val="24"/>
        </w:rPr>
        <w:t>et al.</w:t>
      </w:r>
      <w:r w:rsidRPr="00F302D2">
        <w:rPr>
          <w:rFonts w:ascii="Calibri" w:hAnsi="Calibri" w:cs="Calibri"/>
          <w:noProof/>
          <w:szCs w:val="24"/>
        </w:rPr>
        <w:t xml:space="preserve"> Direct chemical evidence for eumelanin pigment from the Jurassic period. </w:t>
      </w:r>
      <w:r w:rsidRPr="00F302D2">
        <w:rPr>
          <w:rFonts w:ascii="Calibri" w:hAnsi="Calibri" w:cs="Calibri"/>
          <w:i/>
          <w:iCs/>
          <w:noProof/>
          <w:szCs w:val="24"/>
        </w:rPr>
        <w:t>Proc. Natl. Acad. Sci.</w:t>
      </w:r>
      <w:r w:rsidRPr="00F302D2">
        <w:rPr>
          <w:rFonts w:ascii="Calibri" w:hAnsi="Calibri" w:cs="Calibri"/>
          <w:noProof/>
          <w:szCs w:val="24"/>
        </w:rPr>
        <w:t xml:space="preserve"> </w:t>
      </w:r>
      <w:r w:rsidRPr="00F302D2">
        <w:rPr>
          <w:rFonts w:ascii="Calibri" w:hAnsi="Calibri" w:cs="Calibri"/>
          <w:b/>
          <w:bCs/>
          <w:noProof/>
          <w:szCs w:val="24"/>
        </w:rPr>
        <w:t>109</w:t>
      </w:r>
      <w:r w:rsidRPr="00F302D2">
        <w:rPr>
          <w:rFonts w:ascii="Calibri" w:hAnsi="Calibri" w:cs="Calibri"/>
          <w:noProof/>
          <w:szCs w:val="24"/>
        </w:rPr>
        <w:t>, 10218–10223 (2012).</w:t>
      </w:r>
    </w:p>
    <w:p w14:paraId="37B87FA1"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42.</w:t>
      </w:r>
      <w:r w:rsidRPr="00F302D2">
        <w:rPr>
          <w:rFonts w:ascii="Calibri" w:hAnsi="Calibri" w:cs="Calibri"/>
          <w:noProof/>
          <w:szCs w:val="24"/>
        </w:rPr>
        <w:tab/>
        <w:t xml:space="preserve">Wojdyr, M. Fityk : a general-purpose peak fitting program. </w:t>
      </w:r>
      <w:r w:rsidRPr="00F302D2">
        <w:rPr>
          <w:rFonts w:ascii="Calibri" w:hAnsi="Calibri" w:cs="Calibri"/>
          <w:i/>
          <w:iCs/>
          <w:noProof/>
          <w:szCs w:val="24"/>
        </w:rPr>
        <w:t>J. Appl. Crystallogr.</w:t>
      </w:r>
      <w:r w:rsidRPr="00F302D2">
        <w:rPr>
          <w:rFonts w:ascii="Calibri" w:hAnsi="Calibri" w:cs="Calibri"/>
          <w:noProof/>
          <w:szCs w:val="24"/>
        </w:rPr>
        <w:t xml:space="preserve"> </w:t>
      </w:r>
      <w:r w:rsidRPr="00F302D2">
        <w:rPr>
          <w:rFonts w:ascii="Calibri" w:hAnsi="Calibri" w:cs="Calibri"/>
          <w:b/>
          <w:bCs/>
          <w:noProof/>
          <w:szCs w:val="24"/>
        </w:rPr>
        <w:t>43</w:t>
      </w:r>
      <w:r w:rsidRPr="00F302D2">
        <w:rPr>
          <w:rFonts w:ascii="Calibri" w:hAnsi="Calibri" w:cs="Calibri"/>
          <w:noProof/>
          <w:szCs w:val="24"/>
        </w:rPr>
        <w:t>, 1126–1128 (2010).</w:t>
      </w:r>
    </w:p>
    <w:p w14:paraId="3C05262C"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szCs w:val="24"/>
        </w:rPr>
      </w:pPr>
      <w:r w:rsidRPr="00F302D2">
        <w:rPr>
          <w:rFonts w:ascii="Calibri" w:hAnsi="Calibri" w:cs="Calibri"/>
          <w:noProof/>
          <w:szCs w:val="24"/>
        </w:rPr>
        <w:t>43.</w:t>
      </w:r>
      <w:r w:rsidRPr="00F302D2">
        <w:rPr>
          <w:rFonts w:ascii="Calibri" w:hAnsi="Calibri" w:cs="Calibri"/>
          <w:noProof/>
          <w:szCs w:val="24"/>
        </w:rPr>
        <w:tab/>
        <w:t xml:space="preserve">Lafuente, B., Downs, R. T., Yang, H. &amp; Stone, N. </w:t>
      </w:r>
      <w:r w:rsidRPr="00F302D2">
        <w:rPr>
          <w:rFonts w:ascii="Calibri" w:hAnsi="Calibri" w:cs="Calibri"/>
          <w:i/>
          <w:iCs/>
          <w:noProof/>
          <w:szCs w:val="24"/>
        </w:rPr>
        <w:t>The power of databases: The RRUFF project</w:t>
      </w:r>
      <w:r w:rsidRPr="00F302D2">
        <w:rPr>
          <w:rFonts w:ascii="Calibri" w:hAnsi="Calibri" w:cs="Calibri"/>
          <w:noProof/>
          <w:szCs w:val="24"/>
        </w:rPr>
        <w:t xml:space="preserve">. </w:t>
      </w:r>
      <w:r w:rsidRPr="00F302D2">
        <w:rPr>
          <w:rFonts w:ascii="Calibri" w:hAnsi="Calibri" w:cs="Calibri"/>
          <w:i/>
          <w:iCs/>
          <w:noProof/>
          <w:szCs w:val="24"/>
        </w:rPr>
        <w:t>Highlights in Mineralogical Crystallography</w:t>
      </w:r>
      <w:r w:rsidRPr="00F302D2">
        <w:rPr>
          <w:rFonts w:ascii="Calibri" w:hAnsi="Calibri" w:cs="Calibri"/>
          <w:noProof/>
          <w:szCs w:val="24"/>
        </w:rPr>
        <w:t xml:space="preserve"> (2016). doi:10.1515/9783110417104-003</w:t>
      </w:r>
    </w:p>
    <w:p w14:paraId="2C962D64" w14:textId="77777777" w:rsidR="00F302D2" w:rsidRPr="00F302D2" w:rsidRDefault="00F302D2" w:rsidP="00F302D2">
      <w:pPr>
        <w:widowControl w:val="0"/>
        <w:autoSpaceDE w:val="0"/>
        <w:autoSpaceDN w:val="0"/>
        <w:adjustRightInd w:val="0"/>
        <w:spacing w:after="0" w:line="360" w:lineRule="auto"/>
        <w:ind w:left="640" w:hanging="640"/>
        <w:rPr>
          <w:rFonts w:ascii="Calibri" w:hAnsi="Calibri" w:cs="Calibri"/>
          <w:noProof/>
        </w:rPr>
      </w:pPr>
      <w:r w:rsidRPr="00F302D2">
        <w:rPr>
          <w:rFonts w:ascii="Calibri" w:hAnsi="Calibri" w:cs="Calibri"/>
          <w:noProof/>
          <w:szCs w:val="24"/>
        </w:rPr>
        <w:t>44.</w:t>
      </w:r>
      <w:r w:rsidRPr="00F302D2">
        <w:rPr>
          <w:rFonts w:ascii="Calibri" w:hAnsi="Calibri" w:cs="Calibri"/>
          <w:noProof/>
          <w:szCs w:val="24"/>
        </w:rPr>
        <w:tab/>
        <w:t xml:space="preserve">Clarke, J. A. </w:t>
      </w:r>
      <w:r w:rsidRPr="00F302D2">
        <w:rPr>
          <w:rFonts w:ascii="Calibri" w:hAnsi="Calibri" w:cs="Calibri"/>
          <w:i/>
          <w:iCs/>
          <w:noProof/>
          <w:szCs w:val="24"/>
        </w:rPr>
        <w:t>et al.</w:t>
      </w:r>
      <w:r w:rsidRPr="00F302D2">
        <w:rPr>
          <w:rFonts w:ascii="Calibri" w:hAnsi="Calibri" w:cs="Calibri"/>
          <w:noProof/>
          <w:szCs w:val="24"/>
        </w:rPr>
        <w:t xml:space="preserve"> Fossil evidence for evolution of the shape and color of penguin feathers. </w:t>
      </w:r>
      <w:r w:rsidRPr="00F302D2">
        <w:rPr>
          <w:rFonts w:ascii="Calibri" w:hAnsi="Calibri" w:cs="Calibri"/>
          <w:i/>
          <w:iCs/>
          <w:noProof/>
          <w:szCs w:val="24"/>
        </w:rPr>
        <w:t>Science (80-. ).</w:t>
      </w:r>
      <w:r w:rsidRPr="00F302D2">
        <w:rPr>
          <w:rFonts w:ascii="Calibri" w:hAnsi="Calibri" w:cs="Calibri"/>
          <w:noProof/>
          <w:szCs w:val="24"/>
        </w:rPr>
        <w:t xml:space="preserve"> </w:t>
      </w:r>
      <w:r w:rsidRPr="00F302D2">
        <w:rPr>
          <w:rFonts w:ascii="Calibri" w:hAnsi="Calibri" w:cs="Calibri"/>
          <w:b/>
          <w:bCs/>
          <w:noProof/>
          <w:szCs w:val="24"/>
        </w:rPr>
        <w:t>330</w:t>
      </w:r>
      <w:r w:rsidRPr="00F302D2">
        <w:rPr>
          <w:rFonts w:ascii="Calibri" w:hAnsi="Calibri" w:cs="Calibri"/>
          <w:noProof/>
          <w:szCs w:val="24"/>
        </w:rPr>
        <w:t>, 954–957 (2010).</w:t>
      </w:r>
    </w:p>
    <w:p w14:paraId="47D9530E" w14:textId="77777777" w:rsidR="008906C4" w:rsidRPr="007621E8" w:rsidRDefault="008906C4" w:rsidP="008906C4">
      <w:pPr>
        <w:pStyle w:val="Legenda"/>
        <w:spacing w:after="0"/>
        <w:rPr>
          <w:rFonts w:eastAsia="Times New Roman" w:cstheme="minorHAnsi"/>
          <w:color w:val="000000" w:themeColor="text1"/>
          <w:lang w:val="en-GB"/>
        </w:rPr>
      </w:pPr>
      <w:r w:rsidRPr="007621E8">
        <w:rPr>
          <w:rFonts w:cstheme="minorHAnsi"/>
          <w:lang w:val="en-GB"/>
        </w:rPr>
        <w:lastRenderedPageBreak/>
        <w:fldChar w:fldCharType="end"/>
      </w:r>
      <w:r w:rsidRPr="007621E8">
        <w:rPr>
          <w:color w:val="auto"/>
          <w:sz w:val="20"/>
          <w:szCs w:val="20"/>
          <w:lang w:val="en-GB"/>
        </w:rPr>
        <w:t xml:space="preserve"> </w:t>
      </w:r>
      <w:r w:rsidRPr="007621E8">
        <w:rPr>
          <w:rFonts w:eastAsia="Times New Roman" w:cstheme="minorHAnsi"/>
          <w:noProof/>
          <w:color w:val="000000" w:themeColor="text1"/>
          <w:lang w:val="en-GB"/>
        </w:rPr>
        <w:drawing>
          <wp:inline distT="0" distB="0" distL="0" distR="0" wp14:anchorId="27AC84FE" wp14:editId="2076D1FA">
            <wp:extent cx="5400040" cy="447992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1.tif"/>
                    <pic:cNvPicPr/>
                  </pic:nvPicPr>
                  <pic:blipFill>
                    <a:blip r:embed="rId8" cstate="print">
                      <a:extLst>
                        <a:ext uri="{28A0092B-C50C-407E-A947-70E740481C1C}">
                          <a14:useLocalDpi xmlns:a14="http://schemas.microsoft.com/office/drawing/2010/main"/>
                        </a:ext>
                      </a:extLst>
                    </a:blip>
                    <a:stretch>
                      <a:fillRect/>
                    </a:stretch>
                  </pic:blipFill>
                  <pic:spPr>
                    <a:xfrm>
                      <a:off x="0" y="0"/>
                      <a:ext cx="5400040" cy="4479925"/>
                    </a:xfrm>
                    <a:prstGeom prst="rect">
                      <a:avLst/>
                    </a:prstGeom>
                  </pic:spPr>
                </pic:pic>
              </a:graphicData>
            </a:graphic>
          </wp:inline>
        </w:drawing>
      </w:r>
    </w:p>
    <w:p w14:paraId="775413DA" w14:textId="77777777" w:rsidR="008906C4" w:rsidRPr="007621E8" w:rsidRDefault="008906C4" w:rsidP="008906C4">
      <w:pPr>
        <w:pStyle w:val="Legenda"/>
        <w:spacing w:after="0" w:line="360" w:lineRule="auto"/>
        <w:rPr>
          <w:rFonts w:eastAsia="Times New Roman" w:cstheme="minorHAnsi"/>
          <w:color w:val="000000" w:themeColor="text1"/>
          <w:lang w:val="en-GB"/>
        </w:rPr>
      </w:pPr>
      <w:r w:rsidRPr="007621E8">
        <w:rPr>
          <w:color w:val="auto"/>
          <w:sz w:val="20"/>
          <w:szCs w:val="20"/>
          <w:lang w:val="en-GB"/>
        </w:rPr>
        <w:t>Figure S</w:t>
      </w:r>
      <w:r w:rsidRPr="007621E8">
        <w:rPr>
          <w:color w:val="auto"/>
          <w:sz w:val="20"/>
          <w:szCs w:val="20"/>
          <w:lang w:val="en-GB"/>
        </w:rPr>
        <w:fldChar w:fldCharType="begin"/>
      </w:r>
      <w:r w:rsidRPr="007621E8">
        <w:rPr>
          <w:color w:val="auto"/>
          <w:sz w:val="20"/>
          <w:szCs w:val="20"/>
          <w:lang w:val="en-GB"/>
        </w:rPr>
        <w:instrText xml:space="preserve"> SEQ Figura \* ARABIC </w:instrText>
      </w:r>
      <w:r w:rsidRPr="007621E8">
        <w:rPr>
          <w:color w:val="auto"/>
          <w:sz w:val="20"/>
          <w:szCs w:val="20"/>
          <w:lang w:val="en-GB"/>
        </w:rPr>
        <w:fldChar w:fldCharType="separate"/>
      </w:r>
      <w:r w:rsidRPr="007621E8">
        <w:rPr>
          <w:noProof/>
          <w:color w:val="auto"/>
          <w:sz w:val="20"/>
          <w:szCs w:val="20"/>
          <w:lang w:val="en-GB"/>
        </w:rPr>
        <w:t>1</w:t>
      </w:r>
      <w:r w:rsidRPr="007621E8">
        <w:rPr>
          <w:color w:val="auto"/>
          <w:sz w:val="20"/>
          <w:szCs w:val="20"/>
          <w:lang w:val="en-GB"/>
        </w:rPr>
        <w:fldChar w:fldCharType="end"/>
      </w:r>
      <w:r w:rsidRPr="007621E8">
        <w:rPr>
          <w:color w:val="auto"/>
          <w:sz w:val="20"/>
          <w:szCs w:val="20"/>
          <w:lang w:val="en-GB"/>
        </w:rPr>
        <w:t>.</w:t>
      </w:r>
      <w:r w:rsidRPr="007621E8">
        <w:rPr>
          <w:b w:val="0"/>
          <w:color w:val="auto"/>
          <w:sz w:val="20"/>
          <w:szCs w:val="20"/>
          <w:lang w:val="en-GB"/>
        </w:rPr>
        <w:t xml:space="preserve"> Araripe Basin and Crato Formation (</w:t>
      </w:r>
      <w:r w:rsidRPr="007621E8">
        <w:rPr>
          <w:color w:val="auto"/>
          <w:sz w:val="20"/>
          <w:szCs w:val="20"/>
          <w:lang w:val="en-GB"/>
        </w:rPr>
        <w:t>A</w:t>
      </w:r>
      <w:r w:rsidRPr="007621E8">
        <w:rPr>
          <w:b w:val="0"/>
          <w:color w:val="auto"/>
          <w:sz w:val="20"/>
          <w:szCs w:val="20"/>
          <w:lang w:val="en-GB"/>
        </w:rPr>
        <w:t>) Location of the Araripe Basin, showing the sedimentary sequences distribution, in which the Crato Formation occur at N-SE part of the green limit. (</w:t>
      </w:r>
      <w:r w:rsidRPr="007621E8">
        <w:rPr>
          <w:color w:val="auto"/>
          <w:sz w:val="20"/>
          <w:szCs w:val="20"/>
          <w:lang w:val="en-GB"/>
        </w:rPr>
        <w:t>B</w:t>
      </w:r>
      <w:r w:rsidRPr="007621E8">
        <w:rPr>
          <w:b w:val="0"/>
          <w:color w:val="auto"/>
          <w:sz w:val="20"/>
          <w:szCs w:val="20"/>
          <w:lang w:val="en-GB"/>
        </w:rPr>
        <w:t xml:space="preserve">) Crato Formation outcrop, exhibiting thick sequences of laminated limestones interbedded by greenish shales and sandstones of the Nova Olinda member at the </w:t>
      </w:r>
      <w:r w:rsidRPr="007621E8">
        <w:rPr>
          <w:b w:val="0"/>
          <w:i/>
          <w:color w:val="auto"/>
          <w:sz w:val="20"/>
          <w:szCs w:val="20"/>
          <w:lang w:val="en-GB"/>
        </w:rPr>
        <w:t>Triunfo</w:t>
      </w:r>
      <w:r w:rsidRPr="007621E8">
        <w:rPr>
          <w:b w:val="0"/>
          <w:color w:val="auto"/>
          <w:sz w:val="20"/>
          <w:szCs w:val="20"/>
          <w:lang w:val="en-GB"/>
        </w:rPr>
        <w:t xml:space="preserve"> Quarry located between Crato and Santana do Cariri cities.</w:t>
      </w:r>
    </w:p>
    <w:p w14:paraId="6F8A953E" w14:textId="77777777" w:rsidR="008906C4" w:rsidRPr="007621E8" w:rsidRDefault="008906C4" w:rsidP="008906C4">
      <w:pPr>
        <w:widowControl w:val="0"/>
        <w:autoSpaceDE w:val="0"/>
        <w:autoSpaceDN w:val="0"/>
        <w:adjustRightInd w:val="0"/>
        <w:spacing w:after="0" w:line="360" w:lineRule="auto"/>
        <w:ind w:left="640" w:hanging="640"/>
        <w:rPr>
          <w:rFonts w:eastAsia="Times New Roman" w:cstheme="minorHAnsi"/>
          <w:color w:val="000000" w:themeColor="text1"/>
          <w:lang w:val="en-GB"/>
        </w:rPr>
      </w:pPr>
      <w:r w:rsidRPr="007621E8">
        <w:rPr>
          <w:rFonts w:eastAsia="Times New Roman" w:cstheme="minorHAnsi"/>
          <w:noProof/>
          <w:color w:val="000000" w:themeColor="text1"/>
          <w:lang w:val="en-GB"/>
        </w:rPr>
        <w:lastRenderedPageBreak/>
        <w:drawing>
          <wp:inline distT="0" distB="0" distL="0" distR="0" wp14:anchorId="09622529" wp14:editId="1538585C">
            <wp:extent cx="5400040" cy="54292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2.tif"/>
                    <pic:cNvPicPr/>
                  </pic:nvPicPr>
                  <pic:blipFill>
                    <a:blip r:embed="rId9" cstate="print">
                      <a:extLst>
                        <a:ext uri="{28A0092B-C50C-407E-A947-70E740481C1C}">
                          <a14:useLocalDpi xmlns:a14="http://schemas.microsoft.com/office/drawing/2010/main"/>
                        </a:ext>
                      </a:extLst>
                    </a:blip>
                    <a:stretch>
                      <a:fillRect/>
                    </a:stretch>
                  </pic:blipFill>
                  <pic:spPr>
                    <a:xfrm>
                      <a:off x="0" y="0"/>
                      <a:ext cx="5400040" cy="5429250"/>
                    </a:xfrm>
                    <a:prstGeom prst="rect">
                      <a:avLst/>
                    </a:prstGeom>
                  </pic:spPr>
                </pic:pic>
              </a:graphicData>
            </a:graphic>
          </wp:inline>
        </w:drawing>
      </w:r>
    </w:p>
    <w:p w14:paraId="328C5FE3" w14:textId="316F9F6D" w:rsidR="008906C4" w:rsidRPr="007621E8" w:rsidRDefault="008906C4" w:rsidP="008906C4">
      <w:pPr>
        <w:spacing w:after="0" w:line="360" w:lineRule="auto"/>
        <w:rPr>
          <w:rFonts w:eastAsia="Times New Roman" w:cstheme="minorHAnsi"/>
          <w:color w:val="000000" w:themeColor="text1"/>
          <w:lang w:val="en-GB"/>
        </w:rPr>
      </w:pPr>
      <w:r w:rsidRPr="007621E8">
        <w:rPr>
          <w:rFonts w:cstheme="minorHAnsi"/>
          <w:b/>
          <w:sz w:val="20"/>
          <w:szCs w:val="20"/>
          <w:lang w:val="en-GB"/>
        </w:rPr>
        <w:t>Figure S2.</w:t>
      </w:r>
      <w:r w:rsidRPr="007621E8">
        <w:rPr>
          <w:rFonts w:cstheme="minorHAnsi"/>
          <w:sz w:val="20"/>
          <w:szCs w:val="20"/>
          <w:lang w:val="en-GB"/>
        </w:rPr>
        <w:t xml:space="preserve"> Statistical analysis of CPCA 3590 melanosomes (n=331). (</w:t>
      </w:r>
      <w:r w:rsidRPr="007621E8">
        <w:rPr>
          <w:rFonts w:cstheme="minorHAnsi"/>
          <w:b/>
          <w:sz w:val="20"/>
          <w:szCs w:val="20"/>
          <w:lang w:val="en-GB"/>
        </w:rPr>
        <w:t>A</w:t>
      </w:r>
      <w:r w:rsidRPr="007621E8">
        <w:rPr>
          <w:rFonts w:cstheme="minorHAnsi"/>
          <w:sz w:val="20"/>
          <w:szCs w:val="20"/>
          <w:lang w:val="en-GB"/>
        </w:rPr>
        <w:t>) Scatter plot and (</w:t>
      </w:r>
      <w:r w:rsidRPr="007621E8">
        <w:rPr>
          <w:rFonts w:cstheme="minorHAnsi"/>
          <w:b/>
          <w:sz w:val="20"/>
          <w:szCs w:val="20"/>
          <w:lang w:val="en-GB"/>
        </w:rPr>
        <w:t>B</w:t>
      </w:r>
      <w:r w:rsidRPr="007621E8">
        <w:rPr>
          <w:rFonts w:cstheme="minorHAnsi"/>
          <w:sz w:val="20"/>
          <w:szCs w:val="20"/>
          <w:lang w:val="en-GB"/>
        </w:rPr>
        <w:t xml:space="preserve">) boxplot of the melanosome axes (length and diameter) exhibiting a weak correlation (r=0.4084; </w:t>
      </w:r>
      <w:r w:rsidRPr="007621E8">
        <w:rPr>
          <w:rFonts w:cstheme="minorHAnsi"/>
          <w:i/>
          <w:sz w:val="20"/>
          <w:szCs w:val="20"/>
          <w:lang w:val="en-GB"/>
        </w:rPr>
        <w:t>R</w:t>
      </w:r>
      <w:r w:rsidRPr="007621E8">
        <w:rPr>
          <w:rFonts w:cstheme="minorHAnsi"/>
          <w:i/>
          <w:sz w:val="20"/>
          <w:szCs w:val="20"/>
          <w:vertAlign w:val="superscript"/>
          <w:lang w:val="en-GB"/>
        </w:rPr>
        <w:t>2</w:t>
      </w:r>
      <w:r w:rsidRPr="007621E8">
        <w:rPr>
          <w:rFonts w:cstheme="minorHAnsi"/>
          <w:sz w:val="20"/>
          <w:szCs w:val="20"/>
          <w:lang w:val="en-GB"/>
        </w:rPr>
        <w:t xml:space="preserve">=0.1668) and the overall dimension of the melanosomes. Mean sizes that fall at around 441 </w:t>
      </w:r>
      <w:r w:rsidR="00D7009C">
        <w:rPr>
          <w:rFonts w:cstheme="minorHAnsi"/>
          <w:sz w:val="20"/>
          <w:szCs w:val="20"/>
          <w:lang w:val="en-GB"/>
        </w:rPr>
        <w:t>n</w:t>
      </w:r>
      <w:r w:rsidRPr="007621E8">
        <w:rPr>
          <w:rFonts w:cstheme="minorHAnsi"/>
          <w:sz w:val="20"/>
          <w:szCs w:val="20"/>
          <w:lang w:val="en-GB"/>
        </w:rPr>
        <w:t>m in diameter, 652 µm in length and 1.5 in ratio. (</w:t>
      </w:r>
      <w:r w:rsidRPr="007621E8">
        <w:rPr>
          <w:rFonts w:cstheme="minorHAnsi"/>
          <w:b/>
          <w:sz w:val="20"/>
          <w:szCs w:val="20"/>
          <w:lang w:val="en-GB"/>
        </w:rPr>
        <w:t>C</w:t>
      </w:r>
      <w:r w:rsidRPr="007621E8">
        <w:rPr>
          <w:rFonts w:cstheme="minorHAnsi"/>
          <w:sz w:val="20"/>
          <w:szCs w:val="20"/>
          <w:lang w:val="en-GB"/>
        </w:rPr>
        <w:t xml:space="preserve">) Principal component analysis of the Li et al. </w:t>
      </w:r>
      <w:r w:rsidRPr="007621E8">
        <w:rPr>
          <w:rFonts w:cstheme="minorHAnsi"/>
          <w:sz w:val="20"/>
          <w:szCs w:val="20"/>
          <w:lang w:val="en-GB"/>
        </w:rPr>
        <w:fldChar w:fldCharType="begin" w:fldLock="1"/>
      </w:r>
      <w:r w:rsidR="00F302D2">
        <w:rPr>
          <w:rFonts w:cstheme="minorHAnsi"/>
          <w:sz w:val="20"/>
          <w:szCs w:val="20"/>
          <w:lang w:val="en-GB"/>
        </w:rPr>
        <w:instrText>ADDIN CSL_CITATION {"citationItems":[{"id":"ITEM-1","itemData":{"DOI":"10.1126/science.1213780","ISSN":"0036-8075","abstract":"Iridescent feather colors involved in displays of many extant birds are produced by nanoscale arrays of melanin-containing organelles (melanosomes). Data relevant to the evolution of these colors and the properties of melanosomes involved in their generation have been limited. A data set sampling variables of extant avian melanosomes reveals that those forming most iridescent arrays are distinctly narrow. Quantitative comparison of these data with melanosome imprints densely sampled from a previously unknown specimen of the Early Cretaceous feathered Microraptor predicts that its plumage was predominantly iridescent. The capacity for simple iridescent arrays is thus minimally inferred in paravian dinosaurs. This finding and estimation of Microraptor feathering consistent with an ornamental function for the tail suggest a centrality for signaling in early evolution of plumage and feather color.","author":[{"dropping-particle":"","family":"Li","given":"Quanguo","non-dropping-particle":"","parse-names":false,"suffix":""},{"dropping-particle":"","family":"Gao","given":"Ke-Qin","non-dropping-particle":"","parse-names":false,"suffix":""},{"dropping-particle":"","family":"Meng","given":"Qingjin","non-dropping-particle":"","parse-names":false,"suffix":""},{"dropping-particle":"","family":"Clarke","given":"Julia A.","non-dropping-particle":"","parse-names":false,"suffix":""},{"dropping-particle":"","family":"Shawkey","given":"Matthew D.","non-dropping-particle":"","parse-names":false,"suffix":""},{"dropping-particle":"","family":"D’Alba","given":"Liliana","non-dropping-particle":"","parse-names":false,"suffix":""},{"dropping-particle":"","family":"Pei","given":"Rui","non-dropping-particle":"","parse-names":false,"suffix":""},{"dropping-particle":"","family":"Ellison","given":"Mick","non-dropping-particle":"","parse-names":false,"suffix":""},{"dropping-particle":"","family":"Norell","given":"Mark A.","non-dropping-particle":"","parse-names":false,"suffix":""},{"dropping-particle":"","family":"Vinther","given":"Jakob","non-dropping-particle":"","parse-names":false,"suffix":""}],"container-title":"Science","id":"ITEM-1","issue":"6073","issued":{"date-parts":[["2012","3","9"]]},"page":"1215-1219","title":"Reconstruction of Microraptor and the Evolution of Iridescent Plumage","type":"article-journal","volume":"335"},"uris":["http://www.mendeley.com/documents/?uuid=a7c309bc-5fd1-4e18-a126-e89e54a2d143"]}],"mendeley":{"formattedCitation":"&lt;sup&gt;16&lt;/sup&gt;","plainTextFormattedCitation":"16","previouslyFormattedCitation":"(Li et al., 2012)"},"properties":{"noteIndex":0},"schema":"https://github.com/citation-style-language/schema/raw/master/csl-citation.json"}</w:instrText>
      </w:r>
      <w:r w:rsidRPr="007621E8">
        <w:rPr>
          <w:rFonts w:cstheme="minorHAnsi"/>
          <w:sz w:val="20"/>
          <w:szCs w:val="20"/>
          <w:lang w:val="en-GB"/>
        </w:rPr>
        <w:fldChar w:fldCharType="separate"/>
      </w:r>
      <w:r w:rsidR="00F302D2" w:rsidRPr="00F302D2">
        <w:rPr>
          <w:rFonts w:cstheme="minorHAnsi"/>
          <w:noProof/>
          <w:sz w:val="20"/>
          <w:szCs w:val="20"/>
          <w:vertAlign w:val="superscript"/>
          <w:lang w:val="en-GB"/>
        </w:rPr>
        <w:t>16</w:t>
      </w:r>
      <w:r w:rsidRPr="007621E8">
        <w:rPr>
          <w:rFonts w:cstheme="minorHAnsi"/>
          <w:sz w:val="20"/>
          <w:szCs w:val="20"/>
          <w:lang w:val="en-GB"/>
        </w:rPr>
        <w:fldChar w:fldCharType="end"/>
      </w:r>
      <w:r w:rsidRPr="007621E8">
        <w:rPr>
          <w:rFonts w:cstheme="minorHAnsi"/>
          <w:sz w:val="20"/>
          <w:szCs w:val="20"/>
          <w:lang w:val="en-GB"/>
        </w:rPr>
        <w:t xml:space="preserve"> database (melanosome shape/colo</w:t>
      </w:r>
      <w:r w:rsidR="006109BD">
        <w:rPr>
          <w:rFonts w:cstheme="minorHAnsi"/>
          <w:sz w:val="20"/>
          <w:szCs w:val="20"/>
          <w:lang w:val="en-GB"/>
        </w:rPr>
        <w:t>u</w:t>
      </w:r>
      <w:r w:rsidRPr="007621E8">
        <w:rPr>
          <w:rFonts w:cstheme="minorHAnsi"/>
          <w:sz w:val="20"/>
          <w:szCs w:val="20"/>
          <w:lang w:val="en-GB"/>
        </w:rPr>
        <w:t xml:space="preserve">r) showing that diameter and length place the </w:t>
      </w:r>
      <w:r w:rsidRPr="007621E8">
        <w:rPr>
          <w:rFonts w:cstheme="minorHAnsi"/>
          <w:i/>
          <w:sz w:val="20"/>
          <w:szCs w:val="20"/>
          <w:lang w:val="en-GB"/>
        </w:rPr>
        <w:t>T. imperator</w:t>
      </w:r>
      <w:r w:rsidRPr="007621E8">
        <w:rPr>
          <w:rFonts w:cstheme="minorHAnsi"/>
          <w:sz w:val="20"/>
          <w:szCs w:val="20"/>
          <w:lang w:val="en-GB"/>
        </w:rPr>
        <w:t xml:space="preserve"> microbodies close to melanosomes of brown and penguin colo</w:t>
      </w:r>
      <w:r w:rsidR="006109BD">
        <w:rPr>
          <w:rFonts w:cstheme="minorHAnsi"/>
          <w:sz w:val="20"/>
          <w:szCs w:val="20"/>
          <w:lang w:val="en-GB"/>
        </w:rPr>
        <w:t>u</w:t>
      </w:r>
      <w:r w:rsidRPr="007621E8">
        <w:rPr>
          <w:rFonts w:cstheme="minorHAnsi"/>
          <w:sz w:val="20"/>
          <w:szCs w:val="20"/>
          <w:lang w:val="en-GB"/>
        </w:rPr>
        <w:t>rs</w:t>
      </w:r>
      <w:r w:rsidR="008C1AE6">
        <w:rPr>
          <w:rFonts w:cstheme="minorHAnsi"/>
          <w:sz w:val="20"/>
          <w:szCs w:val="20"/>
          <w:lang w:val="en-GB"/>
        </w:rPr>
        <w:t xml:space="preserve"> (</w:t>
      </w:r>
      <w:r w:rsidR="00C90625">
        <w:rPr>
          <w:rFonts w:cstheme="minorHAnsi"/>
          <w:sz w:val="20"/>
          <w:szCs w:val="20"/>
          <w:lang w:val="en-GB"/>
        </w:rPr>
        <w:t xml:space="preserve">i.e. </w:t>
      </w:r>
      <w:r w:rsidR="008C1AE6">
        <w:rPr>
          <w:rFonts w:cstheme="minorHAnsi"/>
          <w:sz w:val="20"/>
          <w:szCs w:val="20"/>
          <w:lang w:val="en-GB"/>
        </w:rPr>
        <w:t>blu</w:t>
      </w:r>
      <w:bookmarkStart w:id="0" w:name="_GoBack"/>
      <w:bookmarkEnd w:id="0"/>
      <w:r w:rsidR="006109BD">
        <w:rPr>
          <w:rFonts w:cstheme="minorHAnsi"/>
          <w:sz w:val="20"/>
          <w:szCs w:val="20"/>
          <w:lang w:val="en-GB"/>
        </w:rPr>
        <w:t xml:space="preserve">e and </w:t>
      </w:r>
      <w:r w:rsidR="008C1AE6">
        <w:rPr>
          <w:rFonts w:cstheme="minorHAnsi"/>
          <w:sz w:val="20"/>
          <w:szCs w:val="20"/>
          <w:lang w:val="en-GB"/>
        </w:rPr>
        <w:t>black</w:t>
      </w:r>
      <w:r w:rsidR="00C90625">
        <w:rPr>
          <w:rFonts w:cstheme="minorHAnsi"/>
          <w:sz w:val="20"/>
          <w:szCs w:val="20"/>
          <w:lang w:val="en-GB"/>
        </w:rPr>
        <w:t xml:space="preserve"> hues</w:t>
      </w:r>
      <w:r w:rsidR="00BA52BE">
        <w:rPr>
          <w:rFonts w:cstheme="minorHAnsi"/>
          <w:sz w:val="20"/>
          <w:szCs w:val="20"/>
          <w:lang w:val="en-GB"/>
        </w:rPr>
        <w:t xml:space="preserve">, see </w:t>
      </w:r>
      <w:r w:rsidR="00F302D2">
        <w:rPr>
          <w:rFonts w:cstheme="minorHAnsi"/>
          <w:sz w:val="20"/>
          <w:szCs w:val="20"/>
          <w:lang w:val="en-GB"/>
        </w:rPr>
        <w:t xml:space="preserve">Clarke et al. </w:t>
      </w:r>
      <w:r w:rsidR="00BA52BE">
        <w:rPr>
          <w:rFonts w:cstheme="minorHAnsi"/>
          <w:sz w:val="20"/>
          <w:szCs w:val="20"/>
          <w:lang w:val="en-GB"/>
        </w:rPr>
        <w:fldChar w:fldCharType="begin" w:fldLock="1"/>
      </w:r>
      <w:r w:rsidR="00F302D2">
        <w:rPr>
          <w:rFonts w:cstheme="minorHAnsi"/>
          <w:sz w:val="20"/>
          <w:szCs w:val="20"/>
          <w:lang w:val="en-GB"/>
        </w:rPr>
        <w:instrText>ADDIN CSL_CITATION {"citationItems":[{"id":"ITEM-1","itemData":{"DOI":"10.1126/science.1193604","ISBN":"0036-8075","ISSN":"0036-8075","PMID":"23287718","abstract":"Penguin feathers are highly modified in form and function, but there have been no fossils to inform their evolution. A giant penguin with feathers wasrecovered from thelateEocene(~36 million years ago) of Peru. The fossil reveals that key feathering features, including undifferentiated primary wing feathers and broad body contour feather shafts, evolved early in the penguin lineage. Analyses of fossilized color-imparting melanosomes reveal that their dimensions were similar to those of non-penguin avian taxa and that the feathering may have been predominantly gray and reddish-brown. In contrast, the dark black-brown color of extant penguin feathers is generated by large, ellipsoidal melanosomes previously unknown for birds. The nanostructure of penguin feathers was thus modified after earlier macrostructural modifications of feather shape linked to aquatic flight.","author":[{"dropping-particle":"","family":"Clarke","given":"Julia A.","non-dropping-particle":"","parse-names":false,"suffix":""},{"dropping-particle":"","family":"Ksepka","given":"Daniel T.","non-dropping-particle":"","parse-names":false,"suffix":""},{"dropping-particle":"","family":"Salas-Gismondi","given":"R.","non-dropping-particle":"","parse-names":false,"suffix":""},{"dropping-particle":"","family":"Altamirano","given":"A. J.","non-dropping-particle":"","parse-names":false,"suffix":""},{"dropping-particle":"","family":"Shawkey","given":"Matthew D.","non-dropping-particle":"","parse-names":false,"suffix":""},{"dropping-particle":"","family":"D'Alba","given":"Liliana","non-dropping-particle":"","parse-names":false,"suffix":""},{"dropping-particle":"","family":"Vinther","given":"J.","non-dropping-particle":"","parse-names":false,"suffix":""},{"dropping-particle":"","family":"DeVries","given":"T. J.","non-dropping-particle":"","parse-names":false,"suffix":""},{"dropping-particle":"","family":"Baby","given":"P.","non-dropping-particle":"","parse-names":false,"suffix":""}],"container-title":"Science","id":"ITEM-1","issue":"6006","issued":{"date-parts":[["2010","11","12"]]},"page":"954-957","title":"Fossil evidence for evolution of the shape and color of penguin feathers","type":"article-journal","volume":"330"},"uris":["http://www.mendeley.com/documents/?uuid=3c108df5-2441-43d2-b32f-78e24fe09f2b"]}],"mendeley":{"formattedCitation":"&lt;sup&gt;44&lt;/sup&gt;","plainTextFormattedCitation":"44","previouslyFormattedCitation":"(Clarke et al., 2010)"},"properties":{"noteIndex":0},"schema":"https://github.com/citation-style-language/schema/raw/master/csl-citation.json"}</w:instrText>
      </w:r>
      <w:r w:rsidR="00BA52BE">
        <w:rPr>
          <w:rFonts w:cstheme="minorHAnsi"/>
          <w:sz w:val="20"/>
          <w:szCs w:val="20"/>
          <w:lang w:val="en-GB"/>
        </w:rPr>
        <w:fldChar w:fldCharType="separate"/>
      </w:r>
      <w:r w:rsidR="00F302D2" w:rsidRPr="00F302D2">
        <w:rPr>
          <w:rFonts w:cstheme="minorHAnsi"/>
          <w:noProof/>
          <w:sz w:val="20"/>
          <w:szCs w:val="20"/>
          <w:vertAlign w:val="superscript"/>
          <w:lang w:val="en-GB"/>
        </w:rPr>
        <w:t>44</w:t>
      </w:r>
      <w:r w:rsidR="00BA52BE">
        <w:rPr>
          <w:rFonts w:cstheme="minorHAnsi"/>
          <w:sz w:val="20"/>
          <w:szCs w:val="20"/>
          <w:lang w:val="en-GB"/>
        </w:rPr>
        <w:fldChar w:fldCharType="end"/>
      </w:r>
      <w:r w:rsidRPr="007621E8">
        <w:rPr>
          <w:rFonts w:cstheme="minorHAnsi"/>
          <w:sz w:val="20"/>
          <w:szCs w:val="20"/>
          <w:lang w:val="en-GB"/>
        </w:rPr>
        <w:t>.</w:t>
      </w:r>
    </w:p>
    <w:p w14:paraId="4E4764C0" w14:textId="77777777" w:rsidR="008906C4" w:rsidRPr="007621E8" w:rsidRDefault="008906C4" w:rsidP="008906C4">
      <w:pPr>
        <w:widowControl w:val="0"/>
        <w:autoSpaceDE w:val="0"/>
        <w:autoSpaceDN w:val="0"/>
        <w:adjustRightInd w:val="0"/>
        <w:spacing w:after="0" w:line="360" w:lineRule="auto"/>
        <w:ind w:left="640" w:hanging="640"/>
        <w:rPr>
          <w:rFonts w:eastAsia="Times New Roman" w:cstheme="minorHAnsi"/>
          <w:color w:val="000000" w:themeColor="text1"/>
          <w:lang w:val="en-GB"/>
        </w:rPr>
      </w:pPr>
      <w:r w:rsidRPr="007621E8">
        <w:rPr>
          <w:rFonts w:eastAsia="Times New Roman" w:cstheme="minorHAnsi"/>
          <w:noProof/>
          <w:color w:val="000000" w:themeColor="text1"/>
          <w:lang w:val="en-GB"/>
        </w:rPr>
        <w:lastRenderedPageBreak/>
        <w:drawing>
          <wp:inline distT="0" distB="0" distL="0" distR="0" wp14:anchorId="2DA27952" wp14:editId="4D150599">
            <wp:extent cx="4574494" cy="59817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3.tif"/>
                    <pic:cNvPicPr/>
                  </pic:nvPicPr>
                  <pic:blipFill>
                    <a:blip r:embed="rId10" cstate="print">
                      <a:extLst>
                        <a:ext uri="{28A0092B-C50C-407E-A947-70E740481C1C}">
                          <a14:useLocalDpi xmlns:a14="http://schemas.microsoft.com/office/drawing/2010/main"/>
                        </a:ext>
                      </a:extLst>
                    </a:blip>
                    <a:stretch>
                      <a:fillRect/>
                    </a:stretch>
                  </pic:blipFill>
                  <pic:spPr>
                    <a:xfrm>
                      <a:off x="0" y="0"/>
                      <a:ext cx="4575292" cy="5982744"/>
                    </a:xfrm>
                    <a:prstGeom prst="rect">
                      <a:avLst/>
                    </a:prstGeom>
                  </pic:spPr>
                </pic:pic>
              </a:graphicData>
            </a:graphic>
          </wp:inline>
        </w:drawing>
      </w:r>
    </w:p>
    <w:p w14:paraId="23F0F910" w14:textId="77777777" w:rsidR="008906C4" w:rsidRDefault="008906C4" w:rsidP="008906C4">
      <w:pPr>
        <w:widowControl w:val="0"/>
        <w:autoSpaceDE w:val="0"/>
        <w:autoSpaceDN w:val="0"/>
        <w:adjustRightInd w:val="0"/>
        <w:spacing w:after="0" w:line="360" w:lineRule="auto"/>
        <w:rPr>
          <w:rFonts w:cstheme="minorHAnsi"/>
          <w:sz w:val="20"/>
          <w:szCs w:val="20"/>
          <w:lang w:val="en-GB"/>
        </w:rPr>
        <w:sectPr w:rsidR="008906C4" w:rsidSect="0045436B">
          <w:headerReference w:type="default" r:id="rId11"/>
          <w:footerReference w:type="default" r:id="rId12"/>
          <w:pgSz w:w="11906" w:h="16838"/>
          <w:pgMar w:top="1417" w:right="1701" w:bottom="1417" w:left="1701" w:header="708" w:footer="708" w:gutter="0"/>
          <w:lnNumType w:countBy="1" w:restart="continuous"/>
          <w:cols w:space="708"/>
          <w:docGrid w:linePitch="360"/>
        </w:sectPr>
      </w:pPr>
      <w:r w:rsidRPr="007621E8">
        <w:rPr>
          <w:rFonts w:cstheme="minorHAnsi"/>
          <w:b/>
          <w:sz w:val="20"/>
          <w:szCs w:val="20"/>
          <w:lang w:val="en-GB"/>
        </w:rPr>
        <w:t>Figure S3.</w:t>
      </w:r>
      <w:r w:rsidRPr="007621E8">
        <w:rPr>
          <w:rFonts w:cstheme="minorHAnsi"/>
          <w:sz w:val="20"/>
          <w:szCs w:val="20"/>
          <w:lang w:val="en-GB"/>
        </w:rPr>
        <w:t xml:space="preserve"> SR-µXRF elemental analysis of CPCA 3590 tissue. (</w:t>
      </w:r>
      <w:r w:rsidRPr="007621E8">
        <w:rPr>
          <w:rFonts w:cstheme="minorHAnsi"/>
          <w:b/>
          <w:sz w:val="20"/>
          <w:szCs w:val="20"/>
          <w:lang w:val="en-GB"/>
        </w:rPr>
        <w:t>A</w:t>
      </w:r>
      <w:r w:rsidRPr="007621E8">
        <w:rPr>
          <w:rFonts w:cstheme="minorHAnsi"/>
          <w:sz w:val="20"/>
          <w:szCs w:val="20"/>
          <w:lang w:val="en-GB"/>
        </w:rPr>
        <w:t xml:space="preserve">) SR-μXRF map of the headcrest tissue showing elements with good spatial correlation. </w:t>
      </w:r>
      <w:proofErr w:type="spellStart"/>
      <w:r w:rsidRPr="007621E8">
        <w:rPr>
          <w:rFonts w:cstheme="minorHAnsi"/>
          <w:sz w:val="20"/>
          <w:szCs w:val="20"/>
          <w:lang w:val="en-GB"/>
        </w:rPr>
        <w:t>Colors</w:t>
      </w:r>
      <w:proofErr w:type="spellEnd"/>
      <w:r w:rsidRPr="007621E8">
        <w:rPr>
          <w:rFonts w:cstheme="minorHAnsi"/>
          <w:sz w:val="20"/>
          <w:szCs w:val="20"/>
          <w:lang w:val="en-GB"/>
        </w:rPr>
        <w:t xml:space="preserve"> indicate the relative intensity, where the higher are shown in red while the lower in blue. (</w:t>
      </w:r>
      <w:r w:rsidRPr="007621E8">
        <w:rPr>
          <w:rFonts w:cstheme="minorHAnsi"/>
          <w:b/>
          <w:sz w:val="20"/>
          <w:szCs w:val="20"/>
          <w:lang w:val="en-GB"/>
        </w:rPr>
        <w:t>B</w:t>
      </w:r>
      <w:r w:rsidRPr="007621E8">
        <w:rPr>
          <w:rFonts w:cstheme="minorHAnsi"/>
          <w:sz w:val="20"/>
          <w:szCs w:val="20"/>
          <w:lang w:val="en-GB"/>
        </w:rPr>
        <w:t>) The fitted spectra of the region in (A) exhibiting the presence of other elements that occur without significant intensity and spatial correlation.</w:t>
      </w:r>
    </w:p>
    <w:p w14:paraId="14977B74" w14:textId="77777777" w:rsidR="008906C4" w:rsidRPr="007621E8" w:rsidRDefault="008906C4" w:rsidP="008906C4">
      <w:pPr>
        <w:widowControl w:val="0"/>
        <w:autoSpaceDE w:val="0"/>
        <w:autoSpaceDN w:val="0"/>
        <w:adjustRightInd w:val="0"/>
        <w:spacing w:after="0" w:line="360" w:lineRule="auto"/>
        <w:ind w:left="640" w:hanging="640"/>
        <w:rPr>
          <w:rFonts w:eastAsia="Times New Roman" w:cstheme="minorHAnsi"/>
          <w:color w:val="000000" w:themeColor="text1"/>
          <w:lang w:val="en-GB"/>
        </w:rPr>
      </w:pPr>
      <w:r w:rsidRPr="007621E8">
        <w:rPr>
          <w:rFonts w:eastAsia="Times New Roman" w:cstheme="minorHAnsi"/>
          <w:noProof/>
          <w:color w:val="000000" w:themeColor="text1"/>
          <w:lang w:val="en-GB"/>
        </w:rPr>
        <w:lastRenderedPageBreak/>
        <w:drawing>
          <wp:inline distT="0" distB="0" distL="0" distR="0" wp14:anchorId="3A848B02" wp14:editId="09D5B00F">
            <wp:extent cx="5400040" cy="6094095"/>
            <wp:effectExtent l="0" t="0" r="0" b="190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4.tif"/>
                    <pic:cNvPicPr/>
                  </pic:nvPicPr>
                  <pic:blipFill>
                    <a:blip r:embed="rId13"/>
                    <a:stretch>
                      <a:fillRect/>
                    </a:stretch>
                  </pic:blipFill>
                  <pic:spPr>
                    <a:xfrm>
                      <a:off x="0" y="0"/>
                      <a:ext cx="5400040" cy="6094095"/>
                    </a:xfrm>
                    <a:prstGeom prst="rect">
                      <a:avLst/>
                    </a:prstGeom>
                  </pic:spPr>
                </pic:pic>
              </a:graphicData>
            </a:graphic>
          </wp:inline>
        </w:drawing>
      </w:r>
    </w:p>
    <w:p w14:paraId="1267D481" w14:textId="6B48B46B" w:rsidR="008906C4" w:rsidRDefault="008906C4" w:rsidP="008906C4">
      <w:pPr>
        <w:widowControl w:val="0"/>
        <w:autoSpaceDE w:val="0"/>
        <w:autoSpaceDN w:val="0"/>
        <w:adjustRightInd w:val="0"/>
        <w:spacing w:after="0" w:line="360" w:lineRule="auto"/>
        <w:rPr>
          <w:color w:val="000000" w:themeColor="text1"/>
          <w:sz w:val="20"/>
          <w:szCs w:val="20"/>
          <w:lang w:val="en-GB"/>
        </w:rPr>
        <w:sectPr w:rsidR="008906C4" w:rsidSect="0045436B">
          <w:pgSz w:w="11906" w:h="16838"/>
          <w:pgMar w:top="1417" w:right="1701" w:bottom="1417" w:left="1701" w:header="708" w:footer="708" w:gutter="0"/>
          <w:lnNumType w:countBy="1" w:restart="continuous"/>
          <w:cols w:space="708"/>
          <w:docGrid w:linePitch="360"/>
        </w:sectPr>
      </w:pPr>
      <w:r w:rsidRPr="007621E8">
        <w:rPr>
          <w:b/>
          <w:sz w:val="20"/>
          <w:szCs w:val="20"/>
          <w:lang w:val="en-GB"/>
        </w:rPr>
        <w:t>Figure S4.</w:t>
      </w:r>
      <w:r w:rsidRPr="007621E8">
        <w:rPr>
          <w:sz w:val="20"/>
          <w:szCs w:val="20"/>
          <w:lang w:val="en-GB"/>
        </w:rPr>
        <w:t xml:space="preserve"> Raman </w:t>
      </w:r>
      <w:r w:rsidR="00D7009C">
        <w:rPr>
          <w:sz w:val="20"/>
          <w:szCs w:val="20"/>
          <w:lang w:val="en-GB"/>
        </w:rPr>
        <w:t>spectra of</w:t>
      </w:r>
      <w:r w:rsidRPr="007621E8">
        <w:rPr>
          <w:sz w:val="20"/>
          <w:szCs w:val="20"/>
          <w:lang w:val="en-GB"/>
        </w:rPr>
        <w:t xml:space="preserve"> </w:t>
      </w:r>
      <w:r w:rsidRPr="007621E8">
        <w:rPr>
          <w:i/>
          <w:sz w:val="20"/>
          <w:szCs w:val="20"/>
          <w:lang w:val="en-GB"/>
        </w:rPr>
        <w:t>T</w:t>
      </w:r>
      <w:r w:rsidR="00D7009C">
        <w:rPr>
          <w:i/>
          <w:sz w:val="20"/>
          <w:szCs w:val="20"/>
          <w:lang w:val="en-GB"/>
        </w:rPr>
        <w:t>upandactylus</w:t>
      </w:r>
      <w:r w:rsidRPr="007621E8">
        <w:rPr>
          <w:i/>
          <w:sz w:val="20"/>
          <w:szCs w:val="20"/>
          <w:lang w:val="en-GB"/>
        </w:rPr>
        <w:t xml:space="preserve"> imperator</w:t>
      </w:r>
      <w:r w:rsidRPr="007621E8">
        <w:rPr>
          <w:sz w:val="20"/>
          <w:szCs w:val="20"/>
          <w:lang w:val="en-GB"/>
        </w:rPr>
        <w:t xml:space="preserve"> headcrest. (A) Spectra from the banded tissue showing the three points </w:t>
      </w:r>
      <w:r w:rsidR="00D7009C" w:rsidRPr="007621E8">
        <w:rPr>
          <w:sz w:val="20"/>
          <w:szCs w:val="20"/>
          <w:lang w:val="en-GB"/>
        </w:rPr>
        <w:t>analysed</w:t>
      </w:r>
      <w:r w:rsidRPr="007621E8">
        <w:rPr>
          <w:color w:val="000000" w:themeColor="text1"/>
          <w:sz w:val="20"/>
          <w:szCs w:val="20"/>
          <w:lang w:val="en-GB"/>
        </w:rPr>
        <w:t>, where the P1 was carried out at the lighter portion, whereas P2 and P3 measures were taken from darker spots. (B) Spectra from the three points see</w:t>
      </w:r>
      <w:r w:rsidR="00D7009C">
        <w:rPr>
          <w:color w:val="000000" w:themeColor="text1"/>
          <w:sz w:val="20"/>
          <w:szCs w:val="20"/>
          <w:lang w:val="en-GB"/>
        </w:rPr>
        <w:t>n</w:t>
      </w:r>
      <w:r w:rsidRPr="007621E8">
        <w:rPr>
          <w:color w:val="000000" w:themeColor="text1"/>
          <w:sz w:val="20"/>
          <w:szCs w:val="20"/>
          <w:lang w:val="en-GB"/>
        </w:rPr>
        <w:t xml:space="preserve"> in (A) exhibiting the two bands of </w:t>
      </w:r>
      <w:r w:rsidR="00D7009C">
        <w:rPr>
          <w:color w:val="000000" w:themeColor="text1"/>
          <w:sz w:val="20"/>
          <w:szCs w:val="20"/>
          <w:lang w:val="en-GB"/>
        </w:rPr>
        <w:t>different intensities indicating melanin’s presence; the first band centred at about</w:t>
      </w:r>
      <w:r w:rsidRPr="007621E8">
        <w:rPr>
          <w:color w:val="000000" w:themeColor="text1"/>
          <w:sz w:val="20"/>
          <w:szCs w:val="20"/>
          <w:lang w:val="en-GB"/>
        </w:rPr>
        <w:t xml:space="preserve"> 1380 cm</w:t>
      </w:r>
      <w:r w:rsidRPr="007621E8">
        <w:rPr>
          <w:color w:val="000000" w:themeColor="text1"/>
          <w:sz w:val="20"/>
          <w:szCs w:val="20"/>
          <w:vertAlign w:val="superscript"/>
          <w:lang w:val="en-GB"/>
        </w:rPr>
        <w:t>-1</w:t>
      </w:r>
      <w:r w:rsidRPr="007621E8">
        <w:rPr>
          <w:color w:val="000000" w:themeColor="text1"/>
          <w:sz w:val="20"/>
          <w:szCs w:val="20"/>
          <w:lang w:val="en-GB"/>
        </w:rPr>
        <w:t xml:space="preserve"> is pronounced, whereas the second band (ca. 1580 cm</w:t>
      </w:r>
      <w:r w:rsidRPr="007621E8">
        <w:rPr>
          <w:color w:val="000000" w:themeColor="text1"/>
          <w:sz w:val="20"/>
          <w:szCs w:val="20"/>
          <w:vertAlign w:val="superscript"/>
          <w:lang w:val="en-GB"/>
        </w:rPr>
        <w:t>-1</w:t>
      </w:r>
      <w:r w:rsidRPr="007621E8">
        <w:rPr>
          <w:color w:val="000000" w:themeColor="text1"/>
          <w:sz w:val="20"/>
          <w:szCs w:val="20"/>
          <w:lang w:val="en-GB"/>
        </w:rPr>
        <w:t>) is almost undetectable. Gr</w:t>
      </w:r>
      <w:r w:rsidR="00FF719C">
        <w:rPr>
          <w:color w:val="000000" w:themeColor="text1"/>
          <w:sz w:val="20"/>
          <w:szCs w:val="20"/>
          <w:lang w:val="en-GB"/>
        </w:rPr>
        <w:t>e</w:t>
      </w:r>
      <w:r w:rsidRPr="007621E8">
        <w:rPr>
          <w:color w:val="000000" w:themeColor="text1"/>
          <w:sz w:val="20"/>
          <w:szCs w:val="20"/>
          <w:lang w:val="en-GB"/>
        </w:rPr>
        <w:t xml:space="preserve">y lines and shadows represent the expected bands of eumelanin and </w:t>
      </w:r>
      <w:r w:rsidRPr="007621E8">
        <w:rPr>
          <w:rFonts w:cstheme="minorHAnsi"/>
          <w:color w:val="000000" w:themeColor="text1"/>
          <w:sz w:val="20"/>
          <w:szCs w:val="20"/>
          <w:lang w:val="en-GB"/>
        </w:rPr>
        <w:t>±</w:t>
      </w:r>
      <w:r w:rsidRPr="007621E8">
        <w:rPr>
          <w:color w:val="000000" w:themeColor="text1"/>
          <w:sz w:val="20"/>
          <w:szCs w:val="20"/>
          <w:lang w:val="en-GB"/>
        </w:rPr>
        <w:t>10 cm</w:t>
      </w:r>
      <w:r w:rsidRPr="007621E8">
        <w:rPr>
          <w:color w:val="000000" w:themeColor="text1"/>
          <w:sz w:val="20"/>
          <w:szCs w:val="20"/>
          <w:vertAlign w:val="superscript"/>
          <w:lang w:val="en-GB"/>
        </w:rPr>
        <w:t>-1</w:t>
      </w:r>
      <w:r w:rsidRPr="007621E8">
        <w:rPr>
          <w:color w:val="000000" w:themeColor="text1"/>
          <w:sz w:val="20"/>
          <w:szCs w:val="20"/>
          <w:lang w:val="en-GB"/>
        </w:rPr>
        <w:t xml:space="preserve"> range, respectively. (C) FTRaman spectra from the bony part of the headcrest showing similar bands with standard calcium phosphates from the RRUFF project.</w:t>
      </w:r>
    </w:p>
    <w:p w14:paraId="345017A7" w14:textId="77777777" w:rsidR="008906C4" w:rsidRPr="007621E8" w:rsidRDefault="008906C4" w:rsidP="008906C4">
      <w:pPr>
        <w:widowControl w:val="0"/>
        <w:autoSpaceDE w:val="0"/>
        <w:autoSpaceDN w:val="0"/>
        <w:adjustRightInd w:val="0"/>
        <w:spacing w:after="0" w:line="360" w:lineRule="auto"/>
        <w:ind w:left="640" w:hanging="640"/>
        <w:rPr>
          <w:rFonts w:eastAsia="Times New Roman" w:cstheme="minorHAnsi"/>
          <w:color w:val="000000" w:themeColor="text1"/>
          <w:lang w:val="en-GB"/>
        </w:rPr>
      </w:pPr>
      <w:r w:rsidRPr="007621E8">
        <w:rPr>
          <w:rFonts w:eastAsia="Times New Roman" w:cstheme="minorHAnsi"/>
          <w:noProof/>
          <w:color w:val="000000" w:themeColor="text1"/>
          <w:lang w:val="en-GB"/>
        </w:rPr>
        <w:lastRenderedPageBreak/>
        <w:drawing>
          <wp:inline distT="0" distB="0" distL="0" distR="0" wp14:anchorId="65CFEB3D" wp14:editId="74808169">
            <wp:extent cx="5400040" cy="2932430"/>
            <wp:effectExtent l="0" t="0" r="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5.tif"/>
                    <pic:cNvPicPr/>
                  </pic:nvPicPr>
                  <pic:blipFill>
                    <a:blip r:embed="rId14" cstate="print">
                      <a:extLst>
                        <a:ext uri="{28A0092B-C50C-407E-A947-70E740481C1C}">
                          <a14:useLocalDpi xmlns:a14="http://schemas.microsoft.com/office/drawing/2010/main"/>
                        </a:ext>
                      </a:extLst>
                    </a:blip>
                    <a:stretch>
                      <a:fillRect/>
                    </a:stretch>
                  </pic:blipFill>
                  <pic:spPr>
                    <a:xfrm>
                      <a:off x="0" y="0"/>
                      <a:ext cx="5400040" cy="2932430"/>
                    </a:xfrm>
                    <a:prstGeom prst="rect">
                      <a:avLst/>
                    </a:prstGeom>
                  </pic:spPr>
                </pic:pic>
              </a:graphicData>
            </a:graphic>
          </wp:inline>
        </w:drawing>
      </w:r>
    </w:p>
    <w:p w14:paraId="7FA843BF" w14:textId="77777777" w:rsidR="008906C4" w:rsidRPr="007621E8" w:rsidRDefault="008906C4" w:rsidP="008906C4">
      <w:pPr>
        <w:autoSpaceDE w:val="0"/>
        <w:autoSpaceDN w:val="0"/>
        <w:adjustRightInd w:val="0"/>
        <w:spacing w:after="0" w:line="360" w:lineRule="auto"/>
        <w:rPr>
          <w:rFonts w:eastAsia="Times New Roman" w:cstheme="minorHAnsi"/>
          <w:color w:val="000000" w:themeColor="text1"/>
          <w:lang w:val="en-GB"/>
        </w:rPr>
      </w:pPr>
      <w:r w:rsidRPr="007621E8">
        <w:rPr>
          <w:rFonts w:cstheme="minorHAnsi"/>
          <w:b/>
          <w:sz w:val="20"/>
          <w:szCs w:val="20"/>
          <w:lang w:val="en-GB"/>
        </w:rPr>
        <w:t xml:space="preserve">Figure S5. </w:t>
      </w:r>
      <w:r w:rsidRPr="007621E8">
        <w:rPr>
          <w:rFonts w:cstheme="minorHAnsi"/>
          <w:sz w:val="20"/>
          <w:szCs w:val="20"/>
          <w:lang w:val="en-GB"/>
        </w:rPr>
        <w:t>Mass spectra of the degradation products of the CPCA 3590 and Sepia melanin, where’s (</w:t>
      </w:r>
      <w:r w:rsidRPr="007621E8">
        <w:rPr>
          <w:rFonts w:cstheme="minorHAnsi"/>
          <w:b/>
          <w:sz w:val="20"/>
          <w:szCs w:val="20"/>
          <w:lang w:val="en-GB"/>
        </w:rPr>
        <w:t>A</w:t>
      </w:r>
      <w:r w:rsidRPr="007621E8">
        <w:rPr>
          <w:rFonts w:cstheme="minorHAnsi"/>
          <w:sz w:val="20"/>
          <w:szCs w:val="20"/>
          <w:lang w:val="en-GB"/>
        </w:rPr>
        <w:t>) is from PTCA and (</w:t>
      </w:r>
      <w:r w:rsidRPr="007621E8">
        <w:rPr>
          <w:rFonts w:cstheme="minorHAnsi"/>
          <w:b/>
          <w:sz w:val="20"/>
          <w:szCs w:val="20"/>
          <w:lang w:val="en-GB"/>
        </w:rPr>
        <w:t>B</w:t>
      </w:r>
      <w:r w:rsidRPr="007621E8">
        <w:rPr>
          <w:rFonts w:cstheme="minorHAnsi"/>
          <w:sz w:val="20"/>
          <w:szCs w:val="20"/>
          <w:lang w:val="en-GB"/>
        </w:rPr>
        <w:t>) from PTeCA. Structures associated with the peaks of the fragments formed from the parent ion, the ion with the greatest mass in each of the spectrum above, are indicated.</w:t>
      </w:r>
    </w:p>
    <w:p w14:paraId="753BEDAB" w14:textId="77777777" w:rsidR="008906C4" w:rsidRDefault="008906C4" w:rsidP="008906C4">
      <w:pPr>
        <w:pStyle w:val="Legenda"/>
        <w:keepNext/>
        <w:spacing w:line="360" w:lineRule="auto"/>
        <w:rPr>
          <w:color w:val="auto"/>
          <w:lang w:val="en-GB"/>
        </w:rPr>
        <w:sectPr w:rsidR="008906C4" w:rsidSect="0045436B">
          <w:pgSz w:w="11906" w:h="16838"/>
          <w:pgMar w:top="1417" w:right="1701" w:bottom="1417" w:left="1701" w:header="708" w:footer="708" w:gutter="0"/>
          <w:lnNumType w:countBy="1" w:restart="continuous"/>
          <w:cols w:space="708"/>
          <w:docGrid w:linePitch="360"/>
        </w:sectPr>
      </w:pPr>
    </w:p>
    <w:p w14:paraId="1719BFEB" w14:textId="77777777" w:rsidR="008906C4" w:rsidRPr="007621E8" w:rsidRDefault="008906C4" w:rsidP="008906C4">
      <w:pPr>
        <w:pStyle w:val="Legenda"/>
        <w:keepNext/>
        <w:spacing w:line="360" w:lineRule="auto"/>
        <w:rPr>
          <w:b w:val="0"/>
          <w:color w:val="auto"/>
          <w:lang w:val="en-GB"/>
        </w:rPr>
      </w:pPr>
      <w:r w:rsidRPr="007621E8">
        <w:rPr>
          <w:color w:val="auto"/>
          <w:lang w:val="en-GB"/>
        </w:rPr>
        <w:lastRenderedPageBreak/>
        <w:t>Table S1.</w:t>
      </w:r>
      <w:r w:rsidRPr="007621E8">
        <w:rPr>
          <w:b w:val="0"/>
          <w:color w:val="auto"/>
          <w:lang w:val="en-GB"/>
        </w:rPr>
        <w:t xml:space="preserve"> Average numbers of the measures (n=331) of entire melanosomes microbodies of CPCA 3590 specimen, with 10% and 20% corrected values. The diameter, length and standard deviation (SD) variables are all in nm.</w:t>
      </w:r>
    </w:p>
    <w:tbl>
      <w:tblPr>
        <w:tblStyle w:val="Tabelacomgrade"/>
        <w:tblW w:w="5000" w:type="pct"/>
        <w:jc w:val="center"/>
        <w:tblLook w:val="04A0" w:firstRow="1" w:lastRow="0" w:firstColumn="1" w:lastColumn="0" w:noHBand="0" w:noVBand="1"/>
      </w:tblPr>
      <w:tblGrid>
        <w:gridCol w:w="699"/>
        <w:gridCol w:w="827"/>
        <w:gridCol w:w="733"/>
        <w:gridCol w:w="733"/>
        <w:gridCol w:w="922"/>
        <w:gridCol w:w="922"/>
        <w:gridCol w:w="839"/>
        <w:gridCol w:w="685"/>
        <w:gridCol w:w="685"/>
        <w:gridCol w:w="687"/>
        <w:gridCol w:w="772"/>
      </w:tblGrid>
      <w:tr w:rsidR="00FE0F67" w:rsidRPr="007621E8" w14:paraId="0E1D11D2" w14:textId="77777777" w:rsidTr="00FE0F67">
        <w:trPr>
          <w:jc w:val="center"/>
        </w:trPr>
        <w:tc>
          <w:tcPr>
            <w:tcW w:w="411" w:type="pct"/>
            <w:tcBorders>
              <w:top w:val="single" w:sz="4" w:space="0" w:color="auto"/>
              <w:left w:val="nil"/>
              <w:bottom w:val="single" w:sz="4" w:space="0" w:color="auto"/>
              <w:right w:val="nil"/>
            </w:tcBorders>
            <w:shd w:val="clear" w:color="auto" w:fill="D9D9D9" w:themeFill="background1" w:themeFillShade="D9"/>
            <w:vAlign w:val="center"/>
          </w:tcPr>
          <w:p w14:paraId="51E46B85"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CPCA 3590</w:t>
            </w:r>
          </w:p>
        </w:tc>
        <w:tc>
          <w:tcPr>
            <w:tcW w:w="486" w:type="pct"/>
            <w:tcBorders>
              <w:top w:val="single" w:sz="4" w:space="0" w:color="auto"/>
              <w:left w:val="nil"/>
              <w:bottom w:val="single" w:sz="4" w:space="0" w:color="auto"/>
              <w:right w:val="nil"/>
            </w:tcBorders>
            <w:shd w:val="clear" w:color="auto" w:fill="D9D9D9" w:themeFill="background1" w:themeFillShade="D9"/>
            <w:vAlign w:val="center"/>
          </w:tcPr>
          <w:p w14:paraId="42FD9C4A"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 xml:space="preserve">Length </w:t>
            </w:r>
            <w:r w:rsidRPr="007621E8">
              <w:rPr>
                <w:rFonts w:eastAsia="Times New Roman" w:cstheme="minorHAnsi"/>
                <w:b/>
                <w:i/>
                <w:color w:val="000000"/>
                <w:sz w:val="16"/>
                <w:szCs w:val="16"/>
                <w:lang w:val="en-GB" w:eastAsia="pt-BR"/>
              </w:rPr>
              <w:t>± SD</w:t>
            </w:r>
          </w:p>
        </w:tc>
        <w:tc>
          <w:tcPr>
            <w:tcW w:w="431" w:type="pct"/>
            <w:tcBorders>
              <w:top w:val="single" w:sz="4" w:space="0" w:color="auto"/>
              <w:left w:val="nil"/>
              <w:bottom w:val="single" w:sz="4" w:space="0" w:color="auto"/>
              <w:right w:val="nil"/>
            </w:tcBorders>
            <w:shd w:val="clear" w:color="auto" w:fill="D9D9D9" w:themeFill="background1" w:themeFillShade="D9"/>
            <w:vAlign w:val="center"/>
          </w:tcPr>
          <w:p w14:paraId="1661ADF5"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Length</w:t>
            </w:r>
          </w:p>
          <w:p w14:paraId="3C5B5922"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CV</w:t>
            </w:r>
          </w:p>
        </w:tc>
        <w:tc>
          <w:tcPr>
            <w:tcW w:w="431" w:type="pct"/>
            <w:tcBorders>
              <w:top w:val="single" w:sz="4" w:space="0" w:color="auto"/>
              <w:left w:val="nil"/>
              <w:bottom w:val="single" w:sz="4" w:space="0" w:color="auto"/>
              <w:right w:val="nil"/>
            </w:tcBorders>
            <w:shd w:val="clear" w:color="auto" w:fill="D9D9D9" w:themeFill="background1" w:themeFillShade="D9"/>
            <w:vAlign w:val="center"/>
          </w:tcPr>
          <w:p w14:paraId="177751FC"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Length</w:t>
            </w:r>
            <w:r w:rsidRPr="007621E8">
              <w:rPr>
                <w:rFonts w:cstheme="minorHAnsi"/>
                <w:b/>
                <w:i/>
                <w:sz w:val="16"/>
                <w:szCs w:val="16"/>
                <w:lang w:val="en-GB"/>
              </w:rPr>
              <w:br/>
              <w:t>Skew</w:t>
            </w:r>
          </w:p>
        </w:tc>
        <w:tc>
          <w:tcPr>
            <w:tcW w:w="542" w:type="pct"/>
            <w:tcBorders>
              <w:top w:val="single" w:sz="4" w:space="0" w:color="auto"/>
              <w:left w:val="nil"/>
              <w:bottom w:val="single" w:sz="4" w:space="0" w:color="auto"/>
              <w:right w:val="nil"/>
            </w:tcBorders>
            <w:shd w:val="clear" w:color="auto" w:fill="D9D9D9" w:themeFill="background1" w:themeFillShade="D9"/>
            <w:vAlign w:val="center"/>
          </w:tcPr>
          <w:p w14:paraId="5790E1D9"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Diameter</w:t>
            </w:r>
          </w:p>
          <w:p w14:paraId="6C352F99" w14:textId="77777777" w:rsidR="00FE0F67" w:rsidRPr="007621E8" w:rsidRDefault="00FE0F67" w:rsidP="00FE0F67">
            <w:pPr>
              <w:spacing w:line="360" w:lineRule="auto"/>
              <w:jc w:val="center"/>
              <w:rPr>
                <w:rFonts w:cstheme="minorHAnsi"/>
                <w:b/>
                <w:i/>
                <w:sz w:val="16"/>
                <w:szCs w:val="16"/>
                <w:lang w:val="en-GB"/>
              </w:rPr>
            </w:pPr>
            <w:r w:rsidRPr="007621E8">
              <w:rPr>
                <w:rFonts w:eastAsia="Times New Roman" w:cstheme="minorHAnsi"/>
                <w:b/>
                <w:i/>
                <w:color w:val="000000"/>
                <w:sz w:val="16"/>
                <w:szCs w:val="16"/>
                <w:lang w:val="en-GB" w:eastAsia="pt-BR"/>
              </w:rPr>
              <w:t>± SD</w:t>
            </w:r>
          </w:p>
        </w:tc>
        <w:tc>
          <w:tcPr>
            <w:tcW w:w="542" w:type="pct"/>
            <w:tcBorders>
              <w:top w:val="single" w:sz="4" w:space="0" w:color="auto"/>
              <w:left w:val="nil"/>
              <w:bottom w:val="single" w:sz="4" w:space="0" w:color="auto"/>
              <w:right w:val="nil"/>
            </w:tcBorders>
            <w:shd w:val="clear" w:color="auto" w:fill="D9D9D9" w:themeFill="background1" w:themeFillShade="D9"/>
            <w:vAlign w:val="center"/>
          </w:tcPr>
          <w:p w14:paraId="4F7004C1"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Diameter</w:t>
            </w:r>
          </w:p>
          <w:p w14:paraId="177349D7"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CV</w:t>
            </w:r>
          </w:p>
        </w:tc>
        <w:tc>
          <w:tcPr>
            <w:tcW w:w="493" w:type="pct"/>
            <w:tcBorders>
              <w:top w:val="single" w:sz="4" w:space="0" w:color="auto"/>
              <w:left w:val="nil"/>
              <w:bottom w:val="single" w:sz="4" w:space="0" w:color="auto"/>
              <w:right w:val="nil"/>
            </w:tcBorders>
            <w:shd w:val="clear" w:color="auto" w:fill="D9D9D9" w:themeFill="background1" w:themeFillShade="D9"/>
          </w:tcPr>
          <w:p w14:paraId="4B915081" w14:textId="4D32D9F2" w:rsidR="00FE0F67" w:rsidRDefault="00FE0F67" w:rsidP="00FE0F67">
            <w:pPr>
              <w:spacing w:line="360" w:lineRule="auto"/>
              <w:jc w:val="center"/>
              <w:rPr>
                <w:rFonts w:cstheme="minorHAnsi"/>
                <w:b/>
                <w:i/>
                <w:sz w:val="16"/>
                <w:szCs w:val="16"/>
                <w:lang w:val="en-GB"/>
              </w:rPr>
            </w:pPr>
            <w:r>
              <w:rPr>
                <w:rFonts w:cstheme="minorHAnsi"/>
                <w:b/>
                <w:i/>
                <w:sz w:val="16"/>
                <w:szCs w:val="16"/>
                <w:lang w:val="en-GB"/>
              </w:rPr>
              <w:t>Diameter</w:t>
            </w:r>
          </w:p>
          <w:p w14:paraId="3936C0F6" w14:textId="18D2EC4E" w:rsidR="00FE0F67" w:rsidRPr="007621E8" w:rsidRDefault="00FE0F67" w:rsidP="00FE0F67">
            <w:pPr>
              <w:spacing w:line="360" w:lineRule="auto"/>
              <w:jc w:val="center"/>
              <w:rPr>
                <w:rFonts w:cstheme="minorHAnsi"/>
                <w:b/>
                <w:i/>
                <w:sz w:val="16"/>
                <w:szCs w:val="16"/>
                <w:lang w:val="en-GB"/>
              </w:rPr>
            </w:pPr>
            <w:r>
              <w:rPr>
                <w:rFonts w:cstheme="minorHAnsi"/>
                <w:b/>
                <w:i/>
                <w:sz w:val="16"/>
                <w:szCs w:val="16"/>
                <w:lang w:val="en-GB"/>
              </w:rPr>
              <w:t>Skew</w:t>
            </w:r>
          </w:p>
        </w:tc>
        <w:tc>
          <w:tcPr>
            <w:tcW w:w="403" w:type="pct"/>
            <w:tcBorders>
              <w:top w:val="single" w:sz="4" w:space="0" w:color="auto"/>
              <w:left w:val="nil"/>
              <w:bottom w:val="single" w:sz="4" w:space="0" w:color="auto"/>
              <w:right w:val="nil"/>
            </w:tcBorders>
            <w:shd w:val="clear" w:color="auto" w:fill="D9D9D9" w:themeFill="background1" w:themeFillShade="D9"/>
            <w:vAlign w:val="center"/>
          </w:tcPr>
          <w:p w14:paraId="3CE47BE5" w14:textId="66CBF304"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Ratio</w:t>
            </w:r>
          </w:p>
        </w:tc>
        <w:tc>
          <w:tcPr>
            <w:tcW w:w="403" w:type="pct"/>
            <w:tcBorders>
              <w:top w:val="single" w:sz="4" w:space="0" w:color="auto"/>
              <w:left w:val="nil"/>
              <w:bottom w:val="single" w:sz="4" w:space="0" w:color="auto"/>
              <w:right w:val="nil"/>
            </w:tcBorders>
            <w:shd w:val="clear" w:color="auto" w:fill="D9D9D9" w:themeFill="background1" w:themeFillShade="D9"/>
            <w:vAlign w:val="center"/>
          </w:tcPr>
          <w:p w14:paraId="2471E246"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Ratio</w:t>
            </w:r>
            <w:r w:rsidRPr="007621E8">
              <w:rPr>
                <w:rFonts w:cstheme="minorHAnsi"/>
                <w:b/>
                <w:i/>
                <w:sz w:val="16"/>
                <w:szCs w:val="16"/>
                <w:lang w:val="en-GB"/>
              </w:rPr>
              <w:br/>
              <w:t>CV</w:t>
            </w:r>
          </w:p>
        </w:tc>
        <w:tc>
          <w:tcPr>
            <w:tcW w:w="404" w:type="pct"/>
            <w:tcBorders>
              <w:top w:val="single" w:sz="4" w:space="0" w:color="auto"/>
              <w:left w:val="nil"/>
              <w:bottom w:val="single" w:sz="4" w:space="0" w:color="auto"/>
              <w:right w:val="nil"/>
            </w:tcBorders>
            <w:shd w:val="clear" w:color="auto" w:fill="D9D9D9" w:themeFill="background1" w:themeFillShade="D9"/>
            <w:vAlign w:val="center"/>
          </w:tcPr>
          <w:p w14:paraId="4002685A"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Ratio</w:t>
            </w:r>
          </w:p>
          <w:p w14:paraId="376A2521"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Skew</w:t>
            </w:r>
          </w:p>
        </w:tc>
        <w:tc>
          <w:tcPr>
            <w:tcW w:w="456" w:type="pct"/>
            <w:tcBorders>
              <w:top w:val="single" w:sz="4" w:space="0" w:color="auto"/>
              <w:left w:val="nil"/>
              <w:bottom w:val="single" w:sz="4" w:space="0" w:color="auto"/>
              <w:right w:val="nil"/>
            </w:tcBorders>
            <w:shd w:val="clear" w:color="auto" w:fill="D9D9D9" w:themeFill="background1" w:themeFillShade="D9"/>
            <w:vAlign w:val="center"/>
          </w:tcPr>
          <w:p w14:paraId="7E1F340F" w14:textId="77777777" w:rsidR="00FE0F67" w:rsidRPr="007621E8" w:rsidRDefault="00FE0F67" w:rsidP="00FE0F67">
            <w:pPr>
              <w:spacing w:line="360" w:lineRule="auto"/>
              <w:jc w:val="center"/>
              <w:rPr>
                <w:rFonts w:cstheme="minorHAnsi"/>
                <w:b/>
                <w:i/>
                <w:sz w:val="16"/>
                <w:szCs w:val="16"/>
                <w:lang w:val="en-GB"/>
              </w:rPr>
            </w:pPr>
            <w:r w:rsidRPr="007621E8">
              <w:rPr>
                <w:rFonts w:cstheme="minorHAnsi"/>
                <w:b/>
                <w:i/>
                <w:sz w:val="16"/>
                <w:szCs w:val="16"/>
                <w:lang w:val="en-GB"/>
              </w:rPr>
              <w:t>Density</w:t>
            </w:r>
          </w:p>
        </w:tc>
      </w:tr>
      <w:tr w:rsidR="00FE0F67" w:rsidRPr="007621E8" w14:paraId="2EE6A644" w14:textId="77777777" w:rsidTr="00FE0F67">
        <w:trPr>
          <w:trHeight w:val="698"/>
          <w:jc w:val="center"/>
        </w:trPr>
        <w:tc>
          <w:tcPr>
            <w:tcW w:w="411" w:type="pct"/>
            <w:tcBorders>
              <w:top w:val="single" w:sz="4" w:space="0" w:color="auto"/>
              <w:left w:val="nil"/>
              <w:bottom w:val="single" w:sz="4" w:space="0" w:color="auto"/>
              <w:right w:val="nil"/>
            </w:tcBorders>
            <w:vAlign w:val="center"/>
          </w:tcPr>
          <w:p w14:paraId="0C416E33" w14:textId="77777777" w:rsidR="00FE0F67" w:rsidRPr="007621E8" w:rsidRDefault="00FE0F67" w:rsidP="00FE0F67">
            <w:pPr>
              <w:spacing w:line="360" w:lineRule="auto"/>
              <w:jc w:val="center"/>
              <w:rPr>
                <w:rFonts w:cstheme="minorHAnsi"/>
                <w:sz w:val="16"/>
                <w:szCs w:val="16"/>
                <w:lang w:val="en-GB"/>
              </w:rPr>
            </w:pPr>
            <w:r w:rsidRPr="007621E8">
              <w:rPr>
                <w:rFonts w:cstheme="minorHAnsi"/>
                <w:sz w:val="16"/>
                <w:szCs w:val="16"/>
                <w:lang w:val="en-GB"/>
              </w:rPr>
              <w:t>Bulk</w:t>
            </w:r>
          </w:p>
        </w:tc>
        <w:tc>
          <w:tcPr>
            <w:tcW w:w="486" w:type="pct"/>
            <w:tcBorders>
              <w:top w:val="single" w:sz="4" w:space="0" w:color="auto"/>
              <w:left w:val="nil"/>
              <w:bottom w:val="single" w:sz="4" w:space="0" w:color="auto"/>
              <w:right w:val="nil"/>
            </w:tcBorders>
            <w:vAlign w:val="center"/>
          </w:tcPr>
          <w:p w14:paraId="452D43E3" w14:textId="77777777" w:rsidR="00FE0F67" w:rsidRPr="007621E8" w:rsidRDefault="00FE0F67" w:rsidP="00FE0F67">
            <w:pPr>
              <w:spacing w:line="360" w:lineRule="auto"/>
              <w:jc w:val="center"/>
              <w:rPr>
                <w:rFonts w:cstheme="minorHAnsi"/>
                <w:sz w:val="16"/>
                <w:szCs w:val="16"/>
                <w:lang w:val="en-GB"/>
              </w:rPr>
            </w:pPr>
            <w:r w:rsidRPr="007621E8">
              <w:rPr>
                <w:rFonts w:cstheme="minorHAnsi"/>
                <w:sz w:val="16"/>
                <w:szCs w:val="16"/>
                <w:lang w:val="en-GB"/>
              </w:rPr>
              <w:t>652.937</w:t>
            </w:r>
          </w:p>
          <w:p w14:paraId="74923F7E" w14:textId="77777777" w:rsidR="00FE0F67" w:rsidRPr="007621E8" w:rsidRDefault="00FE0F67" w:rsidP="00FE0F67">
            <w:pPr>
              <w:spacing w:line="360" w:lineRule="auto"/>
              <w:jc w:val="center"/>
              <w:rPr>
                <w:rFonts w:cstheme="minorHAnsi"/>
                <w:sz w:val="16"/>
                <w:szCs w:val="16"/>
                <w:lang w:val="en-GB"/>
              </w:rPr>
            </w:pPr>
            <w:r w:rsidRPr="007621E8">
              <w:rPr>
                <w:rFonts w:eastAsia="Times New Roman" w:cstheme="minorHAnsi"/>
                <w:color w:val="000000"/>
                <w:sz w:val="16"/>
                <w:szCs w:val="16"/>
                <w:lang w:val="en-GB" w:eastAsia="pt-BR"/>
              </w:rPr>
              <w:t>± 147.513</w:t>
            </w:r>
          </w:p>
        </w:tc>
        <w:tc>
          <w:tcPr>
            <w:tcW w:w="431" w:type="pct"/>
            <w:tcBorders>
              <w:top w:val="single" w:sz="4" w:space="0" w:color="auto"/>
              <w:left w:val="nil"/>
              <w:bottom w:val="single" w:sz="4" w:space="0" w:color="auto"/>
              <w:right w:val="nil"/>
            </w:tcBorders>
            <w:vAlign w:val="center"/>
          </w:tcPr>
          <w:p w14:paraId="299AB16C"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0.2</w:t>
            </w:r>
          </w:p>
        </w:tc>
        <w:tc>
          <w:tcPr>
            <w:tcW w:w="431" w:type="pct"/>
            <w:tcBorders>
              <w:top w:val="single" w:sz="4" w:space="0" w:color="auto"/>
              <w:left w:val="nil"/>
              <w:bottom w:val="single" w:sz="4" w:space="0" w:color="auto"/>
              <w:right w:val="nil"/>
            </w:tcBorders>
            <w:vAlign w:val="center"/>
          </w:tcPr>
          <w:p w14:paraId="2E953E66"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0.2</w:t>
            </w:r>
          </w:p>
        </w:tc>
        <w:tc>
          <w:tcPr>
            <w:tcW w:w="542" w:type="pct"/>
            <w:tcBorders>
              <w:top w:val="single" w:sz="4" w:space="0" w:color="auto"/>
              <w:left w:val="nil"/>
              <w:bottom w:val="single" w:sz="4" w:space="0" w:color="auto"/>
              <w:right w:val="nil"/>
            </w:tcBorders>
            <w:vAlign w:val="center"/>
          </w:tcPr>
          <w:p w14:paraId="2E879171"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441.420 ± 96.499</w:t>
            </w:r>
          </w:p>
        </w:tc>
        <w:tc>
          <w:tcPr>
            <w:tcW w:w="542" w:type="pct"/>
            <w:vMerge w:val="restart"/>
            <w:tcBorders>
              <w:top w:val="single" w:sz="4" w:space="0" w:color="auto"/>
              <w:left w:val="nil"/>
              <w:bottom w:val="nil"/>
              <w:right w:val="nil"/>
            </w:tcBorders>
            <w:vAlign w:val="center"/>
          </w:tcPr>
          <w:p w14:paraId="21E37358" w14:textId="77777777" w:rsidR="00FE0F67" w:rsidRPr="007621E8" w:rsidRDefault="00FE0F67" w:rsidP="00FE0F67">
            <w:pPr>
              <w:spacing w:line="360" w:lineRule="auto"/>
              <w:jc w:val="center"/>
              <w:rPr>
                <w:rFonts w:cstheme="minorHAnsi"/>
                <w:sz w:val="16"/>
                <w:szCs w:val="16"/>
                <w:lang w:val="en-GB"/>
              </w:rPr>
            </w:pPr>
            <w:r w:rsidRPr="007621E8">
              <w:rPr>
                <w:rFonts w:cstheme="minorHAnsi"/>
                <w:sz w:val="16"/>
                <w:szCs w:val="16"/>
                <w:lang w:val="en-GB"/>
              </w:rPr>
              <w:t>0.2</w:t>
            </w:r>
          </w:p>
        </w:tc>
        <w:tc>
          <w:tcPr>
            <w:tcW w:w="493" w:type="pct"/>
            <w:vMerge w:val="restart"/>
            <w:tcBorders>
              <w:top w:val="single" w:sz="4" w:space="0" w:color="auto"/>
              <w:left w:val="nil"/>
              <w:right w:val="nil"/>
            </w:tcBorders>
            <w:vAlign w:val="center"/>
          </w:tcPr>
          <w:p w14:paraId="74C60107" w14:textId="0CDBFACC" w:rsidR="00FE0F67" w:rsidRPr="007621E8" w:rsidRDefault="00FE0F67" w:rsidP="00FE0F67">
            <w:pPr>
              <w:spacing w:line="360" w:lineRule="auto"/>
              <w:jc w:val="center"/>
              <w:rPr>
                <w:rFonts w:cstheme="minorHAnsi"/>
                <w:sz w:val="16"/>
                <w:szCs w:val="16"/>
                <w:lang w:val="en-GB"/>
              </w:rPr>
            </w:pPr>
            <w:r>
              <w:rPr>
                <w:rFonts w:cstheme="minorHAnsi"/>
                <w:sz w:val="16"/>
                <w:szCs w:val="16"/>
                <w:lang w:val="en-GB"/>
              </w:rPr>
              <w:t>0.4</w:t>
            </w:r>
          </w:p>
        </w:tc>
        <w:tc>
          <w:tcPr>
            <w:tcW w:w="403" w:type="pct"/>
            <w:vMerge w:val="restart"/>
            <w:tcBorders>
              <w:top w:val="single" w:sz="4" w:space="0" w:color="auto"/>
              <w:left w:val="nil"/>
              <w:bottom w:val="nil"/>
              <w:right w:val="nil"/>
            </w:tcBorders>
            <w:vAlign w:val="center"/>
          </w:tcPr>
          <w:p w14:paraId="2DCCC1E6" w14:textId="1BC40460" w:rsidR="00FE0F67" w:rsidRPr="007621E8" w:rsidRDefault="00FE0F67" w:rsidP="00FE0F67">
            <w:pPr>
              <w:spacing w:line="360" w:lineRule="auto"/>
              <w:jc w:val="center"/>
              <w:rPr>
                <w:rFonts w:cstheme="minorHAnsi"/>
                <w:sz w:val="16"/>
                <w:szCs w:val="16"/>
                <w:lang w:val="en-GB"/>
              </w:rPr>
            </w:pPr>
            <w:r>
              <w:rPr>
                <w:rFonts w:cstheme="minorHAnsi"/>
                <w:sz w:val="16"/>
                <w:szCs w:val="16"/>
                <w:lang w:val="en-GB"/>
              </w:rPr>
              <w:t>1.52</w:t>
            </w:r>
          </w:p>
        </w:tc>
        <w:tc>
          <w:tcPr>
            <w:tcW w:w="403" w:type="pct"/>
            <w:vMerge w:val="restart"/>
            <w:tcBorders>
              <w:top w:val="single" w:sz="4" w:space="0" w:color="auto"/>
              <w:left w:val="nil"/>
              <w:bottom w:val="nil"/>
              <w:right w:val="nil"/>
            </w:tcBorders>
            <w:vAlign w:val="center"/>
          </w:tcPr>
          <w:p w14:paraId="2337609C" w14:textId="6EB41C49" w:rsidR="00FE0F67" w:rsidRPr="007621E8" w:rsidRDefault="00FE0F67" w:rsidP="00FE0F67">
            <w:pPr>
              <w:spacing w:line="360" w:lineRule="auto"/>
              <w:jc w:val="center"/>
              <w:rPr>
                <w:rFonts w:cstheme="minorHAnsi"/>
                <w:sz w:val="16"/>
                <w:szCs w:val="16"/>
                <w:lang w:val="en-GB"/>
              </w:rPr>
            </w:pPr>
            <w:r>
              <w:rPr>
                <w:rFonts w:cstheme="minorHAnsi"/>
                <w:sz w:val="16"/>
                <w:szCs w:val="16"/>
                <w:lang w:val="en-GB"/>
              </w:rPr>
              <w:t>0.3</w:t>
            </w:r>
          </w:p>
        </w:tc>
        <w:tc>
          <w:tcPr>
            <w:tcW w:w="404" w:type="pct"/>
            <w:vMerge w:val="restart"/>
            <w:tcBorders>
              <w:top w:val="single" w:sz="4" w:space="0" w:color="auto"/>
              <w:left w:val="nil"/>
              <w:bottom w:val="nil"/>
              <w:right w:val="nil"/>
            </w:tcBorders>
            <w:vAlign w:val="center"/>
          </w:tcPr>
          <w:p w14:paraId="1E820229" w14:textId="7FAC3B81" w:rsidR="00FE0F67" w:rsidRPr="007621E8" w:rsidRDefault="00FE0F67" w:rsidP="00FE0F67">
            <w:pPr>
              <w:spacing w:line="360" w:lineRule="auto"/>
              <w:jc w:val="center"/>
              <w:rPr>
                <w:rFonts w:cstheme="minorHAnsi"/>
                <w:sz w:val="16"/>
                <w:szCs w:val="16"/>
                <w:lang w:val="en-GB"/>
              </w:rPr>
            </w:pPr>
            <w:r>
              <w:rPr>
                <w:rFonts w:cstheme="minorHAnsi"/>
                <w:sz w:val="16"/>
                <w:szCs w:val="16"/>
                <w:lang w:val="en-GB"/>
              </w:rPr>
              <w:t>1.0</w:t>
            </w:r>
          </w:p>
        </w:tc>
        <w:tc>
          <w:tcPr>
            <w:tcW w:w="456" w:type="pct"/>
            <w:vMerge w:val="restart"/>
            <w:tcBorders>
              <w:top w:val="single" w:sz="4" w:space="0" w:color="auto"/>
              <w:left w:val="nil"/>
              <w:bottom w:val="nil"/>
              <w:right w:val="nil"/>
            </w:tcBorders>
            <w:vAlign w:val="center"/>
          </w:tcPr>
          <w:p w14:paraId="7C99AF4A" w14:textId="77777777" w:rsidR="00FE0F67" w:rsidRPr="007621E8" w:rsidRDefault="00FE0F67" w:rsidP="00FE0F67">
            <w:pPr>
              <w:spacing w:line="360" w:lineRule="auto"/>
              <w:jc w:val="center"/>
              <w:rPr>
                <w:rFonts w:cstheme="minorHAnsi"/>
                <w:sz w:val="16"/>
                <w:szCs w:val="16"/>
                <w:lang w:val="en-GB"/>
              </w:rPr>
            </w:pPr>
            <w:r w:rsidRPr="007621E8">
              <w:rPr>
                <w:rFonts w:cstheme="minorHAnsi"/>
                <w:sz w:val="16"/>
                <w:szCs w:val="16"/>
                <w:lang w:val="en-GB"/>
              </w:rPr>
              <w:t>4.0</w:t>
            </w:r>
          </w:p>
        </w:tc>
      </w:tr>
      <w:tr w:rsidR="00FE0F67" w:rsidRPr="007621E8" w14:paraId="6BC919BD" w14:textId="77777777" w:rsidTr="00FE0F67">
        <w:trPr>
          <w:jc w:val="center"/>
        </w:trPr>
        <w:tc>
          <w:tcPr>
            <w:tcW w:w="411" w:type="pct"/>
            <w:tcBorders>
              <w:top w:val="single" w:sz="4" w:space="0" w:color="auto"/>
              <w:left w:val="nil"/>
              <w:bottom w:val="single" w:sz="4" w:space="0" w:color="auto"/>
              <w:right w:val="nil"/>
            </w:tcBorders>
            <w:vAlign w:val="center"/>
          </w:tcPr>
          <w:p w14:paraId="61854642" w14:textId="77777777" w:rsidR="00FE0F67" w:rsidRPr="007621E8" w:rsidRDefault="00FE0F67" w:rsidP="00FE0F67">
            <w:pPr>
              <w:spacing w:line="360" w:lineRule="auto"/>
              <w:jc w:val="center"/>
              <w:rPr>
                <w:rFonts w:cstheme="minorHAnsi"/>
                <w:sz w:val="16"/>
                <w:szCs w:val="16"/>
                <w:lang w:val="en-GB"/>
              </w:rPr>
            </w:pPr>
            <w:r w:rsidRPr="007621E8">
              <w:rPr>
                <w:rFonts w:cstheme="minorHAnsi"/>
                <w:sz w:val="16"/>
                <w:szCs w:val="16"/>
                <w:lang w:val="en-GB"/>
              </w:rPr>
              <w:t>10%</w:t>
            </w:r>
          </w:p>
        </w:tc>
        <w:tc>
          <w:tcPr>
            <w:tcW w:w="486" w:type="pct"/>
            <w:tcBorders>
              <w:top w:val="single" w:sz="4" w:space="0" w:color="auto"/>
              <w:left w:val="nil"/>
              <w:bottom w:val="single" w:sz="4" w:space="0" w:color="auto"/>
              <w:right w:val="nil"/>
            </w:tcBorders>
            <w:vAlign w:val="center"/>
          </w:tcPr>
          <w:p w14:paraId="50E53DB9"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718.284 ± 162.278</w:t>
            </w:r>
          </w:p>
        </w:tc>
        <w:tc>
          <w:tcPr>
            <w:tcW w:w="431" w:type="pct"/>
            <w:tcBorders>
              <w:top w:val="single" w:sz="4" w:space="0" w:color="auto"/>
              <w:left w:val="nil"/>
              <w:bottom w:val="single" w:sz="4" w:space="0" w:color="auto"/>
              <w:right w:val="nil"/>
            </w:tcBorders>
            <w:vAlign w:val="center"/>
          </w:tcPr>
          <w:p w14:paraId="057DC3B1"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0.2</w:t>
            </w:r>
          </w:p>
        </w:tc>
        <w:tc>
          <w:tcPr>
            <w:tcW w:w="431" w:type="pct"/>
            <w:tcBorders>
              <w:top w:val="single" w:sz="4" w:space="0" w:color="auto"/>
              <w:left w:val="nil"/>
              <w:bottom w:val="single" w:sz="4" w:space="0" w:color="auto"/>
              <w:right w:val="nil"/>
            </w:tcBorders>
            <w:vAlign w:val="center"/>
          </w:tcPr>
          <w:p w14:paraId="44C91CD7"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0.2</w:t>
            </w:r>
          </w:p>
        </w:tc>
        <w:tc>
          <w:tcPr>
            <w:tcW w:w="542" w:type="pct"/>
            <w:tcBorders>
              <w:top w:val="single" w:sz="4" w:space="0" w:color="auto"/>
              <w:left w:val="nil"/>
              <w:bottom w:val="single" w:sz="4" w:space="0" w:color="auto"/>
              <w:right w:val="nil"/>
            </w:tcBorders>
            <w:vAlign w:val="center"/>
          </w:tcPr>
          <w:p w14:paraId="72643F24"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485.589 ± 106.161</w:t>
            </w:r>
          </w:p>
        </w:tc>
        <w:tc>
          <w:tcPr>
            <w:tcW w:w="542" w:type="pct"/>
            <w:vMerge/>
            <w:tcBorders>
              <w:top w:val="nil"/>
              <w:left w:val="nil"/>
              <w:bottom w:val="nil"/>
              <w:right w:val="nil"/>
            </w:tcBorders>
            <w:vAlign w:val="center"/>
          </w:tcPr>
          <w:p w14:paraId="0AD73C85" w14:textId="77777777" w:rsidR="00FE0F67" w:rsidRPr="007621E8" w:rsidRDefault="00FE0F67" w:rsidP="0045436B">
            <w:pPr>
              <w:spacing w:line="360" w:lineRule="auto"/>
              <w:rPr>
                <w:rFonts w:cstheme="minorHAnsi"/>
                <w:sz w:val="16"/>
                <w:szCs w:val="16"/>
                <w:lang w:val="en-GB"/>
              </w:rPr>
            </w:pPr>
          </w:p>
        </w:tc>
        <w:tc>
          <w:tcPr>
            <w:tcW w:w="493" w:type="pct"/>
            <w:vMerge/>
            <w:tcBorders>
              <w:left w:val="nil"/>
              <w:right w:val="nil"/>
            </w:tcBorders>
          </w:tcPr>
          <w:p w14:paraId="1FC172D9" w14:textId="77777777" w:rsidR="00FE0F67" w:rsidRPr="007621E8" w:rsidRDefault="00FE0F67" w:rsidP="0045436B">
            <w:pPr>
              <w:spacing w:line="360" w:lineRule="auto"/>
              <w:rPr>
                <w:rFonts w:cstheme="minorHAnsi"/>
                <w:sz w:val="16"/>
                <w:szCs w:val="16"/>
                <w:lang w:val="en-GB"/>
              </w:rPr>
            </w:pPr>
          </w:p>
        </w:tc>
        <w:tc>
          <w:tcPr>
            <w:tcW w:w="403" w:type="pct"/>
            <w:vMerge/>
            <w:tcBorders>
              <w:top w:val="nil"/>
              <w:left w:val="nil"/>
              <w:bottom w:val="nil"/>
              <w:right w:val="nil"/>
            </w:tcBorders>
            <w:vAlign w:val="center"/>
          </w:tcPr>
          <w:p w14:paraId="7E397847" w14:textId="6B22591C" w:rsidR="00FE0F67" w:rsidRPr="007621E8" w:rsidRDefault="00FE0F67" w:rsidP="0045436B">
            <w:pPr>
              <w:spacing w:line="360" w:lineRule="auto"/>
              <w:rPr>
                <w:rFonts w:cstheme="minorHAnsi"/>
                <w:sz w:val="16"/>
                <w:szCs w:val="16"/>
                <w:lang w:val="en-GB"/>
              </w:rPr>
            </w:pPr>
          </w:p>
        </w:tc>
        <w:tc>
          <w:tcPr>
            <w:tcW w:w="403" w:type="pct"/>
            <w:vMerge/>
            <w:tcBorders>
              <w:top w:val="nil"/>
              <w:left w:val="nil"/>
              <w:bottom w:val="nil"/>
              <w:right w:val="nil"/>
            </w:tcBorders>
            <w:vAlign w:val="center"/>
          </w:tcPr>
          <w:p w14:paraId="7DC8444F" w14:textId="77777777" w:rsidR="00FE0F67" w:rsidRPr="007621E8" w:rsidRDefault="00FE0F67" w:rsidP="0045436B">
            <w:pPr>
              <w:spacing w:line="360" w:lineRule="auto"/>
              <w:rPr>
                <w:rFonts w:cstheme="minorHAnsi"/>
                <w:sz w:val="16"/>
                <w:szCs w:val="16"/>
                <w:lang w:val="en-GB"/>
              </w:rPr>
            </w:pPr>
          </w:p>
        </w:tc>
        <w:tc>
          <w:tcPr>
            <w:tcW w:w="404" w:type="pct"/>
            <w:vMerge/>
            <w:tcBorders>
              <w:top w:val="nil"/>
              <w:left w:val="nil"/>
              <w:bottom w:val="nil"/>
              <w:right w:val="nil"/>
            </w:tcBorders>
            <w:vAlign w:val="center"/>
          </w:tcPr>
          <w:p w14:paraId="06F1891B" w14:textId="77777777" w:rsidR="00FE0F67" w:rsidRPr="007621E8" w:rsidRDefault="00FE0F67" w:rsidP="0045436B">
            <w:pPr>
              <w:spacing w:line="360" w:lineRule="auto"/>
              <w:rPr>
                <w:rFonts w:cstheme="minorHAnsi"/>
                <w:sz w:val="16"/>
                <w:szCs w:val="16"/>
                <w:lang w:val="en-GB"/>
              </w:rPr>
            </w:pPr>
          </w:p>
        </w:tc>
        <w:tc>
          <w:tcPr>
            <w:tcW w:w="456" w:type="pct"/>
            <w:vMerge/>
            <w:tcBorders>
              <w:top w:val="nil"/>
              <w:left w:val="nil"/>
              <w:bottom w:val="nil"/>
              <w:right w:val="nil"/>
            </w:tcBorders>
            <w:vAlign w:val="center"/>
          </w:tcPr>
          <w:p w14:paraId="7B2594C4" w14:textId="77777777" w:rsidR="00FE0F67" w:rsidRPr="007621E8" w:rsidRDefault="00FE0F67" w:rsidP="0045436B">
            <w:pPr>
              <w:spacing w:line="360" w:lineRule="auto"/>
              <w:rPr>
                <w:rFonts w:cstheme="minorHAnsi"/>
                <w:sz w:val="16"/>
                <w:szCs w:val="16"/>
                <w:lang w:val="en-GB"/>
              </w:rPr>
            </w:pPr>
          </w:p>
        </w:tc>
      </w:tr>
      <w:tr w:rsidR="00FE0F67" w:rsidRPr="007621E8" w14:paraId="2A7C0E59" w14:textId="77777777" w:rsidTr="00FE0F67">
        <w:trPr>
          <w:jc w:val="center"/>
        </w:trPr>
        <w:tc>
          <w:tcPr>
            <w:tcW w:w="411" w:type="pct"/>
            <w:tcBorders>
              <w:top w:val="single" w:sz="4" w:space="0" w:color="auto"/>
              <w:left w:val="nil"/>
              <w:bottom w:val="single" w:sz="4" w:space="0" w:color="auto"/>
              <w:right w:val="nil"/>
            </w:tcBorders>
            <w:vAlign w:val="center"/>
          </w:tcPr>
          <w:p w14:paraId="1CED4F4A" w14:textId="77777777" w:rsidR="00FE0F67" w:rsidRPr="007621E8" w:rsidRDefault="00FE0F67" w:rsidP="00FE0F67">
            <w:pPr>
              <w:spacing w:line="360" w:lineRule="auto"/>
              <w:jc w:val="center"/>
              <w:rPr>
                <w:rFonts w:cstheme="minorHAnsi"/>
                <w:sz w:val="16"/>
                <w:szCs w:val="16"/>
                <w:lang w:val="en-GB"/>
              </w:rPr>
            </w:pPr>
            <w:r w:rsidRPr="007621E8">
              <w:rPr>
                <w:rFonts w:cstheme="minorHAnsi"/>
                <w:sz w:val="16"/>
                <w:szCs w:val="16"/>
                <w:lang w:val="en-GB"/>
              </w:rPr>
              <w:t>20%</w:t>
            </w:r>
          </w:p>
        </w:tc>
        <w:tc>
          <w:tcPr>
            <w:tcW w:w="486" w:type="pct"/>
            <w:tcBorders>
              <w:top w:val="single" w:sz="4" w:space="0" w:color="auto"/>
              <w:left w:val="nil"/>
              <w:bottom w:val="single" w:sz="4" w:space="0" w:color="auto"/>
              <w:right w:val="nil"/>
            </w:tcBorders>
            <w:vAlign w:val="center"/>
          </w:tcPr>
          <w:p w14:paraId="57078573"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783.553 ± 177.008</w:t>
            </w:r>
          </w:p>
        </w:tc>
        <w:tc>
          <w:tcPr>
            <w:tcW w:w="431" w:type="pct"/>
            <w:tcBorders>
              <w:top w:val="single" w:sz="4" w:space="0" w:color="auto"/>
              <w:left w:val="nil"/>
              <w:bottom w:val="single" w:sz="4" w:space="0" w:color="auto"/>
              <w:right w:val="nil"/>
            </w:tcBorders>
            <w:vAlign w:val="center"/>
          </w:tcPr>
          <w:p w14:paraId="56977620"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0.2</w:t>
            </w:r>
          </w:p>
        </w:tc>
        <w:tc>
          <w:tcPr>
            <w:tcW w:w="431" w:type="pct"/>
            <w:tcBorders>
              <w:top w:val="single" w:sz="4" w:space="0" w:color="auto"/>
              <w:left w:val="nil"/>
              <w:bottom w:val="single" w:sz="4" w:space="0" w:color="auto"/>
              <w:right w:val="nil"/>
            </w:tcBorders>
            <w:vAlign w:val="center"/>
          </w:tcPr>
          <w:p w14:paraId="0B9B924E"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0.2</w:t>
            </w:r>
          </w:p>
        </w:tc>
        <w:tc>
          <w:tcPr>
            <w:tcW w:w="542" w:type="pct"/>
            <w:tcBorders>
              <w:top w:val="single" w:sz="4" w:space="0" w:color="auto"/>
              <w:left w:val="nil"/>
              <w:bottom w:val="single" w:sz="4" w:space="0" w:color="auto"/>
              <w:right w:val="nil"/>
            </w:tcBorders>
            <w:vAlign w:val="center"/>
          </w:tcPr>
          <w:p w14:paraId="6A48644B" w14:textId="77777777" w:rsidR="00FE0F67" w:rsidRPr="007621E8" w:rsidRDefault="00FE0F67" w:rsidP="00FE0F67">
            <w:pPr>
              <w:spacing w:line="360" w:lineRule="auto"/>
              <w:jc w:val="center"/>
              <w:rPr>
                <w:rFonts w:eastAsia="Times New Roman" w:cstheme="minorHAnsi"/>
                <w:color w:val="000000"/>
                <w:sz w:val="16"/>
                <w:szCs w:val="16"/>
                <w:lang w:val="en-GB" w:eastAsia="pt-BR"/>
              </w:rPr>
            </w:pPr>
            <w:r w:rsidRPr="007621E8">
              <w:rPr>
                <w:rFonts w:eastAsia="Times New Roman" w:cstheme="minorHAnsi"/>
                <w:color w:val="000000"/>
                <w:sz w:val="16"/>
                <w:szCs w:val="16"/>
                <w:lang w:val="en-GB" w:eastAsia="pt-BR"/>
              </w:rPr>
              <w:t>529.737 ± 115.811</w:t>
            </w:r>
          </w:p>
        </w:tc>
        <w:tc>
          <w:tcPr>
            <w:tcW w:w="542" w:type="pct"/>
            <w:vMerge/>
            <w:tcBorders>
              <w:top w:val="nil"/>
              <w:left w:val="nil"/>
              <w:bottom w:val="single" w:sz="4" w:space="0" w:color="auto"/>
              <w:right w:val="nil"/>
            </w:tcBorders>
            <w:vAlign w:val="center"/>
          </w:tcPr>
          <w:p w14:paraId="763C86A8" w14:textId="77777777" w:rsidR="00FE0F67" w:rsidRPr="007621E8" w:rsidRDefault="00FE0F67" w:rsidP="0045436B">
            <w:pPr>
              <w:spacing w:line="360" w:lineRule="auto"/>
              <w:rPr>
                <w:rFonts w:cstheme="minorHAnsi"/>
                <w:sz w:val="16"/>
                <w:szCs w:val="16"/>
                <w:lang w:val="en-GB"/>
              </w:rPr>
            </w:pPr>
          </w:p>
        </w:tc>
        <w:tc>
          <w:tcPr>
            <w:tcW w:w="493" w:type="pct"/>
            <w:vMerge/>
            <w:tcBorders>
              <w:left w:val="nil"/>
              <w:bottom w:val="single" w:sz="4" w:space="0" w:color="auto"/>
              <w:right w:val="nil"/>
            </w:tcBorders>
          </w:tcPr>
          <w:p w14:paraId="7EFF4113" w14:textId="77777777" w:rsidR="00FE0F67" w:rsidRPr="007621E8" w:rsidRDefault="00FE0F67" w:rsidP="0045436B">
            <w:pPr>
              <w:spacing w:line="360" w:lineRule="auto"/>
              <w:rPr>
                <w:rFonts w:cstheme="minorHAnsi"/>
                <w:sz w:val="16"/>
                <w:szCs w:val="16"/>
                <w:lang w:val="en-GB"/>
              </w:rPr>
            </w:pPr>
          </w:p>
        </w:tc>
        <w:tc>
          <w:tcPr>
            <w:tcW w:w="403" w:type="pct"/>
            <w:vMerge/>
            <w:tcBorders>
              <w:top w:val="nil"/>
              <w:left w:val="nil"/>
              <w:bottom w:val="single" w:sz="4" w:space="0" w:color="auto"/>
              <w:right w:val="nil"/>
            </w:tcBorders>
            <w:vAlign w:val="center"/>
          </w:tcPr>
          <w:p w14:paraId="0B06CD13" w14:textId="5B5FA30E" w:rsidR="00FE0F67" w:rsidRPr="007621E8" w:rsidRDefault="00FE0F67" w:rsidP="0045436B">
            <w:pPr>
              <w:spacing w:line="360" w:lineRule="auto"/>
              <w:rPr>
                <w:rFonts w:cstheme="minorHAnsi"/>
                <w:sz w:val="16"/>
                <w:szCs w:val="16"/>
                <w:lang w:val="en-GB"/>
              </w:rPr>
            </w:pPr>
          </w:p>
        </w:tc>
        <w:tc>
          <w:tcPr>
            <w:tcW w:w="403" w:type="pct"/>
            <w:vMerge/>
            <w:tcBorders>
              <w:top w:val="nil"/>
              <w:left w:val="nil"/>
              <w:bottom w:val="single" w:sz="4" w:space="0" w:color="auto"/>
              <w:right w:val="nil"/>
            </w:tcBorders>
            <w:vAlign w:val="center"/>
          </w:tcPr>
          <w:p w14:paraId="1EF61710" w14:textId="77777777" w:rsidR="00FE0F67" w:rsidRPr="007621E8" w:rsidRDefault="00FE0F67" w:rsidP="0045436B">
            <w:pPr>
              <w:spacing w:line="360" w:lineRule="auto"/>
              <w:rPr>
                <w:rFonts w:cstheme="minorHAnsi"/>
                <w:sz w:val="16"/>
                <w:szCs w:val="16"/>
                <w:lang w:val="en-GB"/>
              </w:rPr>
            </w:pPr>
          </w:p>
        </w:tc>
        <w:tc>
          <w:tcPr>
            <w:tcW w:w="404" w:type="pct"/>
            <w:vMerge/>
            <w:tcBorders>
              <w:top w:val="nil"/>
              <w:left w:val="nil"/>
              <w:bottom w:val="single" w:sz="4" w:space="0" w:color="auto"/>
              <w:right w:val="nil"/>
            </w:tcBorders>
            <w:vAlign w:val="center"/>
          </w:tcPr>
          <w:p w14:paraId="61DF8D63" w14:textId="77777777" w:rsidR="00FE0F67" w:rsidRPr="007621E8" w:rsidRDefault="00FE0F67" w:rsidP="0045436B">
            <w:pPr>
              <w:spacing w:line="360" w:lineRule="auto"/>
              <w:rPr>
                <w:rFonts w:cstheme="minorHAnsi"/>
                <w:sz w:val="16"/>
                <w:szCs w:val="16"/>
                <w:lang w:val="en-GB"/>
              </w:rPr>
            </w:pPr>
          </w:p>
        </w:tc>
        <w:tc>
          <w:tcPr>
            <w:tcW w:w="456" w:type="pct"/>
            <w:vMerge/>
            <w:tcBorders>
              <w:top w:val="nil"/>
              <w:left w:val="nil"/>
              <w:bottom w:val="single" w:sz="4" w:space="0" w:color="auto"/>
              <w:right w:val="nil"/>
            </w:tcBorders>
            <w:vAlign w:val="center"/>
          </w:tcPr>
          <w:p w14:paraId="5840013B" w14:textId="77777777" w:rsidR="00FE0F67" w:rsidRPr="007621E8" w:rsidRDefault="00FE0F67" w:rsidP="0045436B">
            <w:pPr>
              <w:spacing w:line="360" w:lineRule="auto"/>
              <w:rPr>
                <w:rFonts w:cstheme="minorHAnsi"/>
                <w:sz w:val="16"/>
                <w:szCs w:val="16"/>
                <w:lang w:val="en-GB"/>
              </w:rPr>
            </w:pPr>
          </w:p>
        </w:tc>
      </w:tr>
    </w:tbl>
    <w:p w14:paraId="743F44F8" w14:textId="77777777" w:rsidR="008906C4" w:rsidRDefault="008906C4" w:rsidP="008906C4">
      <w:pPr>
        <w:spacing w:after="0" w:line="360" w:lineRule="auto"/>
        <w:rPr>
          <w:rFonts w:cstheme="minorHAnsi"/>
          <w:b/>
          <w:sz w:val="20"/>
          <w:szCs w:val="20"/>
          <w:lang w:val="en-GB"/>
        </w:rPr>
        <w:sectPr w:rsidR="008906C4" w:rsidSect="0045436B">
          <w:pgSz w:w="11906" w:h="16838"/>
          <w:pgMar w:top="1417" w:right="1701" w:bottom="1417" w:left="1701" w:header="708" w:footer="708" w:gutter="0"/>
          <w:lnNumType w:countBy="1" w:restart="continuous"/>
          <w:cols w:space="708"/>
          <w:docGrid w:linePitch="360"/>
        </w:sectPr>
      </w:pPr>
    </w:p>
    <w:p w14:paraId="3A45D9BA" w14:textId="17BE27B7" w:rsidR="008906C4" w:rsidRPr="007621E8" w:rsidRDefault="008906C4" w:rsidP="008906C4">
      <w:pPr>
        <w:spacing w:after="0" w:line="360" w:lineRule="auto"/>
        <w:rPr>
          <w:rFonts w:cstheme="minorHAnsi"/>
          <w:color w:val="000000" w:themeColor="text1"/>
          <w:sz w:val="20"/>
          <w:szCs w:val="20"/>
          <w:lang w:val="en-GB"/>
        </w:rPr>
      </w:pPr>
      <w:r w:rsidRPr="007621E8">
        <w:rPr>
          <w:rFonts w:cstheme="minorHAnsi"/>
          <w:b/>
          <w:sz w:val="20"/>
          <w:szCs w:val="20"/>
          <w:lang w:val="en-GB"/>
        </w:rPr>
        <w:lastRenderedPageBreak/>
        <w:t>Table S2.</w:t>
      </w:r>
      <w:r w:rsidRPr="007621E8">
        <w:rPr>
          <w:rFonts w:cstheme="minorHAnsi"/>
          <w:sz w:val="20"/>
          <w:szCs w:val="20"/>
          <w:lang w:val="en-GB"/>
        </w:rPr>
        <w:t xml:space="preserve"> </w:t>
      </w:r>
      <w:r w:rsidRPr="007621E8">
        <w:rPr>
          <w:rFonts w:cstheme="minorHAnsi"/>
          <w:color w:val="000000" w:themeColor="text1"/>
          <w:sz w:val="20"/>
          <w:szCs w:val="20"/>
          <w:lang w:val="en-GB"/>
        </w:rPr>
        <w:t xml:space="preserve">Results of fitting using a Gaussian function </w:t>
      </w:r>
      <w:r w:rsidR="00961926">
        <w:rPr>
          <w:rFonts w:cstheme="minorHAnsi"/>
          <w:color w:val="000000" w:themeColor="text1"/>
          <w:sz w:val="20"/>
          <w:szCs w:val="20"/>
          <w:lang w:val="en-GB"/>
        </w:rPr>
        <w:t>for</w:t>
      </w:r>
      <w:r w:rsidRPr="007621E8">
        <w:rPr>
          <w:rFonts w:cstheme="minorHAnsi"/>
          <w:color w:val="000000" w:themeColor="text1"/>
          <w:sz w:val="20"/>
          <w:szCs w:val="20"/>
          <w:lang w:val="en-GB"/>
        </w:rPr>
        <w:t xml:space="preserve"> the headcrest tissue. DF - degrees of freedom; RCS - reduced chi-squared; A-R</w:t>
      </w:r>
      <w:r w:rsidRPr="007621E8">
        <w:rPr>
          <w:rFonts w:cstheme="minorHAnsi"/>
          <w:color w:val="000000" w:themeColor="text1"/>
          <w:sz w:val="20"/>
          <w:szCs w:val="20"/>
          <w:vertAlign w:val="superscript"/>
          <w:lang w:val="en-GB"/>
        </w:rPr>
        <w:t>2</w:t>
      </w:r>
      <w:r w:rsidRPr="007621E8">
        <w:rPr>
          <w:rFonts w:cstheme="minorHAnsi"/>
          <w:color w:val="000000" w:themeColor="text1"/>
          <w:sz w:val="20"/>
          <w:szCs w:val="20"/>
          <w:lang w:val="en-GB"/>
        </w:rPr>
        <w:t xml:space="preserve"> – Adjusted R-Square.</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1248"/>
        <w:gridCol w:w="1007"/>
        <w:gridCol w:w="900"/>
        <w:gridCol w:w="808"/>
        <w:gridCol w:w="808"/>
        <w:gridCol w:w="1490"/>
        <w:gridCol w:w="1213"/>
      </w:tblGrid>
      <w:tr w:rsidR="008906C4" w:rsidRPr="007621E8" w14:paraId="75D9F240" w14:textId="77777777" w:rsidTr="0045436B">
        <w:trPr>
          <w:trHeight w:val="20"/>
        </w:trPr>
        <w:tc>
          <w:tcPr>
            <w:tcW w:w="606" w:type="pct"/>
            <w:tcBorders>
              <w:top w:val="single" w:sz="4" w:space="0" w:color="auto"/>
              <w:bottom w:val="single" w:sz="4" w:space="0" w:color="auto"/>
            </w:tcBorders>
            <w:shd w:val="clear" w:color="auto" w:fill="D9D9D9" w:themeFill="background1" w:themeFillShade="D9"/>
            <w:vAlign w:val="center"/>
          </w:tcPr>
          <w:p w14:paraId="24BE8352" w14:textId="77777777" w:rsidR="008906C4" w:rsidRPr="007621E8" w:rsidRDefault="008906C4" w:rsidP="0045436B">
            <w:pPr>
              <w:spacing w:line="360" w:lineRule="auto"/>
              <w:rPr>
                <w:rFonts w:ascii="Arial" w:hAnsi="Arial" w:cs="Arial"/>
                <w:b/>
                <w:i/>
                <w:color w:val="000000" w:themeColor="text1"/>
                <w:sz w:val="18"/>
                <w:szCs w:val="18"/>
                <w:lang w:val="en-GB"/>
              </w:rPr>
            </w:pPr>
            <w:r w:rsidRPr="007621E8">
              <w:rPr>
                <w:rFonts w:ascii="Arial" w:hAnsi="Arial" w:cs="Arial"/>
                <w:b/>
                <w:i/>
                <w:color w:val="000000" w:themeColor="text1"/>
                <w:sz w:val="18"/>
                <w:szCs w:val="18"/>
                <w:lang w:val="en-GB"/>
              </w:rPr>
              <w:t>Band</w:t>
            </w:r>
          </w:p>
        </w:tc>
        <w:tc>
          <w:tcPr>
            <w:tcW w:w="734" w:type="pct"/>
            <w:tcBorders>
              <w:top w:val="single" w:sz="4" w:space="0" w:color="auto"/>
              <w:bottom w:val="single" w:sz="4" w:space="0" w:color="auto"/>
            </w:tcBorders>
            <w:shd w:val="clear" w:color="auto" w:fill="D9D9D9" w:themeFill="background1" w:themeFillShade="D9"/>
            <w:vAlign w:val="center"/>
          </w:tcPr>
          <w:p w14:paraId="3BC0B6F5" w14:textId="77777777" w:rsidR="008906C4" w:rsidRPr="007621E8" w:rsidRDefault="008906C4" w:rsidP="0045436B">
            <w:pPr>
              <w:spacing w:line="360" w:lineRule="auto"/>
              <w:rPr>
                <w:rFonts w:ascii="Arial" w:hAnsi="Arial" w:cs="Arial"/>
                <w:b/>
                <w:i/>
                <w:color w:val="000000" w:themeColor="text1"/>
                <w:sz w:val="18"/>
                <w:szCs w:val="18"/>
                <w:lang w:val="en-GB"/>
              </w:rPr>
            </w:pPr>
            <w:r w:rsidRPr="007621E8">
              <w:rPr>
                <w:rFonts w:ascii="Arial" w:hAnsi="Arial" w:cs="Arial"/>
                <w:b/>
                <w:i/>
                <w:color w:val="000000" w:themeColor="text1"/>
                <w:sz w:val="18"/>
                <w:szCs w:val="18"/>
                <w:lang w:val="en-GB"/>
              </w:rPr>
              <w:t>Area</w:t>
            </w:r>
          </w:p>
        </w:tc>
        <w:tc>
          <w:tcPr>
            <w:tcW w:w="592" w:type="pct"/>
            <w:tcBorders>
              <w:top w:val="single" w:sz="4" w:space="0" w:color="auto"/>
              <w:bottom w:val="single" w:sz="4" w:space="0" w:color="auto"/>
            </w:tcBorders>
            <w:shd w:val="clear" w:color="auto" w:fill="D9D9D9" w:themeFill="background1" w:themeFillShade="D9"/>
            <w:vAlign w:val="center"/>
          </w:tcPr>
          <w:p w14:paraId="6B37AA7F" w14:textId="77777777" w:rsidR="008906C4" w:rsidRPr="007621E8" w:rsidRDefault="008906C4" w:rsidP="0045436B">
            <w:pPr>
              <w:spacing w:line="360" w:lineRule="auto"/>
              <w:rPr>
                <w:rFonts w:ascii="Arial" w:hAnsi="Arial" w:cs="Arial"/>
                <w:b/>
                <w:i/>
                <w:color w:val="000000" w:themeColor="text1"/>
                <w:sz w:val="18"/>
                <w:szCs w:val="18"/>
                <w:lang w:val="en-GB"/>
              </w:rPr>
            </w:pPr>
            <w:proofErr w:type="spellStart"/>
            <w:r w:rsidRPr="007621E8">
              <w:rPr>
                <w:rFonts w:ascii="Arial" w:hAnsi="Arial" w:cs="Arial"/>
                <w:b/>
                <w:i/>
                <w:color w:val="000000" w:themeColor="text1"/>
                <w:sz w:val="18"/>
                <w:szCs w:val="18"/>
                <w:lang w:val="en-GB"/>
              </w:rPr>
              <w:t>Center</w:t>
            </w:r>
            <w:proofErr w:type="spellEnd"/>
          </w:p>
        </w:tc>
        <w:tc>
          <w:tcPr>
            <w:tcW w:w="529" w:type="pct"/>
            <w:tcBorders>
              <w:top w:val="single" w:sz="4" w:space="0" w:color="auto"/>
              <w:bottom w:val="single" w:sz="4" w:space="0" w:color="auto"/>
            </w:tcBorders>
            <w:shd w:val="clear" w:color="auto" w:fill="D9D9D9" w:themeFill="background1" w:themeFillShade="D9"/>
            <w:vAlign w:val="center"/>
          </w:tcPr>
          <w:p w14:paraId="5194ADA4" w14:textId="77777777" w:rsidR="008906C4" w:rsidRPr="007621E8" w:rsidRDefault="008906C4" w:rsidP="0045436B">
            <w:pPr>
              <w:spacing w:line="360" w:lineRule="auto"/>
              <w:rPr>
                <w:rFonts w:ascii="Arial" w:hAnsi="Arial" w:cs="Arial"/>
                <w:b/>
                <w:i/>
                <w:color w:val="000000" w:themeColor="text1"/>
                <w:sz w:val="18"/>
                <w:szCs w:val="18"/>
                <w:lang w:val="en-GB"/>
              </w:rPr>
            </w:pPr>
            <w:r w:rsidRPr="007621E8">
              <w:rPr>
                <w:rFonts w:ascii="Arial" w:hAnsi="Arial" w:cs="Arial"/>
                <w:b/>
                <w:i/>
                <w:color w:val="000000" w:themeColor="text1"/>
                <w:sz w:val="18"/>
                <w:szCs w:val="18"/>
                <w:lang w:val="en-GB"/>
              </w:rPr>
              <w:t>FWHM</w:t>
            </w:r>
          </w:p>
        </w:tc>
        <w:tc>
          <w:tcPr>
            <w:tcW w:w="475" w:type="pct"/>
            <w:tcBorders>
              <w:top w:val="single" w:sz="4" w:space="0" w:color="auto"/>
              <w:bottom w:val="single" w:sz="4" w:space="0" w:color="auto"/>
            </w:tcBorders>
            <w:shd w:val="clear" w:color="auto" w:fill="D9D9D9" w:themeFill="background1" w:themeFillShade="D9"/>
            <w:vAlign w:val="center"/>
          </w:tcPr>
          <w:p w14:paraId="4FD64ECF" w14:textId="77777777" w:rsidR="008906C4" w:rsidRPr="007621E8" w:rsidRDefault="008906C4" w:rsidP="0045436B">
            <w:pPr>
              <w:spacing w:line="360" w:lineRule="auto"/>
              <w:rPr>
                <w:rFonts w:ascii="Arial" w:hAnsi="Arial" w:cs="Arial"/>
                <w:b/>
                <w:i/>
                <w:color w:val="000000" w:themeColor="text1"/>
                <w:sz w:val="18"/>
                <w:szCs w:val="18"/>
                <w:lang w:val="en-GB"/>
              </w:rPr>
            </w:pPr>
            <w:r w:rsidRPr="007621E8">
              <w:rPr>
                <w:rFonts w:ascii="Arial" w:hAnsi="Arial" w:cs="Arial"/>
                <w:b/>
                <w:i/>
                <w:color w:val="000000" w:themeColor="text1"/>
                <w:sz w:val="18"/>
                <w:szCs w:val="18"/>
                <w:lang w:val="en-GB"/>
              </w:rPr>
              <w:t>DF</w:t>
            </w:r>
          </w:p>
        </w:tc>
        <w:tc>
          <w:tcPr>
            <w:tcW w:w="475" w:type="pct"/>
            <w:tcBorders>
              <w:top w:val="single" w:sz="4" w:space="0" w:color="auto"/>
              <w:bottom w:val="single" w:sz="4" w:space="0" w:color="auto"/>
            </w:tcBorders>
            <w:shd w:val="clear" w:color="auto" w:fill="D9D9D9" w:themeFill="background1" w:themeFillShade="D9"/>
            <w:vAlign w:val="center"/>
          </w:tcPr>
          <w:p w14:paraId="6B9A3A0E" w14:textId="77777777" w:rsidR="008906C4" w:rsidRPr="007621E8" w:rsidRDefault="008906C4" w:rsidP="0045436B">
            <w:pPr>
              <w:spacing w:line="360" w:lineRule="auto"/>
              <w:rPr>
                <w:rFonts w:ascii="Arial" w:hAnsi="Arial" w:cs="Arial"/>
                <w:b/>
                <w:i/>
                <w:color w:val="000000" w:themeColor="text1"/>
                <w:sz w:val="18"/>
                <w:szCs w:val="18"/>
                <w:lang w:val="en-GB"/>
              </w:rPr>
            </w:pPr>
            <w:r w:rsidRPr="007621E8">
              <w:rPr>
                <w:rFonts w:ascii="Arial" w:hAnsi="Arial" w:cs="Arial"/>
                <w:b/>
                <w:i/>
                <w:color w:val="000000" w:themeColor="text1"/>
                <w:sz w:val="18"/>
                <w:szCs w:val="18"/>
                <w:lang w:val="en-GB"/>
              </w:rPr>
              <w:t>R</w:t>
            </w:r>
            <w:r w:rsidRPr="007621E8">
              <w:rPr>
                <w:rFonts w:ascii="Arial" w:hAnsi="Arial" w:cs="Arial"/>
                <w:b/>
                <w:i/>
                <w:color w:val="000000" w:themeColor="text1"/>
                <w:sz w:val="18"/>
                <w:szCs w:val="18"/>
                <w:vertAlign w:val="superscript"/>
                <w:lang w:val="en-GB"/>
              </w:rPr>
              <w:t>2</w:t>
            </w:r>
          </w:p>
        </w:tc>
        <w:tc>
          <w:tcPr>
            <w:tcW w:w="876" w:type="pct"/>
            <w:tcBorders>
              <w:top w:val="single" w:sz="4" w:space="0" w:color="auto"/>
              <w:bottom w:val="single" w:sz="4" w:space="0" w:color="auto"/>
            </w:tcBorders>
            <w:shd w:val="clear" w:color="auto" w:fill="D9D9D9" w:themeFill="background1" w:themeFillShade="D9"/>
            <w:vAlign w:val="center"/>
          </w:tcPr>
          <w:p w14:paraId="16B229A5" w14:textId="77777777" w:rsidR="008906C4" w:rsidRPr="007621E8" w:rsidRDefault="008906C4" w:rsidP="0045436B">
            <w:pPr>
              <w:spacing w:line="360" w:lineRule="auto"/>
              <w:rPr>
                <w:rFonts w:ascii="Arial" w:hAnsi="Arial" w:cs="Arial"/>
                <w:b/>
                <w:i/>
                <w:color w:val="000000" w:themeColor="text1"/>
                <w:sz w:val="18"/>
                <w:szCs w:val="18"/>
                <w:lang w:val="en-GB"/>
              </w:rPr>
            </w:pPr>
            <w:r w:rsidRPr="007621E8">
              <w:rPr>
                <w:rFonts w:ascii="Arial" w:hAnsi="Arial" w:cs="Arial"/>
                <w:b/>
                <w:i/>
                <w:color w:val="000000" w:themeColor="text1"/>
                <w:sz w:val="18"/>
                <w:szCs w:val="18"/>
                <w:lang w:val="en-GB"/>
              </w:rPr>
              <w:t>RCS</w:t>
            </w:r>
          </w:p>
        </w:tc>
        <w:tc>
          <w:tcPr>
            <w:tcW w:w="714" w:type="pct"/>
            <w:tcBorders>
              <w:top w:val="single" w:sz="4" w:space="0" w:color="auto"/>
              <w:bottom w:val="single" w:sz="4" w:space="0" w:color="auto"/>
            </w:tcBorders>
            <w:shd w:val="clear" w:color="auto" w:fill="D9D9D9" w:themeFill="background1" w:themeFillShade="D9"/>
            <w:vAlign w:val="center"/>
          </w:tcPr>
          <w:p w14:paraId="4BF44A79" w14:textId="77777777" w:rsidR="008906C4" w:rsidRPr="007621E8" w:rsidRDefault="008906C4" w:rsidP="0045436B">
            <w:pPr>
              <w:spacing w:line="360" w:lineRule="auto"/>
              <w:rPr>
                <w:rFonts w:ascii="Arial" w:hAnsi="Arial" w:cs="Arial"/>
                <w:b/>
                <w:i/>
                <w:color w:val="000000" w:themeColor="text1"/>
                <w:sz w:val="18"/>
                <w:szCs w:val="18"/>
                <w:lang w:val="en-GB"/>
              </w:rPr>
            </w:pPr>
            <w:r w:rsidRPr="007621E8">
              <w:rPr>
                <w:rFonts w:ascii="Arial" w:hAnsi="Arial" w:cs="Arial"/>
                <w:b/>
                <w:i/>
                <w:color w:val="000000" w:themeColor="text1"/>
                <w:sz w:val="18"/>
                <w:szCs w:val="18"/>
                <w:lang w:val="en-GB"/>
              </w:rPr>
              <w:t>A-R</w:t>
            </w:r>
            <w:r w:rsidRPr="007621E8">
              <w:rPr>
                <w:rFonts w:ascii="Arial" w:hAnsi="Arial" w:cs="Arial"/>
                <w:b/>
                <w:i/>
                <w:color w:val="000000" w:themeColor="text1"/>
                <w:sz w:val="18"/>
                <w:szCs w:val="18"/>
                <w:vertAlign w:val="superscript"/>
                <w:lang w:val="en-GB"/>
              </w:rPr>
              <w:t>2</w:t>
            </w:r>
          </w:p>
        </w:tc>
      </w:tr>
      <w:tr w:rsidR="008906C4" w:rsidRPr="007621E8" w14:paraId="6A697BFE" w14:textId="77777777" w:rsidTr="0045436B">
        <w:tc>
          <w:tcPr>
            <w:tcW w:w="606" w:type="pct"/>
            <w:tcBorders>
              <w:top w:val="single" w:sz="4" w:space="0" w:color="auto"/>
            </w:tcBorders>
            <w:vAlign w:val="center"/>
          </w:tcPr>
          <w:p w14:paraId="452F697A"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Band 1</w:t>
            </w:r>
          </w:p>
        </w:tc>
        <w:tc>
          <w:tcPr>
            <w:tcW w:w="734" w:type="pct"/>
            <w:tcBorders>
              <w:top w:val="single" w:sz="4" w:space="0" w:color="auto"/>
            </w:tcBorders>
            <w:vAlign w:val="center"/>
          </w:tcPr>
          <w:p w14:paraId="46EE3A46"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69167.71</w:t>
            </w:r>
          </w:p>
        </w:tc>
        <w:tc>
          <w:tcPr>
            <w:tcW w:w="592" w:type="pct"/>
            <w:tcBorders>
              <w:top w:val="single" w:sz="4" w:space="0" w:color="auto"/>
            </w:tcBorders>
            <w:vAlign w:val="center"/>
          </w:tcPr>
          <w:p w14:paraId="3C3E57D0"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940.85</w:t>
            </w:r>
          </w:p>
        </w:tc>
        <w:tc>
          <w:tcPr>
            <w:tcW w:w="529" w:type="pct"/>
            <w:tcBorders>
              <w:top w:val="single" w:sz="4" w:space="0" w:color="auto"/>
            </w:tcBorders>
            <w:vAlign w:val="center"/>
          </w:tcPr>
          <w:p w14:paraId="3EBB8BDF"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83.82</w:t>
            </w:r>
          </w:p>
        </w:tc>
        <w:tc>
          <w:tcPr>
            <w:tcW w:w="475" w:type="pct"/>
            <w:vMerge w:val="restart"/>
            <w:tcBorders>
              <w:top w:val="single" w:sz="4" w:space="0" w:color="auto"/>
            </w:tcBorders>
            <w:vAlign w:val="center"/>
          </w:tcPr>
          <w:p w14:paraId="3BF1C487"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658</w:t>
            </w:r>
          </w:p>
        </w:tc>
        <w:tc>
          <w:tcPr>
            <w:tcW w:w="475" w:type="pct"/>
            <w:vMerge w:val="restart"/>
            <w:tcBorders>
              <w:top w:val="single" w:sz="4" w:space="0" w:color="auto"/>
            </w:tcBorders>
            <w:vAlign w:val="center"/>
          </w:tcPr>
          <w:p w14:paraId="450D32B4"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0.9852</w:t>
            </w:r>
          </w:p>
        </w:tc>
        <w:tc>
          <w:tcPr>
            <w:tcW w:w="876" w:type="pct"/>
            <w:vMerge w:val="restart"/>
            <w:tcBorders>
              <w:top w:val="single" w:sz="4" w:space="0" w:color="auto"/>
            </w:tcBorders>
            <w:vAlign w:val="center"/>
          </w:tcPr>
          <w:p w14:paraId="265EFE0E"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69206.60921</w:t>
            </w:r>
          </w:p>
        </w:tc>
        <w:tc>
          <w:tcPr>
            <w:tcW w:w="714" w:type="pct"/>
            <w:vMerge w:val="restart"/>
            <w:tcBorders>
              <w:top w:val="single" w:sz="4" w:space="0" w:color="auto"/>
            </w:tcBorders>
            <w:vAlign w:val="center"/>
          </w:tcPr>
          <w:p w14:paraId="254530AF"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0.9847</w:t>
            </w:r>
          </w:p>
        </w:tc>
      </w:tr>
      <w:tr w:rsidR="008906C4" w:rsidRPr="007621E8" w14:paraId="227776A5" w14:textId="77777777" w:rsidTr="0045436B">
        <w:tc>
          <w:tcPr>
            <w:tcW w:w="606" w:type="pct"/>
            <w:vAlign w:val="center"/>
          </w:tcPr>
          <w:p w14:paraId="6BC6B7FB"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Band 2</w:t>
            </w:r>
          </w:p>
        </w:tc>
        <w:tc>
          <w:tcPr>
            <w:tcW w:w="734" w:type="pct"/>
            <w:vAlign w:val="center"/>
          </w:tcPr>
          <w:p w14:paraId="418D09ED"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223739.21</w:t>
            </w:r>
          </w:p>
        </w:tc>
        <w:tc>
          <w:tcPr>
            <w:tcW w:w="592" w:type="pct"/>
            <w:vAlign w:val="center"/>
          </w:tcPr>
          <w:p w14:paraId="5AC298BF"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1140.59</w:t>
            </w:r>
          </w:p>
        </w:tc>
        <w:tc>
          <w:tcPr>
            <w:tcW w:w="529" w:type="pct"/>
            <w:vAlign w:val="center"/>
          </w:tcPr>
          <w:p w14:paraId="766AB472"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193.61</w:t>
            </w:r>
          </w:p>
        </w:tc>
        <w:tc>
          <w:tcPr>
            <w:tcW w:w="475" w:type="pct"/>
            <w:vMerge/>
            <w:vAlign w:val="center"/>
          </w:tcPr>
          <w:p w14:paraId="76996A2E" w14:textId="77777777" w:rsidR="008906C4" w:rsidRPr="007621E8" w:rsidRDefault="008906C4" w:rsidP="0045436B">
            <w:pPr>
              <w:spacing w:line="360" w:lineRule="auto"/>
              <w:rPr>
                <w:rFonts w:ascii="Arial" w:hAnsi="Arial" w:cs="Arial"/>
                <w:color w:val="000000" w:themeColor="text1"/>
                <w:sz w:val="18"/>
                <w:szCs w:val="18"/>
                <w:lang w:val="en-GB"/>
              </w:rPr>
            </w:pPr>
          </w:p>
        </w:tc>
        <w:tc>
          <w:tcPr>
            <w:tcW w:w="475" w:type="pct"/>
            <w:vMerge/>
            <w:vAlign w:val="center"/>
          </w:tcPr>
          <w:p w14:paraId="768B4EC9" w14:textId="77777777" w:rsidR="008906C4" w:rsidRPr="007621E8" w:rsidRDefault="008906C4" w:rsidP="0045436B">
            <w:pPr>
              <w:spacing w:line="360" w:lineRule="auto"/>
              <w:rPr>
                <w:rFonts w:ascii="Arial" w:hAnsi="Arial" w:cs="Arial"/>
                <w:color w:val="000000" w:themeColor="text1"/>
                <w:sz w:val="18"/>
                <w:szCs w:val="18"/>
                <w:lang w:val="en-GB"/>
              </w:rPr>
            </w:pPr>
          </w:p>
        </w:tc>
        <w:tc>
          <w:tcPr>
            <w:tcW w:w="876" w:type="pct"/>
            <w:vMerge/>
            <w:vAlign w:val="center"/>
          </w:tcPr>
          <w:p w14:paraId="595A5A65" w14:textId="77777777" w:rsidR="008906C4" w:rsidRPr="007621E8" w:rsidRDefault="008906C4" w:rsidP="0045436B">
            <w:pPr>
              <w:spacing w:line="360" w:lineRule="auto"/>
              <w:rPr>
                <w:rFonts w:ascii="Arial" w:hAnsi="Arial" w:cs="Arial"/>
                <w:color w:val="000000" w:themeColor="text1"/>
                <w:sz w:val="18"/>
                <w:szCs w:val="18"/>
                <w:lang w:val="en-GB"/>
              </w:rPr>
            </w:pPr>
          </w:p>
        </w:tc>
        <w:tc>
          <w:tcPr>
            <w:tcW w:w="714" w:type="pct"/>
            <w:vMerge/>
            <w:vAlign w:val="center"/>
          </w:tcPr>
          <w:p w14:paraId="7A4ACBC0" w14:textId="77777777" w:rsidR="008906C4" w:rsidRPr="007621E8" w:rsidRDefault="008906C4" w:rsidP="0045436B">
            <w:pPr>
              <w:spacing w:line="360" w:lineRule="auto"/>
              <w:rPr>
                <w:rFonts w:ascii="Arial" w:hAnsi="Arial" w:cs="Arial"/>
                <w:color w:val="000000" w:themeColor="text1"/>
                <w:sz w:val="18"/>
                <w:szCs w:val="18"/>
                <w:lang w:val="en-GB"/>
              </w:rPr>
            </w:pPr>
          </w:p>
        </w:tc>
      </w:tr>
      <w:tr w:rsidR="008906C4" w:rsidRPr="007621E8" w14:paraId="79E99103" w14:textId="77777777" w:rsidTr="0045436B">
        <w:tc>
          <w:tcPr>
            <w:tcW w:w="606" w:type="pct"/>
            <w:vAlign w:val="center"/>
          </w:tcPr>
          <w:p w14:paraId="5C0F4F03"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Band 3</w:t>
            </w:r>
          </w:p>
        </w:tc>
        <w:tc>
          <w:tcPr>
            <w:tcW w:w="734" w:type="pct"/>
            <w:vAlign w:val="center"/>
          </w:tcPr>
          <w:p w14:paraId="52571356"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398184.71</w:t>
            </w:r>
          </w:p>
        </w:tc>
        <w:tc>
          <w:tcPr>
            <w:tcW w:w="592" w:type="pct"/>
            <w:vAlign w:val="center"/>
          </w:tcPr>
          <w:p w14:paraId="718D9DA2"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1327.88</w:t>
            </w:r>
          </w:p>
        </w:tc>
        <w:tc>
          <w:tcPr>
            <w:tcW w:w="529" w:type="pct"/>
            <w:vAlign w:val="center"/>
          </w:tcPr>
          <w:p w14:paraId="60E5566C"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80.02</w:t>
            </w:r>
          </w:p>
        </w:tc>
        <w:tc>
          <w:tcPr>
            <w:tcW w:w="475" w:type="pct"/>
            <w:vMerge/>
            <w:vAlign w:val="center"/>
          </w:tcPr>
          <w:p w14:paraId="59314FC4" w14:textId="77777777" w:rsidR="008906C4" w:rsidRPr="007621E8" w:rsidRDefault="008906C4" w:rsidP="0045436B">
            <w:pPr>
              <w:spacing w:line="360" w:lineRule="auto"/>
              <w:rPr>
                <w:rFonts w:ascii="Arial" w:hAnsi="Arial" w:cs="Arial"/>
                <w:color w:val="000000" w:themeColor="text1"/>
                <w:sz w:val="18"/>
                <w:szCs w:val="18"/>
                <w:lang w:val="en-GB"/>
              </w:rPr>
            </w:pPr>
          </w:p>
        </w:tc>
        <w:tc>
          <w:tcPr>
            <w:tcW w:w="475" w:type="pct"/>
            <w:vMerge/>
            <w:vAlign w:val="center"/>
          </w:tcPr>
          <w:p w14:paraId="53CDE692" w14:textId="77777777" w:rsidR="008906C4" w:rsidRPr="007621E8" w:rsidRDefault="008906C4" w:rsidP="0045436B">
            <w:pPr>
              <w:spacing w:line="360" w:lineRule="auto"/>
              <w:rPr>
                <w:rFonts w:ascii="Arial" w:hAnsi="Arial" w:cs="Arial"/>
                <w:color w:val="000000" w:themeColor="text1"/>
                <w:sz w:val="18"/>
                <w:szCs w:val="18"/>
                <w:lang w:val="en-GB"/>
              </w:rPr>
            </w:pPr>
          </w:p>
        </w:tc>
        <w:tc>
          <w:tcPr>
            <w:tcW w:w="876" w:type="pct"/>
            <w:vMerge/>
            <w:vAlign w:val="center"/>
          </w:tcPr>
          <w:p w14:paraId="1D135D1C" w14:textId="77777777" w:rsidR="008906C4" w:rsidRPr="007621E8" w:rsidRDefault="008906C4" w:rsidP="0045436B">
            <w:pPr>
              <w:spacing w:line="360" w:lineRule="auto"/>
              <w:rPr>
                <w:rFonts w:ascii="Arial" w:hAnsi="Arial" w:cs="Arial"/>
                <w:color w:val="000000" w:themeColor="text1"/>
                <w:sz w:val="18"/>
                <w:szCs w:val="18"/>
                <w:lang w:val="en-GB"/>
              </w:rPr>
            </w:pPr>
          </w:p>
        </w:tc>
        <w:tc>
          <w:tcPr>
            <w:tcW w:w="714" w:type="pct"/>
            <w:vMerge/>
            <w:vAlign w:val="center"/>
          </w:tcPr>
          <w:p w14:paraId="0AE7CE7F" w14:textId="77777777" w:rsidR="008906C4" w:rsidRPr="007621E8" w:rsidRDefault="008906C4" w:rsidP="0045436B">
            <w:pPr>
              <w:spacing w:line="360" w:lineRule="auto"/>
              <w:rPr>
                <w:rFonts w:ascii="Arial" w:hAnsi="Arial" w:cs="Arial"/>
                <w:color w:val="000000" w:themeColor="text1"/>
                <w:sz w:val="18"/>
                <w:szCs w:val="18"/>
                <w:lang w:val="en-GB"/>
              </w:rPr>
            </w:pPr>
          </w:p>
        </w:tc>
      </w:tr>
      <w:tr w:rsidR="008906C4" w:rsidRPr="007621E8" w14:paraId="0C71702F" w14:textId="77777777" w:rsidTr="0045436B">
        <w:tc>
          <w:tcPr>
            <w:tcW w:w="606" w:type="pct"/>
            <w:vAlign w:val="center"/>
          </w:tcPr>
          <w:p w14:paraId="106D06BF"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Band 4</w:t>
            </w:r>
          </w:p>
        </w:tc>
        <w:tc>
          <w:tcPr>
            <w:tcW w:w="734" w:type="pct"/>
            <w:vAlign w:val="center"/>
          </w:tcPr>
          <w:p w14:paraId="41A87B2B"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526396.02</w:t>
            </w:r>
          </w:p>
        </w:tc>
        <w:tc>
          <w:tcPr>
            <w:tcW w:w="592" w:type="pct"/>
            <w:vAlign w:val="center"/>
          </w:tcPr>
          <w:p w14:paraId="7789F9C8"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1407.33</w:t>
            </w:r>
          </w:p>
        </w:tc>
        <w:tc>
          <w:tcPr>
            <w:tcW w:w="529" w:type="pct"/>
            <w:vAlign w:val="center"/>
          </w:tcPr>
          <w:p w14:paraId="034073B5"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227.12</w:t>
            </w:r>
          </w:p>
        </w:tc>
        <w:tc>
          <w:tcPr>
            <w:tcW w:w="475" w:type="pct"/>
            <w:vMerge/>
            <w:vAlign w:val="center"/>
          </w:tcPr>
          <w:p w14:paraId="5AA39894" w14:textId="77777777" w:rsidR="008906C4" w:rsidRPr="007621E8" w:rsidRDefault="008906C4" w:rsidP="0045436B">
            <w:pPr>
              <w:spacing w:line="360" w:lineRule="auto"/>
              <w:rPr>
                <w:rFonts w:ascii="Arial" w:hAnsi="Arial" w:cs="Arial"/>
                <w:color w:val="000000" w:themeColor="text1"/>
                <w:sz w:val="18"/>
                <w:szCs w:val="18"/>
                <w:lang w:val="en-GB"/>
              </w:rPr>
            </w:pPr>
          </w:p>
        </w:tc>
        <w:tc>
          <w:tcPr>
            <w:tcW w:w="475" w:type="pct"/>
            <w:vMerge/>
            <w:vAlign w:val="center"/>
          </w:tcPr>
          <w:p w14:paraId="51215DF4" w14:textId="77777777" w:rsidR="008906C4" w:rsidRPr="007621E8" w:rsidRDefault="008906C4" w:rsidP="0045436B">
            <w:pPr>
              <w:spacing w:line="360" w:lineRule="auto"/>
              <w:rPr>
                <w:rFonts w:ascii="Arial" w:hAnsi="Arial" w:cs="Arial"/>
                <w:color w:val="000000" w:themeColor="text1"/>
                <w:sz w:val="18"/>
                <w:szCs w:val="18"/>
                <w:lang w:val="en-GB"/>
              </w:rPr>
            </w:pPr>
          </w:p>
        </w:tc>
        <w:tc>
          <w:tcPr>
            <w:tcW w:w="876" w:type="pct"/>
            <w:vMerge/>
            <w:vAlign w:val="center"/>
          </w:tcPr>
          <w:p w14:paraId="081E319C" w14:textId="77777777" w:rsidR="008906C4" w:rsidRPr="007621E8" w:rsidRDefault="008906C4" w:rsidP="0045436B">
            <w:pPr>
              <w:spacing w:line="360" w:lineRule="auto"/>
              <w:rPr>
                <w:rFonts w:ascii="Arial" w:hAnsi="Arial" w:cs="Arial"/>
                <w:color w:val="000000" w:themeColor="text1"/>
                <w:sz w:val="18"/>
                <w:szCs w:val="18"/>
                <w:lang w:val="en-GB"/>
              </w:rPr>
            </w:pPr>
          </w:p>
        </w:tc>
        <w:tc>
          <w:tcPr>
            <w:tcW w:w="714" w:type="pct"/>
            <w:vMerge/>
            <w:vAlign w:val="center"/>
          </w:tcPr>
          <w:p w14:paraId="0961EA98" w14:textId="77777777" w:rsidR="008906C4" w:rsidRPr="007621E8" w:rsidRDefault="008906C4" w:rsidP="0045436B">
            <w:pPr>
              <w:spacing w:line="360" w:lineRule="auto"/>
              <w:rPr>
                <w:rFonts w:ascii="Arial" w:hAnsi="Arial" w:cs="Arial"/>
                <w:color w:val="000000" w:themeColor="text1"/>
                <w:sz w:val="18"/>
                <w:szCs w:val="18"/>
                <w:lang w:val="en-GB"/>
              </w:rPr>
            </w:pPr>
          </w:p>
        </w:tc>
      </w:tr>
      <w:tr w:rsidR="008906C4" w:rsidRPr="007621E8" w14:paraId="00E5476A" w14:textId="77777777" w:rsidTr="0045436B">
        <w:tc>
          <w:tcPr>
            <w:tcW w:w="606" w:type="pct"/>
            <w:vAlign w:val="center"/>
          </w:tcPr>
          <w:p w14:paraId="76E97FEE"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Band 5</w:t>
            </w:r>
          </w:p>
        </w:tc>
        <w:tc>
          <w:tcPr>
            <w:tcW w:w="734" w:type="pct"/>
            <w:vAlign w:val="center"/>
          </w:tcPr>
          <w:p w14:paraId="76DDCAE3"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866003.25</w:t>
            </w:r>
          </w:p>
        </w:tc>
        <w:tc>
          <w:tcPr>
            <w:tcW w:w="592" w:type="pct"/>
            <w:vAlign w:val="center"/>
          </w:tcPr>
          <w:p w14:paraId="35BD695E"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1573.35</w:t>
            </w:r>
          </w:p>
        </w:tc>
        <w:tc>
          <w:tcPr>
            <w:tcW w:w="529" w:type="pct"/>
            <w:vAlign w:val="center"/>
          </w:tcPr>
          <w:p w14:paraId="3E7FFB36"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112.53</w:t>
            </w:r>
          </w:p>
        </w:tc>
        <w:tc>
          <w:tcPr>
            <w:tcW w:w="475" w:type="pct"/>
            <w:vMerge/>
            <w:vAlign w:val="center"/>
          </w:tcPr>
          <w:p w14:paraId="4ED52C12" w14:textId="77777777" w:rsidR="008906C4" w:rsidRPr="007621E8" w:rsidRDefault="008906C4" w:rsidP="0045436B">
            <w:pPr>
              <w:spacing w:line="360" w:lineRule="auto"/>
              <w:rPr>
                <w:rFonts w:ascii="Arial" w:hAnsi="Arial" w:cs="Arial"/>
                <w:color w:val="000000" w:themeColor="text1"/>
                <w:sz w:val="18"/>
                <w:szCs w:val="18"/>
                <w:lang w:val="en-GB"/>
              </w:rPr>
            </w:pPr>
          </w:p>
        </w:tc>
        <w:tc>
          <w:tcPr>
            <w:tcW w:w="475" w:type="pct"/>
            <w:vMerge/>
            <w:vAlign w:val="center"/>
          </w:tcPr>
          <w:p w14:paraId="63088621" w14:textId="77777777" w:rsidR="008906C4" w:rsidRPr="007621E8" w:rsidRDefault="008906C4" w:rsidP="0045436B">
            <w:pPr>
              <w:spacing w:line="360" w:lineRule="auto"/>
              <w:rPr>
                <w:rFonts w:ascii="Arial" w:hAnsi="Arial" w:cs="Arial"/>
                <w:color w:val="000000" w:themeColor="text1"/>
                <w:sz w:val="18"/>
                <w:szCs w:val="18"/>
                <w:lang w:val="en-GB"/>
              </w:rPr>
            </w:pPr>
          </w:p>
        </w:tc>
        <w:tc>
          <w:tcPr>
            <w:tcW w:w="876" w:type="pct"/>
            <w:vMerge/>
            <w:vAlign w:val="center"/>
          </w:tcPr>
          <w:p w14:paraId="590E86CA" w14:textId="77777777" w:rsidR="008906C4" w:rsidRPr="007621E8" w:rsidRDefault="008906C4" w:rsidP="0045436B">
            <w:pPr>
              <w:spacing w:line="360" w:lineRule="auto"/>
              <w:rPr>
                <w:rFonts w:ascii="Arial" w:hAnsi="Arial" w:cs="Arial"/>
                <w:color w:val="000000" w:themeColor="text1"/>
                <w:sz w:val="18"/>
                <w:szCs w:val="18"/>
                <w:lang w:val="en-GB"/>
              </w:rPr>
            </w:pPr>
          </w:p>
        </w:tc>
        <w:tc>
          <w:tcPr>
            <w:tcW w:w="714" w:type="pct"/>
            <w:vMerge/>
            <w:vAlign w:val="center"/>
          </w:tcPr>
          <w:p w14:paraId="1D55D551" w14:textId="77777777" w:rsidR="008906C4" w:rsidRPr="007621E8" w:rsidRDefault="008906C4" w:rsidP="0045436B">
            <w:pPr>
              <w:spacing w:line="360" w:lineRule="auto"/>
              <w:rPr>
                <w:rFonts w:ascii="Arial" w:hAnsi="Arial" w:cs="Arial"/>
                <w:color w:val="000000" w:themeColor="text1"/>
                <w:sz w:val="18"/>
                <w:szCs w:val="18"/>
                <w:lang w:val="en-GB"/>
              </w:rPr>
            </w:pPr>
          </w:p>
        </w:tc>
      </w:tr>
      <w:tr w:rsidR="008906C4" w:rsidRPr="007621E8" w14:paraId="3DE0CDC1" w14:textId="77777777" w:rsidTr="0045436B">
        <w:tc>
          <w:tcPr>
            <w:tcW w:w="606" w:type="pct"/>
            <w:vAlign w:val="center"/>
          </w:tcPr>
          <w:p w14:paraId="76F16FD1"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Band 6</w:t>
            </w:r>
          </w:p>
        </w:tc>
        <w:tc>
          <w:tcPr>
            <w:tcW w:w="734" w:type="pct"/>
            <w:vAlign w:val="center"/>
          </w:tcPr>
          <w:p w14:paraId="275B9B9D"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8592.32</w:t>
            </w:r>
          </w:p>
        </w:tc>
        <w:tc>
          <w:tcPr>
            <w:tcW w:w="592" w:type="pct"/>
            <w:vAlign w:val="center"/>
          </w:tcPr>
          <w:p w14:paraId="006DB0A1"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1693.57</w:t>
            </w:r>
          </w:p>
        </w:tc>
        <w:tc>
          <w:tcPr>
            <w:tcW w:w="529" w:type="pct"/>
            <w:vAlign w:val="center"/>
          </w:tcPr>
          <w:p w14:paraId="0B1DB4C2"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15.58</w:t>
            </w:r>
          </w:p>
        </w:tc>
        <w:tc>
          <w:tcPr>
            <w:tcW w:w="475" w:type="pct"/>
            <w:vMerge/>
            <w:vAlign w:val="center"/>
          </w:tcPr>
          <w:p w14:paraId="0DAC26A9" w14:textId="77777777" w:rsidR="008906C4" w:rsidRPr="007621E8" w:rsidRDefault="008906C4" w:rsidP="0045436B">
            <w:pPr>
              <w:spacing w:line="360" w:lineRule="auto"/>
              <w:rPr>
                <w:rFonts w:ascii="Arial" w:hAnsi="Arial" w:cs="Arial"/>
                <w:color w:val="000000" w:themeColor="text1"/>
                <w:sz w:val="18"/>
                <w:szCs w:val="18"/>
                <w:lang w:val="en-GB"/>
              </w:rPr>
            </w:pPr>
          </w:p>
        </w:tc>
        <w:tc>
          <w:tcPr>
            <w:tcW w:w="475" w:type="pct"/>
            <w:vMerge/>
            <w:vAlign w:val="center"/>
          </w:tcPr>
          <w:p w14:paraId="2053D882" w14:textId="77777777" w:rsidR="008906C4" w:rsidRPr="007621E8" w:rsidRDefault="008906C4" w:rsidP="0045436B">
            <w:pPr>
              <w:spacing w:line="360" w:lineRule="auto"/>
              <w:rPr>
                <w:rFonts w:ascii="Arial" w:hAnsi="Arial" w:cs="Arial"/>
                <w:color w:val="000000" w:themeColor="text1"/>
                <w:sz w:val="18"/>
                <w:szCs w:val="18"/>
                <w:lang w:val="en-GB"/>
              </w:rPr>
            </w:pPr>
          </w:p>
        </w:tc>
        <w:tc>
          <w:tcPr>
            <w:tcW w:w="876" w:type="pct"/>
            <w:vMerge/>
            <w:vAlign w:val="center"/>
          </w:tcPr>
          <w:p w14:paraId="4BA5AA69" w14:textId="77777777" w:rsidR="008906C4" w:rsidRPr="007621E8" w:rsidRDefault="008906C4" w:rsidP="0045436B">
            <w:pPr>
              <w:spacing w:line="360" w:lineRule="auto"/>
              <w:rPr>
                <w:rFonts w:ascii="Arial" w:hAnsi="Arial" w:cs="Arial"/>
                <w:color w:val="000000" w:themeColor="text1"/>
                <w:sz w:val="18"/>
                <w:szCs w:val="18"/>
                <w:lang w:val="en-GB"/>
              </w:rPr>
            </w:pPr>
          </w:p>
        </w:tc>
        <w:tc>
          <w:tcPr>
            <w:tcW w:w="714" w:type="pct"/>
            <w:vMerge/>
            <w:vAlign w:val="center"/>
          </w:tcPr>
          <w:p w14:paraId="2D8762AA" w14:textId="77777777" w:rsidR="008906C4" w:rsidRPr="007621E8" w:rsidRDefault="008906C4" w:rsidP="0045436B">
            <w:pPr>
              <w:spacing w:line="360" w:lineRule="auto"/>
              <w:rPr>
                <w:rFonts w:ascii="Arial" w:hAnsi="Arial" w:cs="Arial"/>
                <w:color w:val="000000" w:themeColor="text1"/>
                <w:sz w:val="18"/>
                <w:szCs w:val="18"/>
                <w:lang w:val="en-GB"/>
              </w:rPr>
            </w:pPr>
          </w:p>
        </w:tc>
      </w:tr>
      <w:tr w:rsidR="008906C4" w:rsidRPr="007621E8" w14:paraId="5507544C" w14:textId="77777777" w:rsidTr="0045436B">
        <w:tc>
          <w:tcPr>
            <w:tcW w:w="606" w:type="pct"/>
            <w:vAlign w:val="center"/>
          </w:tcPr>
          <w:p w14:paraId="74422F37"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Band 7</w:t>
            </w:r>
          </w:p>
        </w:tc>
        <w:tc>
          <w:tcPr>
            <w:tcW w:w="734" w:type="pct"/>
            <w:vAlign w:val="center"/>
          </w:tcPr>
          <w:p w14:paraId="2A1A4379"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278276.99</w:t>
            </w:r>
          </w:p>
        </w:tc>
        <w:tc>
          <w:tcPr>
            <w:tcW w:w="592" w:type="pct"/>
            <w:vAlign w:val="center"/>
          </w:tcPr>
          <w:p w14:paraId="4C9B416A"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1780.72</w:t>
            </w:r>
          </w:p>
        </w:tc>
        <w:tc>
          <w:tcPr>
            <w:tcW w:w="529" w:type="pct"/>
            <w:vAlign w:val="center"/>
          </w:tcPr>
          <w:p w14:paraId="7B294BC8"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352.63</w:t>
            </w:r>
          </w:p>
        </w:tc>
        <w:tc>
          <w:tcPr>
            <w:tcW w:w="475" w:type="pct"/>
            <w:vMerge/>
            <w:vAlign w:val="center"/>
          </w:tcPr>
          <w:p w14:paraId="7A4D3469" w14:textId="77777777" w:rsidR="008906C4" w:rsidRPr="007621E8" w:rsidRDefault="008906C4" w:rsidP="0045436B">
            <w:pPr>
              <w:spacing w:line="360" w:lineRule="auto"/>
              <w:rPr>
                <w:rFonts w:ascii="Arial" w:hAnsi="Arial" w:cs="Arial"/>
                <w:color w:val="000000" w:themeColor="text1"/>
                <w:sz w:val="18"/>
                <w:szCs w:val="18"/>
                <w:lang w:val="en-GB"/>
              </w:rPr>
            </w:pPr>
          </w:p>
        </w:tc>
        <w:tc>
          <w:tcPr>
            <w:tcW w:w="475" w:type="pct"/>
            <w:vMerge/>
            <w:vAlign w:val="center"/>
          </w:tcPr>
          <w:p w14:paraId="7EE08A9D" w14:textId="77777777" w:rsidR="008906C4" w:rsidRPr="007621E8" w:rsidRDefault="008906C4" w:rsidP="0045436B">
            <w:pPr>
              <w:spacing w:line="360" w:lineRule="auto"/>
              <w:rPr>
                <w:rFonts w:ascii="Arial" w:hAnsi="Arial" w:cs="Arial"/>
                <w:color w:val="000000" w:themeColor="text1"/>
                <w:sz w:val="18"/>
                <w:szCs w:val="18"/>
                <w:lang w:val="en-GB"/>
              </w:rPr>
            </w:pPr>
          </w:p>
        </w:tc>
        <w:tc>
          <w:tcPr>
            <w:tcW w:w="876" w:type="pct"/>
            <w:vMerge/>
            <w:vAlign w:val="center"/>
          </w:tcPr>
          <w:p w14:paraId="0732AD96" w14:textId="77777777" w:rsidR="008906C4" w:rsidRPr="007621E8" w:rsidRDefault="008906C4" w:rsidP="0045436B">
            <w:pPr>
              <w:spacing w:line="360" w:lineRule="auto"/>
              <w:rPr>
                <w:rFonts w:ascii="Arial" w:hAnsi="Arial" w:cs="Arial"/>
                <w:color w:val="000000" w:themeColor="text1"/>
                <w:sz w:val="18"/>
                <w:szCs w:val="18"/>
                <w:lang w:val="en-GB"/>
              </w:rPr>
            </w:pPr>
          </w:p>
        </w:tc>
        <w:tc>
          <w:tcPr>
            <w:tcW w:w="714" w:type="pct"/>
            <w:vMerge/>
            <w:vAlign w:val="center"/>
          </w:tcPr>
          <w:p w14:paraId="3E3A1368" w14:textId="77777777" w:rsidR="008906C4" w:rsidRPr="007621E8" w:rsidRDefault="008906C4" w:rsidP="0045436B">
            <w:pPr>
              <w:spacing w:line="360" w:lineRule="auto"/>
              <w:rPr>
                <w:rFonts w:ascii="Arial" w:hAnsi="Arial" w:cs="Arial"/>
                <w:color w:val="000000" w:themeColor="text1"/>
                <w:sz w:val="18"/>
                <w:szCs w:val="18"/>
                <w:lang w:val="en-GB"/>
              </w:rPr>
            </w:pPr>
          </w:p>
        </w:tc>
      </w:tr>
      <w:tr w:rsidR="008906C4" w:rsidRPr="007621E8" w14:paraId="2A26195C" w14:textId="77777777" w:rsidTr="0045436B">
        <w:tc>
          <w:tcPr>
            <w:tcW w:w="606" w:type="pct"/>
            <w:tcBorders>
              <w:bottom w:val="single" w:sz="4" w:space="0" w:color="auto"/>
            </w:tcBorders>
            <w:vAlign w:val="center"/>
          </w:tcPr>
          <w:p w14:paraId="1539C772"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Band 8</w:t>
            </w:r>
          </w:p>
        </w:tc>
        <w:tc>
          <w:tcPr>
            <w:tcW w:w="734" w:type="pct"/>
            <w:tcBorders>
              <w:bottom w:val="single" w:sz="4" w:space="0" w:color="auto"/>
            </w:tcBorders>
            <w:vAlign w:val="center"/>
          </w:tcPr>
          <w:p w14:paraId="64A5201A"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17204.12</w:t>
            </w:r>
          </w:p>
        </w:tc>
        <w:tc>
          <w:tcPr>
            <w:tcW w:w="592" w:type="pct"/>
            <w:tcBorders>
              <w:bottom w:val="single" w:sz="4" w:space="0" w:color="auto"/>
            </w:tcBorders>
            <w:vAlign w:val="center"/>
          </w:tcPr>
          <w:p w14:paraId="2DCD6E6C"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1892.48</w:t>
            </w:r>
          </w:p>
        </w:tc>
        <w:tc>
          <w:tcPr>
            <w:tcW w:w="529" w:type="pct"/>
            <w:tcBorders>
              <w:bottom w:val="single" w:sz="4" w:space="0" w:color="auto"/>
            </w:tcBorders>
            <w:vAlign w:val="center"/>
          </w:tcPr>
          <w:p w14:paraId="3D11EB11" w14:textId="77777777" w:rsidR="008906C4" w:rsidRPr="007621E8" w:rsidRDefault="008906C4" w:rsidP="0045436B">
            <w:pPr>
              <w:spacing w:line="360" w:lineRule="auto"/>
              <w:rPr>
                <w:rFonts w:ascii="Arial" w:hAnsi="Arial" w:cs="Arial"/>
                <w:color w:val="000000" w:themeColor="text1"/>
                <w:sz w:val="18"/>
                <w:szCs w:val="18"/>
                <w:lang w:val="en-GB"/>
              </w:rPr>
            </w:pPr>
            <w:r w:rsidRPr="007621E8">
              <w:rPr>
                <w:rFonts w:ascii="Arial" w:hAnsi="Arial" w:cs="Arial"/>
                <w:color w:val="000000" w:themeColor="text1"/>
                <w:sz w:val="18"/>
                <w:szCs w:val="18"/>
                <w:lang w:val="en-GB"/>
              </w:rPr>
              <w:t>54.00</w:t>
            </w:r>
          </w:p>
        </w:tc>
        <w:tc>
          <w:tcPr>
            <w:tcW w:w="475" w:type="pct"/>
            <w:vMerge/>
            <w:tcBorders>
              <w:bottom w:val="single" w:sz="4" w:space="0" w:color="auto"/>
            </w:tcBorders>
            <w:vAlign w:val="center"/>
          </w:tcPr>
          <w:p w14:paraId="7373D01A" w14:textId="77777777" w:rsidR="008906C4" w:rsidRPr="007621E8" w:rsidRDefault="008906C4" w:rsidP="0045436B">
            <w:pPr>
              <w:spacing w:line="360" w:lineRule="auto"/>
              <w:rPr>
                <w:rFonts w:ascii="Arial" w:hAnsi="Arial" w:cs="Arial"/>
                <w:color w:val="000000" w:themeColor="text1"/>
                <w:sz w:val="18"/>
                <w:szCs w:val="18"/>
                <w:lang w:val="en-GB"/>
              </w:rPr>
            </w:pPr>
          </w:p>
        </w:tc>
        <w:tc>
          <w:tcPr>
            <w:tcW w:w="475" w:type="pct"/>
            <w:vMerge/>
            <w:tcBorders>
              <w:bottom w:val="single" w:sz="4" w:space="0" w:color="auto"/>
            </w:tcBorders>
            <w:vAlign w:val="center"/>
          </w:tcPr>
          <w:p w14:paraId="3D0368FC" w14:textId="77777777" w:rsidR="008906C4" w:rsidRPr="007621E8" w:rsidRDefault="008906C4" w:rsidP="0045436B">
            <w:pPr>
              <w:spacing w:line="360" w:lineRule="auto"/>
              <w:rPr>
                <w:rFonts w:ascii="Arial" w:hAnsi="Arial" w:cs="Arial"/>
                <w:color w:val="000000" w:themeColor="text1"/>
                <w:sz w:val="18"/>
                <w:szCs w:val="18"/>
                <w:lang w:val="en-GB"/>
              </w:rPr>
            </w:pPr>
          </w:p>
        </w:tc>
        <w:tc>
          <w:tcPr>
            <w:tcW w:w="876" w:type="pct"/>
            <w:vMerge/>
            <w:tcBorders>
              <w:bottom w:val="single" w:sz="4" w:space="0" w:color="auto"/>
            </w:tcBorders>
            <w:vAlign w:val="center"/>
          </w:tcPr>
          <w:p w14:paraId="46DF68FB" w14:textId="77777777" w:rsidR="008906C4" w:rsidRPr="007621E8" w:rsidRDefault="008906C4" w:rsidP="0045436B">
            <w:pPr>
              <w:spacing w:line="360" w:lineRule="auto"/>
              <w:rPr>
                <w:rFonts w:ascii="Arial" w:hAnsi="Arial" w:cs="Arial"/>
                <w:color w:val="000000" w:themeColor="text1"/>
                <w:sz w:val="18"/>
                <w:szCs w:val="18"/>
                <w:lang w:val="en-GB"/>
              </w:rPr>
            </w:pPr>
          </w:p>
        </w:tc>
        <w:tc>
          <w:tcPr>
            <w:tcW w:w="714" w:type="pct"/>
            <w:vMerge/>
            <w:tcBorders>
              <w:bottom w:val="single" w:sz="4" w:space="0" w:color="auto"/>
            </w:tcBorders>
            <w:vAlign w:val="center"/>
          </w:tcPr>
          <w:p w14:paraId="03CB526F" w14:textId="77777777" w:rsidR="008906C4" w:rsidRPr="007621E8" w:rsidRDefault="008906C4" w:rsidP="0045436B">
            <w:pPr>
              <w:spacing w:line="360" w:lineRule="auto"/>
              <w:rPr>
                <w:rFonts w:ascii="Arial" w:hAnsi="Arial" w:cs="Arial"/>
                <w:color w:val="000000" w:themeColor="text1"/>
                <w:sz w:val="18"/>
                <w:szCs w:val="18"/>
                <w:lang w:val="en-GB"/>
              </w:rPr>
            </w:pPr>
          </w:p>
        </w:tc>
      </w:tr>
    </w:tbl>
    <w:p w14:paraId="12A79845" w14:textId="77777777" w:rsidR="008906C4" w:rsidRDefault="008906C4" w:rsidP="008906C4">
      <w:pPr>
        <w:spacing w:after="0" w:line="360" w:lineRule="auto"/>
        <w:rPr>
          <w:rFonts w:cstheme="minorHAnsi"/>
          <w:b/>
          <w:sz w:val="20"/>
          <w:szCs w:val="20"/>
          <w:lang w:val="en-GB"/>
        </w:rPr>
        <w:sectPr w:rsidR="008906C4" w:rsidSect="0045436B">
          <w:pgSz w:w="11906" w:h="16838"/>
          <w:pgMar w:top="1417" w:right="1701" w:bottom="1417" w:left="1701" w:header="708" w:footer="708" w:gutter="0"/>
          <w:lnNumType w:countBy="1" w:restart="continuous"/>
          <w:cols w:space="708"/>
          <w:docGrid w:linePitch="360"/>
        </w:sectPr>
      </w:pPr>
    </w:p>
    <w:p w14:paraId="42894B3C" w14:textId="77777777" w:rsidR="008906C4" w:rsidRPr="007621E8" w:rsidRDefault="008906C4" w:rsidP="008906C4">
      <w:pPr>
        <w:spacing w:after="0" w:line="360" w:lineRule="auto"/>
        <w:rPr>
          <w:rFonts w:ascii="Calibri" w:hAnsi="Calibri" w:cstheme="minorHAnsi"/>
          <w:sz w:val="20"/>
          <w:szCs w:val="20"/>
          <w:lang w:val="en-GB"/>
        </w:rPr>
      </w:pPr>
      <w:r w:rsidRPr="007621E8">
        <w:rPr>
          <w:rFonts w:cstheme="minorHAnsi"/>
          <w:b/>
          <w:sz w:val="20"/>
          <w:szCs w:val="20"/>
          <w:lang w:val="en-GB"/>
        </w:rPr>
        <w:lastRenderedPageBreak/>
        <w:t>Table S3.</w:t>
      </w:r>
      <w:r w:rsidRPr="007621E8">
        <w:rPr>
          <w:rFonts w:cstheme="minorHAnsi"/>
          <w:sz w:val="20"/>
          <w:szCs w:val="20"/>
          <w:lang w:val="en-GB"/>
        </w:rPr>
        <w:t xml:space="preserve"> Gradient program for LC-MS-TOF analysis of CPCA 3590.</w:t>
      </w:r>
    </w:p>
    <w:tbl>
      <w:tblPr>
        <w:tblStyle w:val="Tabelacomgrade"/>
        <w:tblW w:w="217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1132"/>
        <w:gridCol w:w="1141"/>
      </w:tblGrid>
      <w:tr w:rsidR="008906C4" w:rsidRPr="007621E8" w14:paraId="4BEB25FB" w14:textId="77777777" w:rsidTr="0045436B">
        <w:trPr>
          <w:trHeight w:val="20"/>
          <w:jc w:val="center"/>
        </w:trPr>
        <w:tc>
          <w:tcPr>
            <w:tcW w:w="1922" w:type="pct"/>
            <w:tcBorders>
              <w:top w:val="single" w:sz="4" w:space="0" w:color="auto"/>
              <w:left w:val="single" w:sz="4" w:space="0" w:color="auto"/>
              <w:bottom w:val="single" w:sz="4" w:space="0" w:color="auto"/>
            </w:tcBorders>
            <w:shd w:val="clear" w:color="auto" w:fill="D9D9D9" w:themeFill="background1" w:themeFillShade="D9"/>
            <w:vAlign w:val="center"/>
          </w:tcPr>
          <w:p w14:paraId="2818112B" w14:textId="77777777" w:rsidR="008906C4" w:rsidRPr="007621E8" w:rsidRDefault="008906C4" w:rsidP="0045436B">
            <w:pPr>
              <w:spacing w:line="360" w:lineRule="auto"/>
              <w:rPr>
                <w:rFonts w:ascii="Arial" w:hAnsi="Arial" w:cs="Arial"/>
                <w:b/>
                <w:i/>
                <w:color w:val="000000" w:themeColor="text1"/>
                <w:sz w:val="20"/>
                <w:szCs w:val="20"/>
                <w:lang w:val="en-GB"/>
              </w:rPr>
            </w:pPr>
            <w:r w:rsidRPr="007621E8">
              <w:rPr>
                <w:rFonts w:ascii="Arial" w:hAnsi="Arial" w:cs="Arial"/>
                <w:b/>
                <w:i/>
                <w:color w:val="000000" w:themeColor="text1"/>
                <w:sz w:val="20"/>
                <w:szCs w:val="20"/>
                <w:lang w:val="en-GB"/>
              </w:rPr>
              <w:t>Time (min)</w:t>
            </w:r>
          </w:p>
        </w:tc>
        <w:tc>
          <w:tcPr>
            <w:tcW w:w="1533" w:type="pct"/>
            <w:tcBorders>
              <w:top w:val="single" w:sz="4" w:space="0" w:color="auto"/>
              <w:bottom w:val="single" w:sz="4" w:space="0" w:color="auto"/>
            </w:tcBorders>
            <w:shd w:val="clear" w:color="auto" w:fill="D9D9D9" w:themeFill="background1" w:themeFillShade="D9"/>
            <w:vAlign w:val="center"/>
          </w:tcPr>
          <w:p w14:paraId="3E576654" w14:textId="77777777" w:rsidR="008906C4" w:rsidRPr="007621E8" w:rsidRDefault="008906C4" w:rsidP="0045436B">
            <w:pPr>
              <w:spacing w:line="360" w:lineRule="auto"/>
              <w:rPr>
                <w:rFonts w:ascii="Arial" w:hAnsi="Arial" w:cs="Arial"/>
                <w:b/>
                <w:i/>
                <w:color w:val="000000" w:themeColor="text1"/>
                <w:sz w:val="20"/>
                <w:szCs w:val="20"/>
                <w:lang w:val="en-GB"/>
              </w:rPr>
            </w:pPr>
            <w:r w:rsidRPr="007621E8">
              <w:rPr>
                <w:rFonts w:ascii="Arial" w:hAnsi="Arial" w:cs="Arial"/>
                <w:b/>
                <w:i/>
                <w:color w:val="000000" w:themeColor="text1"/>
                <w:sz w:val="20"/>
                <w:szCs w:val="20"/>
                <w:lang w:val="en-GB"/>
              </w:rPr>
              <w:t>%A</w:t>
            </w:r>
          </w:p>
        </w:tc>
        <w:tc>
          <w:tcPr>
            <w:tcW w:w="1546" w:type="pct"/>
            <w:tcBorders>
              <w:top w:val="single" w:sz="4" w:space="0" w:color="auto"/>
              <w:bottom w:val="single" w:sz="4" w:space="0" w:color="auto"/>
              <w:right w:val="single" w:sz="4" w:space="0" w:color="auto"/>
            </w:tcBorders>
            <w:shd w:val="clear" w:color="auto" w:fill="D9D9D9" w:themeFill="background1" w:themeFillShade="D9"/>
            <w:vAlign w:val="center"/>
          </w:tcPr>
          <w:p w14:paraId="39FD77D6" w14:textId="77777777" w:rsidR="008906C4" w:rsidRPr="007621E8" w:rsidRDefault="008906C4" w:rsidP="0045436B">
            <w:pPr>
              <w:spacing w:line="360" w:lineRule="auto"/>
              <w:rPr>
                <w:rFonts w:ascii="Arial" w:hAnsi="Arial" w:cs="Arial"/>
                <w:b/>
                <w:i/>
                <w:color w:val="000000" w:themeColor="text1"/>
                <w:sz w:val="20"/>
                <w:szCs w:val="20"/>
                <w:lang w:val="en-GB"/>
              </w:rPr>
            </w:pPr>
            <w:r w:rsidRPr="007621E8">
              <w:rPr>
                <w:rFonts w:ascii="Arial" w:hAnsi="Arial" w:cs="Arial"/>
                <w:b/>
                <w:i/>
                <w:color w:val="000000" w:themeColor="text1"/>
                <w:sz w:val="20"/>
                <w:szCs w:val="20"/>
                <w:lang w:val="en-GB"/>
              </w:rPr>
              <w:t>%B</w:t>
            </w:r>
          </w:p>
        </w:tc>
      </w:tr>
      <w:tr w:rsidR="008906C4" w:rsidRPr="007621E8" w14:paraId="17EE0665" w14:textId="77777777" w:rsidTr="0045436B">
        <w:trPr>
          <w:jc w:val="center"/>
        </w:trPr>
        <w:tc>
          <w:tcPr>
            <w:tcW w:w="1922" w:type="pct"/>
            <w:tcBorders>
              <w:top w:val="single" w:sz="4" w:space="0" w:color="auto"/>
              <w:left w:val="single" w:sz="4" w:space="0" w:color="auto"/>
            </w:tcBorders>
            <w:vAlign w:val="center"/>
          </w:tcPr>
          <w:p w14:paraId="171CF4D7"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0</w:t>
            </w:r>
          </w:p>
        </w:tc>
        <w:tc>
          <w:tcPr>
            <w:tcW w:w="1533" w:type="pct"/>
            <w:tcBorders>
              <w:top w:val="single" w:sz="4" w:space="0" w:color="auto"/>
            </w:tcBorders>
            <w:vAlign w:val="center"/>
          </w:tcPr>
          <w:p w14:paraId="4CE989BD"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100</w:t>
            </w:r>
          </w:p>
        </w:tc>
        <w:tc>
          <w:tcPr>
            <w:tcW w:w="1546" w:type="pct"/>
            <w:tcBorders>
              <w:top w:val="single" w:sz="4" w:space="0" w:color="auto"/>
              <w:right w:val="single" w:sz="4" w:space="0" w:color="auto"/>
            </w:tcBorders>
            <w:vAlign w:val="center"/>
          </w:tcPr>
          <w:p w14:paraId="3655E2E4"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0</w:t>
            </w:r>
          </w:p>
        </w:tc>
      </w:tr>
      <w:tr w:rsidR="008906C4" w:rsidRPr="007621E8" w14:paraId="476191C0" w14:textId="77777777" w:rsidTr="0045436B">
        <w:trPr>
          <w:jc w:val="center"/>
        </w:trPr>
        <w:tc>
          <w:tcPr>
            <w:tcW w:w="1922" w:type="pct"/>
            <w:tcBorders>
              <w:left w:val="single" w:sz="4" w:space="0" w:color="auto"/>
            </w:tcBorders>
            <w:vAlign w:val="center"/>
          </w:tcPr>
          <w:p w14:paraId="217801B2"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4</w:t>
            </w:r>
          </w:p>
        </w:tc>
        <w:tc>
          <w:tcPr>
            <w:tcW w:w="1533" w:type="pct"/>
            <w:vAlign w:val="center"/>
          </w:tcPr>
          <w:p w14:paraId="13E5DB90"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100</w:t>
            </w:r>
          </w:p>
        </w:tc>
        <w:tc>
          <w:tcPr>
            <w:tcW w:w="1546" w:type="pct"/>
            <w:tcBorders>
              <w:right w:val="single" w:sz="4" w:space="0" w:color="auto"/>
            </w:tcBorders>
            <w:vAlign w:val="center"/>
          </w:tcPr>
          <w:p w14:paraId="7424EB3E"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0</w:t>
            </w:r>
          </w:p>
        </w:tc>
      </w:tr>
      <w:tr w:rsidR="008906C4" w:rsidRPr="007621E8" w14:paraId="70D8CFAC" w14:textId="77777777" w:rsidTr="0045436B">
        <w:trPr>
          <w:jc w:val="center"/>
        </w:trPr>
        <w:tc>
          <w:tcPr>
            <w:tcW w:w="1922" w:type="pct"/>
            <w:tcBorders>
              <w:left w:val="single" w:sz="4" w:space="0" w:color="auto"/>
            </w:tcBorders>
            <w:vAlign w:val="center"/>
          </w:tcPr>
          <w:p w14:paraId="05213FB5"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12</w:t>
            </w:r>
          </w:p>
        </w:tc>
        <w:tc>
          <w:tcPr>
            <w:tcW w:w="1533" w:type="pct"/>
            <w:vAlign w:val="center"/>
          </w:tcPr>
          <w:p w14:paraId="6795A4C5"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85</w:t>
            </w:r>
          </w:p>
        </w:tc>
        <w:tc>
          <w:tcPr>
            <w:tcW w:w="1546" w:type="pct"/>
            <w:tcBorders>
              <w:right w:val="single" w:sz="4" w:space="0" w:color="auto"/>
            </w:tcBorders>
            <w:vAlign w:val="center"/>
          </w:tcPr>
          <w:p w14:paraId="72DF053C"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15</w:t>
            </w:r>
          </w:p>
        </w:tc>
      </w:tr>
      <w:tr w:rsidR="008906C4" w:rsidRPr="007621E8" w14:paraId="068C49EA" w14:textId="77777777" w:rsidTr="0045436B">
        <w:trPr>
          <w:jc w:val="center"/>
        </w:trPr>
        <w:tc>
          <w:tcPr>
            <w:tcW w:w="1922" w:type="pct"/>
            <w:tcBorders>
              <w:left w:val="single" w:sz="4" w:space="0" w:color="auto"/>
            </w:tcBorders>
            <w:vAlign w:val="center"/>
          </w:tcPr>
          <w:p w14:paraId="48A3E382"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18</w:t>
            </w:r>
          </w:p>
        </w:tc>
        <w:tc>
          <w:tcPr>
            <w:tcW w:w="1533" w:type="pct"/>
            <w:vAlign w:val="center"/>
          </w:tcPr>
          <w:p w14:paraId="525BCCF7"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40</w:t>
            </w:r>
          </w:p>
        </w:tc>
        <w:tc>
          <w:tcPr>
            <w:tcW w:w="1546" w:type="pct"/>
            <w:tcBorders>
              <w:right w:val="single" w:sz="4" w:space="0" w:color="auto"/>
            </w:tcBorders>
            <w:vAlign w:val="center"/>
          </w:tcPr>
          <w:p w14:paraId="26D2F84C"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60</w:t>
            </w:r>
          </w:p>
        </w:tc>
      </w:tr>
      <w:tr w:rsidR="008906C4" w:rsidRPr="007621E8" w14:paraId="2265C7C3" w14:textId="77777777" w:rsidTr="0045436B">
        <w:trPr>
          <w:jc w:val="center"/>
        </w:trPr>
        <w:tc>
          <w:tcPr>
            <w:tcW w:w="1922" w:type="pct"/>
            <w:tcBorders>
              <w:left w:val="single" w:sz="4" w:space="0" w:color="auto"/>
            </w:tcBorders>
            <w:vAlign w:val="center"/>
          </w:tcPr>
          <w:p w14:paraId="4EFC425D"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22</w:t>
            </w:r>
          </w:p>
        </w:tc>
        <w:tc>
          <w:tcPr>
            <w:tcW w:w="1533" w:type="pct"/>
            <w:vAlign w:val="center"/>
          </w:tcPr>
          <w:p w14:paraId="3E8AD801"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40</w:t>
            </w:r>
          </w:p>
        </w:tc>
        <w:tc>
          <w:tcPr>
            <w:tcW w:w="1546" w:type="pct"/>
            <w:tcBorders>
              <w:right w:val="single" w:sz="4" w:space="0" w:color="auto"/>
            </w:tcBorders>
            <w:vAlign w:val="center"/>
          </w:tcPr>
          <w:p w14:paraId="6F8D7F9E"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60</w:t>
            </w:r>
          </w:p>
        </w:tc>
      </w:tr>
      <w:tr w:rsidR="008906C4" w:rsidRPr="007621E8" w14:paraId="71CA9D15" w14:textId="77777777" w:rsidTr="0045436B">
        <w:trPr>
          <w:jc w:val="center"/>
        </w:trPr>
        <w:tc>
          <w:tcPr>
            <w:tcW w:w="1922" w:type="pct"/>
            <w:tcBorders>
              <w:left w:val="single" w:sz="4" w:space="0" w:color="auto"/>
            </w:tcBorders>
            <w:vAlign w:val="center"/>
          </w:tcPr>
          <w:p w14:paraId="35AD44F4"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28</w:t>
            </w:r>
          </w:p>
        </w:tc>
        <w:tc>
          <w:tcPr>
            <w:tcW w:w="1533" w:type="pct"/>
            <w:vAlign w:val="center"/>
          </w:tcPr>
          <w:p w14:paraId="533B188F"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100</w:t>
            </w:r>
          </w:p>
        </w:tc>
        <w:tc>
          <w:tcPr>
            <w:tcW w:w="1546" w:type="pct"/>
            <w:tcBorders>
              <w:right w:val="single" w:sz="4" w:space="0" w:color="auto"/>
            </w:tcBorders>
            <w:vAlign w:val="center"/>
          </w:tcPr>
          <w:p w14:paraId="1D2A1093"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0</w:t>
            </w:r>
          </w:p>
        </w:tc>
      </w:tr>
      <w:tr w:rsidR="008906C4" w:rsidRPr="007621E8" w14:paraId="22230FF3" w14:textId="77777777" w:rsidTr="0045436B">
        <w:trPr>
          <w:jc w:val="center"/>
        </w:trPr>
        <w:tc>
          <w:tcPr>
            <w:tcW w:w="1922" w:type="pct"/>
            <w:tcBorders>
              <w:left w:val="single" w:sz="4" w:space="0" w:color="auto"/>
              <w:bottom w:val="single" w:sz="4" w:space="0" w:color="auto"/>
            </w:tcBorders>
            <w:vAlign w:val="center"/>
          </w:tcPr>
          <w:p w14:paraId="04F92BFD"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29</w:t>
            </w:r>
          </w:p>
        </w:tc>
        <w:tc>
          <w:tcPr>
            <w:tcW w:w="1533" w:type="pct"/>
            <w:tcBorders>
              <w:bottom w:val="single" w:sz="4" w:space="0" w:color="auto"/>
            </w:tcBorders>
            <w:vAlign w:val="center"/>
          </w:tcPr>
          <w:p w14:paraId="6619380A"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100</w:t>
            </w:r>
          </w:p>
        </w:tc>
        <w:tc>
          <w:tcPr>
            <w:tcW w:w="1546" w:type="pct"/>
            <w:tcBorders>
              <w:bottom w:val="single" w:sz="4" w:space="0" w:color="auto"/>
              <w:right w:val="single" w:sz="4" w:space="0" w:color="auto"/>
            </w:tcBorders>
            <w:vAlign w:val="center"/>
          </w:tcPr>
          <w:p w14:paraId="7087BB23" w14:textId="77777777" w:rsidR="008906C4" w:rsidRPr="007621E8" w:rsidRDefault="008906C4" w:rsidP="0045436B">
            <w:pPr>
              <w:spacing w:line="360" w:lineRule="auto"/>
              <w:rPr>
                <w:rFonts w:ascii="Arial" w:hAnsi="Arial" w:cs="Arial"/>
                <w:color w:val="000000" w:themeColor="text1"/>
                <w:sz w:val="20"/>
                <w:szCs w:val="20"/>
                <w:lang w:val="en-GB"/>
              </w:rPr>
            </w:pPr>
            <w:r w:rsidRPr="007621E8">
              <w:rPr>
                <w:rFonts w:ascii="Arial" w:hAnsi="Arial" w:cs="Arial"/>
                <w:color w:val="000000" w:themeColor="text1"/>
                <w:sz w:val="20"/>
                <w:szCs w:val="20"/>
                <w:lang w:val="en-GB"/>
              </w:rPr>
              <w:t>0</w:t>
            </w:r>
          </w:p>
        </w:tc>
      </w:tr>
    </w:tbl>
    <w:p w14:paraId="362795D9" w14:textId="77777777" w:rsidR="0045436B" w:rsidRDefault="0045436B" w:rsidP="00C90625"/>
    <w:sectPr w:rsidR="0045436B" w:rsidSect="0045436B">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1991C" w14:textId="77777777" w:rsidR="003662A7" w:rsidRDefault="003662A7">
      <w:pPr>
        <w:spacing w:after="0" w:line="240" w:lineRule="auto"/>
      </w:pPr>
      <w:r>
        <w:separator/>
      </w:r>
    </w:p>
  </w:endnote>
  <w:endnote w:type="continuationSeparator" w:id="0">
    <w:p w14:paraId="3C3EDA89" w14:textId="77777777" w:rsidR="003662A7" w:rsidRDefault="00366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834EE" w14:textId="77777777" w:rsidR="00AA6930" w:rsidRDefault="003662A7" w:rsidP="0045436B">
    <w:pPr>
      <w:pStyle w:val="Rodap"/>
      <w:jc w:val="center"/>
    </w:pPr>
    <w:sdt>
      <w:sdtPr>
        <w:id w:val="204152087"/>
        <w:docPartObj>
          <w:docPartGallery w:val="Page Numbers (Bottom of Page)"/>
          <w:docPartUnique/>
        </w:docPartObj>
      </w:sdtPr>
      <w:sdtEndPr/>
      <w:sdtContent>
        <w:r w:rsidR="00AA6930">
          <w:fldChar w:fldCharType="begin"/>
        </w:r>
        <w:r w:rsidR="00AA6930">
          <w:instrText xml:space="preserve"> PAGE   \* MERGEFORMAT </w:instrText>
        </w:r>
        <w:r w:rsidR="00AA6930">
          <w:fldChar w:fldCharType="separate"/>
        </w:r>
        <w:r w:rsidR="00AA6930">
          <w:rPr>
            <w:noProof/>
          </w:rPr>
          <w:t>8</w:t>
        </w:r>
        <w:r w:rsidR="00AA6930">
          <w:rPr>
            <w:noProof/>
          </w:rPr>
          <w:fldChar w:fldCharType="end"/>
        </w:r>
      </w:sdtContent>
    </w:sdt>
  </w:p>
  <w:p w14:paraId="5AE36FB7" w14:textId="77777777" w:rsidR="00AA6930" w:rsidRDefault="00AA69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0D1D1" w14:textId="77777777" w:rsidR="003662A7" w:rsidRDefault="003662A7">
      <w:pPr>
        <w:spacing w:after="0" w:line="240" w:lineRule="auto"/>
      </w:pPr>
      <w:r>
        <w:separator/>
      </w:r>
    </w:p>
  </w:footnote>
  <w:footnote w:type="continuationSeparator" w:id="0">
    <w:p w14:paraId="3A292931" w14:textId="77777777" w:rsidR="003662A7" w:rsidRDefault="00366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911501"/>
      <w:docPartObj>
        <w:docPartGallery w:val="Page Numbers (Top of Page)"/>
        <w:docPartUnique/>
      </w:docPartObj>
    </w:sdtPr>
    <w:sdtEndPr/>
    <w:sdtContent>
      <w:p w14:paraId="1BC1BB29" w14:textId="77777777" w:rsidR="00AA6930" w:rsidRDefault="00AA6930">
        <w:pPr>
          <w:pStyle w:val="Cabealho"/>
          <w:jc w:val="right"/>
        </w:pPr>
        <w:r>
          <w:fldChar w:fldCharType="begin"/>
        </w:r>
        <w:r>
          <w:instrText>PAGE   \* MERGEFORMAT</w:instrText>
        </w:r>
        <w:r>
          <w:fldChar w:fldCharType="separate"/>
        </w:r>
        <w:r>
          <w:rPr>
            <w:lang w:val="pt-BR"/>
          </w:rPr>
          <w:t>2</w:t>
        </w:r>
        <w:r>
          <w:fldChar w:fldCharType="end"/>
        </w:r>
      </w:p>
    </w:sdtContent>
  </w:sdt>
  <w:p w14:paraId="7235D00F" w14:textId="77777777" w:rsidR="00AA6930" w:rsidRDefault="00AA693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B52C6C"/>
    <w:multiLevelType w:val="multilevel"/>
    <w:tmpl w:val="C05621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SzMDYwsTQ1MDEwMTRW0lEKTi0uzszPAykwqgUAHz7BvywAAAA="/>
  </w:docVars>
  <w:rsids>
    <w:rsidRoot w:val="008906C4"/>
    <w:rsid w:val="000023A5"/>
    <w:rsid w:val="0004694D"/>
    <w:rsid w:val="000B6167"/>
    <w:rsid w:val="000D5883"/>
    <w:rsid w:val="000E0044"/>
    <w:rsid w:val="000F1AFC"/>
    <w:rsid w:val="001125F9"/>
    <w:rsid w:val="001831D1"/>
    <w:rsid w:val="001912D0"/>
    <w:rsid w:val="001F057F"/>
    <w:rsid w:val="001F6296"/>
    <w:rsid w:val="00287169"/>
    <w:rsid w:val="002D13DD"/>
    <w:rsid w:val="0036171D"/>
    <w:rsid w:val="003662A7"/>
    <w:rsid w:val="00392FFB"/>
    <w:rsid w:val="003C32B4"/>
    <w:rsid w:val="003D74F2"/>
    <w:rsid w:val="003E1891"/>
    <w:rsid w:val="0045436B"/>
    <w:rsid w:val="004F7514"/>
    <w:rsid w:val="005306D8"/>
    <w:rsid w:val="005E2110"/>
    <w:rsid w:val="00606EC7"/>
    <w:rsid w:val="006109BD"/>
    <w:rsid w:val="00633850"/>
    <w:rsid w:val="00670EAD"/>
    <w:rsid w:val="006E525F"/>
    <w:rsid w:val="006F36E0"/>
    <w:rsid w:val="0073719B"/>
    <w:rsid w:val="007476BC"/>
    <w:rsid w:val="007858F7"/>
    <w:rsid w:val="007C0726"/>
    <w:rsid w:val="007E577B"/>
    <w:rsid w:val="008274E6"/>
    <w:rsid w:val="00880F2A"/>
    <w:rsid w:val="008906C4"/>
    <w:rsid w:val="008A1583"/>
    <w:rsid w:val="008C1AE6"/>
    <w:rsid w:val="008F08C2"/>
    <w:rsid w:val="009020CD"/>
    <w:rsid w:val="00906206"/>
    <w:rsid w:val="00916CCC"/>
    <w:rsid w:val="009436AA"/>
    <w:rsid w:val="00961926"/>
    <w:rsid w:val="009B5DEB"/>
    <w:rsid w:val="00A02977"/>
    <w:rsid w:val="00AA6930"/>
    <w:rsid w:val="00AA70E9"/>
    <w:rsid w:val="00B017B0"/>
    <w:rsid w:val="00B06C11"/>
    <w:rsid w:val="00B25463"/>
    <w:rsid w:val="00B96148"/>
    <w:rsid w:val="00BA52BE"/>
    <w:rsid w:val="00C15BCC"/>
    <w:rsid w:val="00C26FDE"/>
    <w:rsid w:val="00C711BF"/>
    <w:rsid w:val="00C746BD"/>
    <w:rsid w:val="00C752E3"/>
    <w:rsid w:val="00C863DB"/>
    <w:rsid w:val="00C90625"/>
    <w:rsid w:val="00D50240"/>
    <w:rsid w:val="00D57FE1"/>
    <w:rsid w:val="00D64722"/>
    <w:rsid w:val="00D7009C"/>
    <w:rsid w:val="00D71D55"/>
    <w:rsid w:val="00DA6F04"/>
    <w:rsid w:val="00DB0915"/>
    <w:rsid w:val="00DE6EA5"/>
    <w:rsid w:val="00E76D5F"/>
    <w:rsid w:val="00EA4A63"/>
    <w:rsid w:val="00EC0D6E"/>
    <w:rsid w:val="00F0485C"/>
    <w:rsid w:val="00F302D2"/>
    <w:rsid w:val="00F528D6"/>
    <w:rsid w:val="00F61E8A"/>
    <w:rsid w:val="00F73029"/>
    <w:rsid w:val="00FC01AF"/>
    <w:rsid w:val="00FD0555"/>
    <w:rsid w:val="00FE0F67"/>
    <w:rsid w:val="00FF71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6BA17"/>
  <w15:chartTrackingRefBased/>
  <w15:docId w15:val="{EC7FBF94-91D9-4F5C-9531-4521A4C4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6C4"/>
    <w:rPr>
      <w:rFonts w:eastAsia="MS Mincho"/>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906C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qFormat/>
    <w:rsid w:val="008906C4"/>
    <w:pPr>
      <w:spacing w:after="200" w:line="240" w:lineRule="auto"/>
    </w:pPr>
    <w:rPr>
      <w:b/>
      <w:bCs/>
      <w:color w:val="4472C4" w:themeColor="accent1"/>
      <w:sz w:val="18"/>
      <w:szCs w:val="18"/>
    </w:rPr>
  </w:style>
  <w:style w:type="paragraph" w:styleId="Cabealho">
    <w:name w:val="header"/>
    <w:basedOn w:val="Normal"/>
    <w:link w:val="CabealhoChar"/>
    <w:uiPriority w:val="99"/>
    <w:unhideWhenUsed/>
    <w:rsid w:val="008906C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906C4"/>
    <w:rPr>
      <w:rFonts w:eastAsia="MS Mincho"/>
      <w:lang w:val="en-US"/>
    </w:rPr>
  </w:style>
  <w:style w:type="paragraph" w:styleId="Rodap">
    <w:name w:val="footer"/>
    <w:basedOn w:val="Normal"/>
    <w:link w:val="RodapChar"/>
    <w:uiPriority w:val="99"/>
    <w:unhideWhenUsed/>
    <w:rsid w:val="008906C4"/>
    <w:pPr>
      <w:tabs>
        <w:tab w:val="center" w:pos="4252"/>
        <w:tab w:val="right" w:pos="8504"/>
      </w:tabs>
      <w:spacing w:after="0" w:line="240" w:lineRule="auto"/>
    </w:pPr>
  </w:style>
  <w:style w:type="character" w:customStyle="1" w:styleId="RodapChar">
    <w:name w:val="Rodapé Char"/>
    <w:basedOn w:val="Fontepargpadro"/>
    <w:link w:val="Rodap"/>
    <w:uiPriority w:val="99"/>
    <w:rsid w:val="008906C4"/>
    <w:rPr>
      <w:rFonts w:eastAsia="MS Mincho"/>
      <w:lang w:val="en-US"/>
    </w:rPr>
  </w:style>
  <w:style w:type="paragraph" w:styleId="PargrafodaLista">
    <w:name w:val="List Paragraph"/>
    <w:basedOn w:val="Normal"/>
    <w:uiPriority w:val="34"/>
    <w:qFormat/>
    <w:rsid w:val="008906C4"/>
    <w:pPr>
      <w:ind w:left="720"/>
      <w:contextualSpacing/>
    </w:pPr>
  </w:style>
  <w:style w:type="table" w:styleId="Tabelacomgrade">
    <w:name w:val="Table Grid"/>
    <w:basedOn w:val="Tabelanormal"/>
    <w:uiPriority w:val="59"/>
    <w:rsid w:val="008906C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inha">
    <w:name w:val="line number"/>
    <w:basedOn w:val="Fontepargpadro"/>
    <w:uiPriority w:val="99"/>
    <w:semiHidden/>
    <w:unhideWhenUsed/>
    <w:rsid w:val="008906C4"/>
  </w:style>
  <w:style w:type="character" w:styleId="Refdecomentrio">
    <w:name w:val="annotation reference"/>
    <w:basedOn w:val="Fontepargpadro"/>
    <w:uiPriority w:val="99"/>
    <w:semiHidden/>
    <w:unhideWhenUsed/>
    <w:rsid w:val="0045436B"/>
    <w:rPr>
      <w:sz w:val="16"/>
      <w:szCs w:val="16"/>
    </w:rPr>
  </w:style>
  <w:style w:type="paragraph" w:styleId="Textodecomentrio">
    <w:name w:val="annotation text"/>
    <w:basedOn w:val="Normal"/>
    <w:link w:val="TextodecomentrioChar"/>
    <w:uiPriority w:val="99"/>
    <w:semiHidden/>
    <w:unhideWhenUsed/>
    <w:rsid w:val="0045436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5436B"/>
    <w:rPr>
      <w:rFonts w:eastAsia="MS Mincho"/>
      <w:sz w:val="20"/>
      <w:szCs w:val="20"/>
      <w:lang w:val="en-US"/>
    </w:rPr>
  </w:style>
  <w:style w:type="paragraph" w:styleId="Assuntodocomentrio">
    <w:name w:val="annotation subject"/>
    <w:basedOn w:val="Textodecomentrio"/>
    <w:next w:val="Textodecomentrio"/>
    <w:link w:val="AssuntodocomentrioChar"/>
    <w:uiPriority w:val="99"/>
    <w:semiHidden/>
    <w:unhideWhenUsed/>
    <w:rsid w:val="0045436B"/>
    <w:rPr>
      <w:b/>
      <w:bCs/>
    </w:rPr>
  </w:style>
  <w:style w:type="character" w:customStyle="1" w:styleId="AssuntodocomentrioChar">
    <w:name w:val="Assunto do comentário Char"/>
    <w:basedOn w:val="TextodecomentrioChar"/>
    <w:link w:val="Assuntodocomentrio"/>
    <w:uiPriority w:val="99"/>
    <w:semiHidden/>
    <w:rsid w:val="0045436B"/>
    <w:rPr>
      <w:rFonts w:eastAsia="MS Mincho"/>
      <w:b/>
      <w:bCs/>
      <w:sz w:val="20"/>
      <w:szCs w:val="20"/>
      <w:lang w:val="en-US"/>
    </w:rPr>
  </w:style>
  <w:style w:type="paragraph" w:styleId="Textodebalo">
    <w:name w:val="Balloon Text"/>
    <w:basedOn w:val="Normal"/>
    <w:link w:val="TextodebaloChar"/>
    <w:uiPriority w:val="99"/>
    <w:semiHidden/>
    <w:unhideWhenUsed/>
    <w:rsid w:val="0045436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5436B"/>
    <w:rPr>
      <w:rFonts w:ascii="Segoe UI" w:eastAsia="MS Mincho"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5.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C3F7D-8BA9-4DC3-82CB-855AF4865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18</Pages>
  <Words>33356</Words>
  <Characters>180126</Characters>
  <Application>Microsoft Office Word</Application>
  <DocSecurity>0</DocSecurity>
  <Lines>1501</Lines>
  <Paragraphs>426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Pinheiro</dc:creator>
  <cp:keywords/>
  <dc:description/>
  <cp:lastModifiedBy>Felipe Pinheiro</cp:lastModifiedBy>
  <cp:revision>11</cp:revision>
  <dcterms:created xsi:type="dcterms:W3CDTF">2019-05-14T17:03:00Z</dcterms:created>
  <dcterms:modified xsi:type="dcterms:W3CDTF">2019-08-10T16:41:00Z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http://www.zotero.org/styles/journal-of-south-american-earth-sciences</vt:lpwstr>
  </property>
  <property fmtid="{D5CDD505-2E9C-101B-9397-08002B2CF9AE}" pid="7" name="Mendeley Recent Style Name 2_1">
    <vt:lpwstr>Journal of South American Earth Sciences</vt:lpwstr>
  </property>
  <property fmtid="{D5CDD505-2E9C-101B-9397-08002B2CF9AE}" pid="8" name="Mendeley Recent Style Id 3_1">
    <vt:lpwstr>http://www.zotero.org/styles/modern-language-association</vt:lpwstr>
  </property>
  <property fmtid="{D5CDD505-2E9C-101B-9397-08002B2CF9AE}" pid="9" name="Mendeley Recent Style Name 3_1">
    <vt:lpwstr>Modern Language Association 8th edition</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http://www.zotero.org/styles/palaeogeography-palaeoclimatology-palaeoecology</vt:lpwstr>
  </property>
  <property fmtid="{D5CDD505-2E9C-101B-9397-08002B2CF9AE}" pid="13" name="Mendeley Recent Style Name 5_1">
    <vt:lpwstr>Palaeogeography, Palaeoclimatology, Palaeoecology</vt:lpwstr>
  </property>
  <property fmtid="{D5CDD505-2E9C-101B-9397-08002B2CF9AE}" pid="14" name="Mendeley Recent Style Id 6_1">
    <vt:lpwstr>http://www.zotero.org/styles/palaeontology</vt:lpwstr>
  </property>
  <property fmtid="{D5CDD505-2E9C-101B-9397-08002B2CF9AE}" pid="15" name="Mendeley Recent Style Name 6_1">
    <vt:lpwstr>Palaeontology</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http://www.zotero.org/styles/proceedings-of-the-royal-society-b</vt:lpwstr>
  </property>
  <property fmtid="{D5CDD505-2E9C-101B-9397-08002B2CF9AE}" pid="19" name="Mendeley Recent Style Name 8_1">
    <vt:lpwstr>Proceedings of the Royal Society B</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02878d34-c853-3728-b629-c314b251e5df</vt:lpwstr>
  </property>
  <property fmtid="{D5CDD505-2E9C-101B-9397-08002B2CF9AE}" pid="24" name="Mendeley Citation Style_1">
    <vt:lpwstr>http://www.zotero.org/styles/scientific-reports</vt:lpwstr>
  </property>
</Properties>
</file>