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094" w:rsidRPr="00CD4C6F" w:rsidRDefault="003E5094" w:rsidP="003E5094">
      <w:pPr>
        <w:pStyle w:val="ArticleTitle"/>
      </w:pPr>
      <w:r w:rsidRPr="00CD4C6F">
        <w:t>Dual-energy X-ray absorptiometry-assessed adipose tissues in metabolically unhealthy normal weight Asians</w:t>
      </w:r>
    </w:p>
    <w:p w:rsidR="003E5094" w:rsidRPr="00125412" w:rsidRDefault="003E5094" w:rsidP="003E5094"/>
    <w:p w:rsidR="003E5094" w:rsidRPr="00125412" w:rsidRDefault="003E5094" w:rsidP="003E5094">
      <w:r w:rsidRPr="00125412">
        <w:t>Yi-Chien Lu, PhD</w:t>
      </w:r>
      <w:r w:rsidRPr="00CD4C6F">
        <w:rPr>
          <w:vertAlign w:val="superscript"/>
        </w:rPr>
        <w:t>1,Δ</w:t>
      </w:r>
      <w:r w:rsidRPr="00125412">
        <w:t>, Ying Chin Lin, MD</w:t>
      </w:r>
      <w:r>
        <w:rPr>
          <w:vertAlign w:val="superscript"/>
        </w:rPr>
        <w:t>2,</w:t>
      </w:r>
      <w:r w:rsidRPr="00CD4C6F">
        <w:rPr>
          <w:vertAlign w:val="superscript"/>
        </w:rPr>
        <w:t>3,Δ</w:t>
      </w:r>
      <w:r w:rsidRPr="00125412">
        <w:t xml:space="preserve">, </w:t>
      </w:r>
      <w:r>
        <w:t xml:space="preserve">Amy Ming-Fang </w:t>
      </w:r>
      <w:r w:rsidRPr="00CD4C6F">
        <w:t>Yen</w:t>
      </w:r>
      <w:r w:rsidRPr="00125412">
        <w:t>, PhD</w:t>
      </w:r>
      <w:r w:rsidRPr="00CD4C6F">
        <w:rPr>
          <w:vertAlign w:val="superscript"/>
        </w:rPr>
        <w:t>4</w:t>
      </w:r>
      <w:r w:rsidRPr="00125412">
        <w:t>, Wing P. Chan, MD</w:t>
      </w:r>
      <w:r w:rsidRPr="00CD4C6F">
        <w:rPr>
          <w:vertAlign w:val="superscript"/>
        </w:rPr>
        <w:t>1, 5,*</w:t>
      </w:r>
    </w:p>
    <w:p w:rsidR="003E5094" w:rsidRPr="00125412" w:rsidRDefault="003E5094" w:rsidP="003E5094">
      <w:pPr>
        <w:pStyle w:val="ac"/>
        <w:numPr>
          <w:ilvl w:val="0"/>
          <w:numId w:val="1"/>
        </w:numPr>
        <w:ind w:leftChars="0"/>
      </w:pPr>
      <w:r w:rsidRPr="00125412">
        <w:t>Department of Radiology, Wan Fang Hospital, Taipei Medical University, Taipei 116, Taiwan, Republic of China;</w:t>
      </w:r>
    </w:p>
    <w:p w:rsidR="003E5094" w:rsidRPr="00125412" w:rsidRDefault="003E5094" w:rsidP="003E5094">
      <w:pPr>
        <w:pStyle w:val="ac"/>
        <w:numPr>
          <w:ilvl w:val="0"/>
          <w:numId w:val="1"/>
        </w:numPr>
        <w:ind w:leftChars="0"/>
      </w:pPr>
      <w:r w:rsidRPr="00125412">
        <w:t>Department of Family Medicine, Shuang Ho Hospital, Taipei Medical University, New Taipei City 235, Taiwan, Republic of China;</w:t>
      </w:r>
    </w:p>
    <w:p w:rsidR="003E5094" w:rsidRPr="00125412" w:rsidRDefault="003E5094" w:rsidP="003E5094">
      <w:pPr>
        <w:pStyle w:val="ac"/>
        <w:numPr>
          <w:ilvl w:val="0"/>
          <w:numId w:val="1"/>
        </w:numPr>
        <w:ind w:leftChars="0"/>
      </w:pPr>
      <w:r w:rsidRPr="00125412">
        <w:t>Department of Family Medicine, School of Medicine, College of Medicine, Taipei Medical University, Taipei 110, Taiwan, Republic of China;</w:t>
      </w:r>
    </w:p>
    <w:p w:rsidR="003E5094" w:rsidRPr="00125412" w:rsidRDefault="003E5094" w:rsidP="003E5094">
      <w:pPr>
        <w:pStyle w:val="ac"/>
        <w:numPr>
          <w:ilvl w:val="0"/>
          <w:numId w:val="1"/>
        </w:numPr>
        <w:ind w:leftChars="0"/>
      </w:pPr>
      <w:r w:rsidRPr="00125412">
        <w:t>School of Oral Hygiene, College of Oral Medicine, Taipei Medical University, Taipei, Taiwan, Republic of China;</w:t>
      </w:r>
    </w:p>
    <w:p w:rsidR="003E5094" w:rsidRPr="00125412" w:rsidRDefault="003E5094" w:rsidP="003E5094">
      <w:pPr>
        <w:pStyle w:val="ac"/>
        <w:numPr>
          <w:ilvl w:val="0"/>
          <w:numId w:val="1"/>
        </w:numPr>
        <w:ind w:leftChars="0"/>
      </w:pPr>
      <w:r w:rsidRPr="00125412">
        <w:t>Department of Radiology, School of Medicine, College of Medicine, Taipei Medical University, Taipei 110, Taiwan, Republic of China</w:t>
      </w:r>
    </w:p>
    <w:p w:rsidR="003E5094" w:rsidRDefault="003E5094">
      <w:pPr>
        <w:widowControl/>
        <w:adjustRightInd/>
        <w:spacing w:line="240" w:lineRule="auto"/>
        <w:jc w:val="left"/>
        <w:rPr>
          <w:rFonts w:ascii="Cambria" w:eastAsia="新細明體" w:hAnsi="Cambria" w:cstheme="minorHAnsi"/>
          <w:b/>
          <w:kern w:val="52"/>
        </w:rPr>
      </w:pPr>
      <w:r>
        <w:rPr>
          <w:rFonts w:ascii="Cambria" w:hAnsi="Cambria" w:cstheme="minorHAnsi"/>
        </w:rPr>
        <w:br w:type="page"/>
      </w:r>
    </w:p>
    <w:p w:rsidR="00516BE0" w:rsidRPr="001E757A" w:rsidRDefault="00516BE0" w:rsidP="00516BE0">
      <w:pPr>
        <w:pStyle w:val="a4"/>
        <w:jc w:val="left"/>
        <w:rPr>
          <w:rFonts w:ascii="Cambria" w:hAnsi="Cambria" w:cstheme="minorHAnsi"/>
          <w:szCs w:val="24"/>
        </w:rPr>
      </w:pPr>
      <w:r w:rsidRPr="001E757A">
        <w:rPr>
          <w:rFonts w:ascii="Cambria" w:hAnsi="Cambria" w:cstheme="minorHAnsi"/>
          <w:szCs w:val="24"/>
        </w:rPr>
        <w:lastRenderedPageBreak/>
        <w:t>SUPPLEMENTAL ONLINE MATERIALS</w:t>
      </w:r>
    </w:p>
    <w:p w:rsidR="00516BE0" w:rsidRPr="001E757A" w:rsidRDefault="00516BE0" w:rsidP="00516BE0">
      <w:pPr>
        <w:widowControl/>
        <w:adjustRightInd/>
        <w:jc w:val="left"/>
        <w:rPr>
          <w:rFonts w:ascii="Cambria" w:hAnsi="Cambria" w:cstheme="minorHAnsi"/>
          <w:b/>
        </w:rPr>
      </w:pPr>
      <w:r w:rsidRPr="001E757A">
        <w:rPr>
          <w:rFonts w:ascii="Cambria" w:hAnsi="Cambria" w:cstheme="minorHAnsi"/>
          <w:b/>
        </w:rPr>
        <w:t>Table S1. The prevalence of metabolically unhealthy normal weight according to fat indicators</w:t>
      </w:r>
    </w:p>
    <w:tbl>
      <w:tblPr>
        <w:tblStyle w:val="a5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8"/>
        <w:gridCol w:w="1701"/>
        <w:gridCol w:w="1701"/>
        <w:gridCol w:w="1701"/>
        <w:gridCol w:w="1701"/>
        <w:gridCol w:w="1701"/>
      </w:tblGrid>
      <w:tr w:rsidR="00516BE0" w:rsidRPr="001E757A" w:rsidTr="00C55B94">
        <w:trPr>
          <w:tblHeader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516BE0" w:rsidRPr="001E757A" w:rsidRDefault="00516BE0" w:rsidP="00C55B94">
            <w:pPr>
              <w:widowControl/>
              <w:adjustRightInd/>
              <w:jc w:val="left"/>
              <w:rPr>
                <w:rFonts w:ascii="Cambria" w:hAnsi="Cambria" w:cstheme="minorHAnsi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516BE0" w:rsidRPr="001E757A" w:rsidRDefault="00516BE0" w:rsidP="00C55B94">
            <w:pPr>
              <w:widowControl/>
              <w:adjustRightInd/>
              <w:jc w:val="left"/>
              <w:rPr>
                <w:rFonts w:ascii="Cambria" w:eastAsiaTheme="minorEastAsia" w:hAnsi="Cambria" w:cstheme="minorHAnsi"/>
                <w:b/>
                <w:sz w:val="24"/>
              </w:rPr>
            </w:pPr>
            <w:r w:rsidRPr="001E757A">
              <w:rPr>
                <w:rFonts w:ascii="Cambria" w:eastAsiaTheme="minorEastAsia" w:hAnsi="Cambria" w:cstheme="minorHAnsi"/>
                <w:b/>
                <w:sz w:val="24"/>
              </w:rPr>
              <w:t>Q1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516BE0" w:rsidRPr="001E757A" w:rsidRDefault="00516BE0" w:rsidP="00C55B94">
            <w:pPr>
              <w:widowControl/>
              <w:adjustRightInd/>
              <w:jc w:val="left"/>
              <w:rPr>
                <w:rFonts w:ascii="Cambria" w:eastAsiaTheme="minorEastAsia" w:hAnsi="Cambria" w:cstheme="minorHAnsi"/>
                <w:b/>
                <w:sz w:val="24"/>
              </w:rPr>
            </w:pPr>
            <w:r w:rsidRPr="001E757A">
              <w:rPr>
                <w:rFonts w:ascii="Cambria" w:eastAsiaTheme="minorEastAsia" w:hAnsi="Cambria" w:cstheme="minorHAnsi"/>
                <w:b/>
                <w:sz w:val="24"/>
              </w:rPr>
              <w:t>Q2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516BE0" w:rsidRPr="001E757A" w:rsidRDefault="00516BE0" w:rsidP="00C55B94">
            <w:pPr>
              <w:widowControl/>
              <w:adjustRightInd/>
              <w:jc w:val="left"/>
              <w:rPr>
                <w:rFonts w:ascii="Cambria" w:eastAsiaTheme="minorEastAsia" w:hAnsi="Cambria" w:cstheme="minorHAnsi"/>
                <w:b/>
                <w:sz w:val="24"/>
              </w:rPr>
            </w:pPr>
            <w:r w:rsidRPr="001E757A">
              <w:rPr>
                <w:rFonts w:ascii="Cambria" w:eastAsiaTheme="minorEastAsia" w:hAnsi="Cambria" w:cstheme="minorHAnsi"/>
                <w:b/>
                <w:sz w:val="24"/>
              </w:rPr>
              <w:t>Q3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516BE0" w:rsidRPr="001E757A" w:rsidRDefault="00516BE0" w:rsidP="00C55B94">
            <w:pPr>
              <w:widowControl/>
              <w:adjustRightInd/>
              <w:jc w:val="left"/>
              <w:rPr>
                <w:rFonts w:ascii="Cambria" w:eastAsiaTheme="minorEastAsia" w:hAnsi="Cambria" w:cstheme="minorHAnsi"/>
                <w:b/>
                <w:sz w:val="24"/>
              </w:rPr>
            </w:pPr>
            <w:r w:rsidRPr="001E757A">
              <w:rPr>
                <w:rFonts w:ascii="Cambria" w:eastAsiaTheme="minorEastAsia" w:hAnsi="Cambria" w:cstheme="minorHAnsi"/>
                <w:b/>
                <w:sz w:val="24"/>
              </w:rPr>
              <w:t>Q4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516BE0" w:rsidRPr="001E757A" w:rsidRDefault="00516BE0" w:rsidP="00C55B94">
            <w:pPr>
              <w:widowControl/>
              <w:adjustRightInd/>
              <w:jc w:val="left"/>
              <w:rPr>
                <w:rFonts w:ascii="Cambria" w:eastAsiaTheme="minorEastAsia" w:hAnsi="Cambria" w:cstheme="minorHAnsi"/>
                <w:b/>
                <w:sz w:val="24"/>
              </w:rPr>
            </w:pPr>
            <w:r w:rsidRPr="001E757A">
              <w:rPr>
                <w:rFonts w:ascii="Cambria" w:eastAsiaTheme="minorEastAsia" w:hAnsi="Cambria" w:cstheme="minorHAnsi"/>
                <w:b/>
                <w:sz w:val="24"/>
              </w:rPr>
              <w:t>P-value</w:t>
            </w:r>
          </w:p>
        </w:tc>
      </w:tr>
      <w:tr w:rsidR="00516BE0" w:rsidRPr="001E757A" w:rsidTr="00C55B94">
        <w:tc>
          <w:tcPr>
            <w:tcW w:w="0" w:type="auto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b/>
                <w:i/>
                <w:sz w:val="24"/>
              </w:rPr>
            </w:pPr>
            <w:r w:rsidRPr="001E757A">
              <w:rPr>
                <w:rFonts w:ascii="Cambria" w:hAnsi="Cambria" w:cstheme="minorHAnsi"/>
                <w:b/>
                <w:i/>
                <w:sz w:val="24"/>
              </w:rPr>
              <w:t>Women (n=1904)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b/>
                <w:i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</w:p>
        </w:tc>
      </w:tr>
      <w:tr w:rsidR="00516BE0" w:rsidRPr="001E757A" w:rsidTr="00C55B94">
        <w:tc>
          <w:tcPr>
            <w:tcW w:w="0" w:type="auto"/>
            <w:shd w:val="clear" w:color="auto" w:fill="F2F2F2" w:themeFill="background1" w:themeFillShade="F2"/>
          </w:tcPr>
          <w:p w:rsidR="00516BE0" w:rsidRPr="001E757A" w:rsidRDefault="00516BE0" w:rsidP="00C55B94">
            <w:pPr>
              <w:ind w:leftChars="100" w:left="240"/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%BF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37 (7.8%)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43 (9.0%)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62 (13.1%)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87 (18.2%)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&lt;.001</w:t>
            </w:r>
          </w:p>
        </w:tc>
      </w:tr>
      <w:tr w:rsidR="00516BE0" w:rsidRPr="001E757A" w:rsidTr="00C55B94">
        <w:tc>
          <w:tcPr>
            <w:tcW w:w="0" w:type="auto"/>
            <w:shd w:val="clear" w:color="auto" w:fill="F2F2F2" w:themeFill="background1" w:themeFillShade="F2"/>
          </w:tcPr>
          <w:p w:rsidR="00516BE0" w:rsidRPr="001E757A" w:rsidRDefault="00516BE0" w:rsidP="00C55B94">
            <w:pPr>
              <w:ind w:leftChars="100" w:left="240"/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AG ratio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8 (1.7%)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23 (4.7%)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42 (9.5%)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156 (31.7%)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&lt;.001</w:t>
            </w:r>
          </w:p>
        </w:tc>
      </w:tr>
      <w:tr w:rsidR="00516BE0" w:rsidRPr="001E757A" w:rsidTr="00C55B94">
        <w:tc>
          <w:tcPr>
            <w:tcW w:w="0" w:type="auto"/>
            <w:shd w:val="clear" w:color="auto" w:fill="F2F2F2" w:themeFill="background1" w:themeFillShade="F2"/>
          </w:tcPr>
          <w:p w:rsidR="00516BE0" w:rsidRPr="001E757A" w:rsidRDefault="00516BE0" w:rsidP="00C55B94">
            <w:pPr>
              <w:ind w:leftChars="100" w:left="240"/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SAT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32 (6.8%)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61 (12.7%)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64 (13.4%)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72 (15.1%)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.001</w:t>
            </w:r>
          </w:p>
        </w:tc>
      </w:tr>
      <w:tr w:rsidR="00516BE0" w:rsidRPr="001E757A" w:rsidTr="00C55B94">
        <w:tc>
          <w:tcPr>
            <w:tcW w:w="0" w:type="auto"/>
            <w:shd w:val="clear" w:color="auto" w:fill="F2F2F2" w:themeFill="background1" w:themeFillShade="F2"/>
          </w:tcPr>
          <w:p w:rsidR="00516BE0" w:rsidRPr="001E757A" w:rsidRDefault="00516BE0" w:rsidP="00C55B94">
            <w:pPr>
              <w:ind w:leftChars="100" w:left="240"/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VAT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6 (1.3%)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17 (3.6%)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42 (8.8%)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164 (34.3%)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&lt;.001</w:t>
            </w:r>
          </w:p>
        </w:tc>
      </w:tr>
      <w:tr w:rsidR="00516BE0" w:rsidRPr="001E757A" w:rsidTr="00C55B94">
        <w:tc>
          <w:tcPr>
            <w:tcW w:w="0" w:type="auto"/>
            <w:shd w:val="clear" w:color="auto" w:fill="D9D9D9" w:themeFill="background1" w:themeFillShade="D9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b/>
                <w:i/>
                <w:sz w:val="24"/>
              </w:rPr>
            </w:pPr>
            <w:r w:rsidRPr="001E757A">
              <w:rPr>
                <w:rFonts w:ascii="Cambria" w:hAnsi="Cambria" w:cstheme="minorHAnsi"/>
                <w:b/>
                <w:i/>
                <w:sz w:val="24"/>
              </w:rPr>
              <w:t>Men (n=1355)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</w:p>
        </w:tc>
      </w:tr>
      <w:tr w:rsidR="00516BE0" w:rsidRPr="001E757A" w:rsidTr="00C55B94">
        <w:tc>
          <w:tcPr>
            <w:tcW w:w="0" w:type="auto"/>
            <w:shd w:val="clear" w:color="auto" w:fill="D9D9D9" w:themeFill="background1" w:themeFillShade="D9"/>
          </w:tcPr>
          <w:p w:rsidR="00516BE0" w:rsidRPr="001E757A" w:rsidRDefault="00516BE0" w:rsidP="00C55B94">
            <w:pPr>
              <w:ind w:leftChars="100" w:left="240"/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%BF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21 (6.2%)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36 (10.6%)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53 (15.7%)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74 (21.8%)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&lt;.001</w:t>
            </w:r>
          </w:p>
        </w:tc>
      </w:tr>
      <w:tr w:rsidR="00516BE0" w:rsidRPr="001E757A" w:rsidTr="00C55B94">
        <w:tc>
          <w:tcPr>
            <w:tcW w:w="0" w:type="auto"/>
            <w:shd w:val="clear" w:color="auto" w:fill="D9D9D9" w:themeFill="background1" w:themeFillShade="D9"/>
          </w:tcPr>
          <w:p w:rsidR="00516BE0" w:rsidRPr="001E757A" w:rsidRDefault="00516BE0" w:rsidP="00C55B94">
            <w:pPr>
              <w:ind w:leftChars="100" w:left="240"/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AG ratio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11 (3.3%)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41 (12.3%)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50 (14.7%)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82 (23.5%)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&lt;.001</w:t>
            </w:r>
          </w:p>
        </w:tc>
      </w:tr>
      <w:tr w:rsidR="00516BE0" w:rsidRPr="001E757A" w:rsidTr="00C55B94">
        <w:tc>
          <w:tcPr>
            <w:tcW w:w="0" w:type="auto"/>
            <w:shd w:val="clear" w:color="auto" w:fill="D9D9D9" w:themeFill="background1" w:themeFillShade="D9"/>
          </w:tcPr>
          <w:p w:rsidR="00516BE0" w:rsidRPr="001E757A" w:rsidRDefault="00516BE0" w:rsidP="00C55B94">
            <w:pPr>
              <w:ind w:leftChars="100" w:left="240"/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lastRenderedPageBreak/>
              <w:t>SAT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38 (11.2%)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54 (15.9%)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45 (13.3%)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47 (13.8%)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.36</w:t>
            </w:r>
          </w:p>
        </w:tc>
      </w:tr>
      <w:tr w:rsidR="00516BE0" w:rsidRPr="001E757A" w:rsidTr="00C55B94">
        <w:tc>
          <w:tcPr>
            <w:tcW w:w="0" w:type="auto"/>
            <w:shd w:val="clear" w:color="auto" w:fill="D9D9D9" w:themeFill="background1" w:themeFillShade="D9"/>
          </w:tcPr>
          <w:p w:rsidR="00516BE0" w:rsidRPr="001E757A" w:rsidRDefault="00516BE0" w:rsidP="00C55B94">
            <w:pPr>
              <w:ind w:leftChars="100" w:left="240"/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VAT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9 (2.7%)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25 (7.4%)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46 (13.5%)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104 (30.7%)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  <w:sz w:val="24"/>
              </w:rPr>
            </w:pPr>
            <w:r w:rsidRPr="001E757A">
              <w:rPr>
                <w:rFonts w:ascii="Cambria" w:hAnsi="Cambria" w:cstheme="minorHAnsi"/>
                <w:sz w:val="24"/>
              </w:rPr>
              <w:t>&lt;.001</w:t>
            </w:r>
          </w:p>
        </w:tc>
      </w:tr>
    </w:tbl>
    <w:p w:rsidR="00516BE0" w:rsidRPr="001E757A" w:rsidRDefault="00516BE0" w:rsidP="00516BE0">
      <w:pPr>
        <w:widowControl/>
        <w:adjustRightInd/>
        <w:jc w:val="left"/>
        <w:rPr>
          <w:rFonts w:ascii="Cambria" w:hAnsi="Cambria" w:cstheme="minorHAnsi"/>
        </w:rPr>
      </w:pPr>
      <w:r w:rsidRPr="001E757A">
        <w:rPr>
          <w:rFonts w:ascii="Cambria" w:hAnsi="Cambria" w:cstheme="minorHAnsi"/>
        </w:rPr>
        <w:t>%BF, total body fat percentage; AG ratio, android to gynoid %fat ratio; SAT, subcutaneous adipose tissue; VAT, visceral adipose tissue.</w:t>
      </w:r>
    </w:p>
    <w:p w:rsidR="00516BE0" w:rsidRPr="001E757A" w:rsidRDefault="00516BE0" w:rsidP="00516BE0">
      <w:pPr>
        <w:widowControl/>
        <w:adjustRightInd/>
        <w:jc w:val="left"/>
        <w:rPr>
          <w:rFonts w:ascii="Cambria" w:hAnsi="Cambria" w:cstheme="minorHAnsi"/>
        </w:rPr>
      </w:pPr>
      <w:r w:rsidRPr="001E757A">
        <w:rPr>
          <w:rFonts w:ascii="Cambria" w:hAnsi="Cambria" w:cstheme="minorHAnsi"/>
        </w:rPr>
        <w:t xml:space="preserve">Quartile points for %BF were 29.84, 33.10, and 36.10 in women and 19.18, 22.27, and 25.09 in men; for AG ratio, they were 0.86, 0.96, and 1.05 in women and 1.19, 1.32, and 1.47 in men; for SAT mass, they were 863 g, 1024 g, and 1195 g in women and 602 g, 782 g, and 949 g in men; and for VAT mass, they were 250 g, 391 g, and 553 g in women and 513 g, 752 g, and 1005 g in men. </w:t>
      </w:r>
    </w:p>
    <w:p w:rsidR="00516BE0" w:rsidRPr="001E757A" w:rsidRDefault="00516BE0" w:rsidP="00516BE0">
      <w:pPr>
        <w:widowControl/>
        <w:adjustRightInd/>
        <w:jc w:val="left"/>
        <w:rPr>
          <w:rFonts w:ascii="Cambria" w:hAnsi="Cambria" w:cstheme="minorHAnsi"/>
        </w:rPr>
      </w:pPr>
      <w:r w:rsidRPr="001E757A">
        <w:rPr>
          <w:rFonts w:ascii="Cambria" w:hAnsi="Cambria" w:cstheme="minorHAnsi"/>
        </w:rPr>
        <w:t>Data were presented as the MUHNW numbers (percentage).</w:t>
      </w:r>
    </w:p>
    <w:p w:rsidR="00516BE0" w:rsidRPr="001E757A" w:rsidRDefault="00516BE0" w:rsidP="00516BE0">
      <w:pPr>
        <w:widowControl/>
        <w:adjustRightInd/>
        <w:jc w:val="left"/>
        <w:rPr>
          <w:rFonts w:ascii="Cambria" w:hAnsi="Cambria" w:cstheme="minorHAnsi"/>
          <w:b/>
        </w:rPr>
      </w:pPr>
      <w:r w:rsidRPr="001E757A">
        <w:rPr>
          <w:rFonts w:ascii="Cambria" w:hAnsi="Cambria" w:cstheme="minorHAnsi"/>
        </w:rPr>
        <w:t>P value for difference among the Q1 to Q4.</w:t>
      </w:r>
      <w:r w:rsidRPr="001E757A">
        <w:rPr>
          <w:rFonts w:ascii="Cambria" w:hAnsi="Cambria" w:cstheme="minorHAnsi"/>
          <w:b/>
        </w:rPr>
        <w:br w:type="page"/>
      </w:r>
    </w:p>
    <w:p w:rsidR="00516BE0" w:rsidRPr="001E757A" w:rsidRDefault="00516BE0" w:rsidP="00516BE0">
      <w:pPr>
        <w:jc w:val="left"/>
        <w:rPr>
          <w:rFonts w:ascii="Cambria" w:hAnsi="Cambria" w:cstheme="minorHAnsi"/>
          <w:b/>
          <w:vertAlign w:val="superscript"/>
        </w:rPr>
      </w:pPr>
      <w:r w:rsidRPr="001E757A">
        <w:rPr>
          <w:rFonts w:ascii="Cambria" w:hAnsi="Cambria" w:cstheme="minorHAnsi"/>
          <w:b/>
        </w:rPr>
        <w:lastRenderedPageBreak/>
        <w:t>Table S</w:t>
      </w:r>
      <w:r w:rsidR="00651705">
        <w:rPr>
          <w:rFonts w:ascii="Cambria" w:eastAsiaTheme="minorEastAsia" w:hAnsi="Cambria" w:cstheme="minorHAnsi" w:hint="eastAsia"/>
          <w:b/>
        </w:rPr>
        <w:t>2</w:t>
      </w:r>
      <w:bookmarkStart w:id="0" w:name="_GoBack"/>
      <w:bookmarkEnd w:id="0"/>
      <w:r w:rsidRPr="001E757A">
        <w:rPr>
          <w:rFonts w:ascii="Cambria" w:hAnsi="Cambria" w:cstheme="minorHAnsi"/>
          <w:b/>
        </w:rPr>
        <w:t>. Correlations among various fat measurements</w:t>
      </w:r>
      <w:r w:rsidRPr="001E757A">
        <w:rPr>
          <w:rFonts w:ascii="Cambria" w:hAnsi="Cambria" w:cstheme="minorHAnsi"/>
          <w:b/>
          <w:vertAlign w:val="superscript"/>
        </w:rPr>
        <w:t>a,b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31"/>
        <w:gridCol w:w="1531"/>
        <w:gridCol w:w="1531"/>
        <w:gridCol w:w="1531"/>
        <w:gridCol w:w="1531"/>
      </w:tblGrid>
      <w:tr w:rsidR="00516BE0" w:rsidRPr="001E757A" w:rsidTr="00C55B94">
        <w:trPr>
          <w:trHeight w:val="805"/>
        </w:trPr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</w:rPr>
            </w:pP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</w:rPr>
            </w:pPr>
            <w:r w:rsidRPr="001E757A">
              <w:rPr>
                <w:rFonts w:ascii="Cambria" w:hAnsi="Cambria" w:cstheme="minorHAnsi"/>
              </w:rPr>
              <w:t>%BF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</w:rPr>
            </w:pPr>
            <w:r w:rsidRPr="001E757A">
              <w:rPr>
                <w:rFonts w:ascii="Cambria" w:hAnsi="Cambria" w:cstheme="minorHAnsi"/>
              </w:rPr>
              <w:t>AG ratio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</w:rPr>
            </w:pPr>
            <w:r w:rsidRPr="001E757A">
              <w:rPr>
                <w:rFonts w:ascii="Cambria" w:hAnsi="Cambria" w:cstheme="minorHAnsi"/>
              </w:rPr>
              <w:t>SAT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</w:rPr>
            </w:pPr>
            <w:r w:rsidRPr="001E757A">
              <w:rPr>
                <w:rFonts w:ascii="Cambria" w:hAnsi="Cambria" w:cstheme="minorHAnsi"/>
              </w:rPr>
              <w:t>VAT</w:t>
            </w:r>
          </w:p>
        </w:tc>
      </w:tr>
      <w:tr w:rsidR="00516BE0" w:rsidRPr="001E757A" w:rsidTr="00C55B94">
        <w:trPr>
          <w:trHeight w:val="805"/>
        </w:trPr>
        <w:tc>
          <w:tcPr>
            <w:tcW w:w="1531" w:type="dxa"/>
            <w:tcBorders>
              <w:top w:val="single" w:sz="12" w:space="0" w:color="auto"/>
            </w:tcBorders>
          </w:tcPr>
          <w:p w:rsidR="00516BE0" w:rsidRPr="001E757A" w:rsidRDefault="00516BE0" w:rsidP="00C55B94">
            <w:pPr>
              <w:ind w:leftChars="100" w:left="240"/>
              <w:jc w:val="left"/>
              <w:rPr>
                <w:rFonts w:ascii="Cambria" w:hAnsi="Cambria" w:cstheme="minorHAnsi"/>
              </w:rPr>
            </w:pPr>
            <w:r w:rsidRPr="001E757A">
              <w:rPr>
                <w:rFonts w:ascii="Cambria" w:hAnsi="Cambria" w:cstheme="minorHAnsi"/>
              </w:rPr>
              <w:t>%BF</w:t>
            </w:r>
          </w:p>
        </w:tc>
        <w:tc>
          <w:tcPr>
            <w:tcW w:w="1531" w:type="dxa"/>
            <w:tcBorders>
              <w:top w:val="single" w:sz="12" w:space="0" w:color="auto"/>
            </w:tcBorders>
            <w:vAlign w:val="bottom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</w:rPr>
            </w:pPr>
            <w:r w:rsidRPr="001E757A">
              <w:rPr>
                <w:rFonts w:ascii="Cambria" w:eastAsia="Arial Unicode MS" w:hAnsi="Cambria" w:cstheme="minorHAnsi"/>
                <w:color w:val="000000"/>
                <w:kern w:val="24"/>
              </w:rPr>
              <w:t xml:space="preserve">1.00 </w:t>
            </w:r>
          </w:p>
        </w:tc>
        <w:tc>
          <w:tcPr>
            <w:tcW w:w="1531" w:type="dxa"/>
            <w:tcBorders>
              <w:top w:val="single" w:sz="12" w:space="0" w:color="auto"/>
            </w:tcBorders>
            <w:vAlign w:val="bottom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</w:rPr>
            </w:pPr>
            <w:r w:rsidRPr="001E757A">
              <w:rPr>
                <w:rFonts w:ascii="Cambria" w:eastAsia="Arial Unicode MS" w:hAnsi="Cambria" w:cstheme="minorHAnsi"/>
                <w:color w:val="000000"/>
                <w:kern w:val="24"/>
              </w:rPr>
              <w:t xml:space="preserve">0.36 </w:t>
            </w:r>
          </w:p>
        </w:tc>
        <w:tc>
          <w:tcPr>
            <w:tcW w:w="1531" w:type="dxa"/>
            <w:tcBorders>
              <w:top w:val="single" w:sz="12" w:space="0" w:color="auto"/>
            </w:tcBorders>
            <w:vAlign w:val="bottom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</w:rPr>
            </w:pPr>
            <w:r w:rsidRPr="001E757A">
              <w:rPr>
                <w:rFonts w:ascii="Cambria" w:eastAsia="Arial Unicode MS" w:hAnsi="Cambria" w:cstheme="minorHAnsi"/>
                <w:color w:val="000000"/>
                <w:kern w:val="24"/>
              </w:rPr>
              <w:t xml:space="preserve">0.68 </w:t>
            </w:r>
          </w:p>
        </w:tc>
        <w:tc>
          <w:tcPr>
            <w:tcW w:w="1531" w:type="dxa"/>
            <w:tcBorders>
              <w:top w:val="single" w:sz="12" w:space="0" w:color="auto"/>
            </w:tcBorders>
            <w:vAlign w:val="bottom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</w:rPr>
            </w:pPr>
            <w:r w:rsidRPr="001E757A">
              <w:rPr>
                <w:rFonts w:ascii="Cambria" w:eastAsia="Arial Unicode MS" w:hAnsi="Cambria" w:cstheme="minorHAnsi"/>
                <w:color w:val="000000"/>
                <w:kern w:val="24"/>
              </w:rPr>
              <w:t xml:space="preserve">0.52 </w:t>
            </w:r>
          </w:p>
        </w:tc>
      </w:tr>
      <w:tr w:rsidR="00516BE0" w:rsidRPr="001E757A" w:rsidTr="00C55B94">
        <w:trPr>
          <w:trHeight w:val="805"/>
        </w:trPr>
        <w:tc>
          <w:tcPr>
            <w:tcW w:w="1531" w:type="dxa"/>
          </w:tcPr>
          <w:p w:rsidR="00516BE0" w:rsidRPr="001E757A" w:rsidRDefault="00516BE0" w:rsidP="00C55B94">
            <w:pPr>
              <w:ind w:leftChars="100" w:left="240"/>
              <w:jc w:val="left"/>
              <w:rPr>
                <w:rFonts w:ascii="Cambria" w:hAnsi="Cambria" w:cstheme="minorHAnsi"/>
              </w:rPr>
            </w:pPr>
            <w:r w:rsidRPr="001E757A">
              <w:rPr>
                <w:rFonts w:ascii="Cambria" w:hAnsi="Cambria" w:cstheme="minorHAnsi"/>
              </w:rPr>
              <w:t>AG ratio</w:t>
            </w:r>
          </w:p>
        </w:tc>
        <w:tc>
          <w:tcPr>
            <w:tcW w:w="1531" w:type="dxa"/>
            <w:shd w:val="clear" w:color="auto" w:fill="D9D9D9"/>
            <w:vAlign w:val="center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</w:rPr>
            </w:pPr>
            <w:r w:rsidRPr="001E757A">
              <w:rPr>
                <w:rFonts w:ascii="Cambria" w:hAnsi="Cambria" w:cstheme="minorHAnsi"/>
              </w:rPr>
              <w:t>0.26</w:t>
            </w:r>
          </w:p>
        </w:tc>
        <w:tc>
          <w:tcPr>
            <w:tcW w:w="1531" w:type="dxa"/>
            <w:vAlign w:val="bottom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</w:rPr>
            </w:pPr>
            <w:r w:rsidRPr="001E757A">
              <w:rPr>
                <w:rFonts w:ascii="Cambria" w:eastAsia="Arial Unicode MS" w:hAnsi="Cambria" w:cstheme="minorHAnsi"/>
                <w:color w:val="000000"/>
                <w:kern w:val="24"/>
              </w:rPr>
              <w:t xml:space="preserve">1.00 </w:t>
            </w:r>
          </w:p>
        </w:tc>
        <w:tc>
          <w:tcPr>
            <w:tcW w:w="1531" w:type="dxa"/>
            <w:vAlign w:val="bottom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</w:rPr>
            </w:pPr>
            <w:r w:rsidRPr="001E757A">
              <w:rPr>
                <w:rFonts w:ascii="Cambria" w:eastAsia="Arial Unicode MS" w:hAnsi="Cambria" w:cstheme="minorHAnsi"/>
                <w:color w:val="000000"/>
                <w:kern w:val="24"/>
              </w:rPr>
              <w:t xml:space="preserve">0.47 </w:t>
            </w:r>
          </w:p>
        </w:tc>
        <w:tc>
          <w:tcPr>
            <w:tcW w:w="1531" w:type="dxa"/>
            <w:vAlign w:val="bottom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</w:rPr>
            </w:pPr>
            <w:r w:rsidRPr="001E757A">
              <w:rPr>
                <w:rFonts w:ascii="Cambria" w:eastAsia="Arial Unicode MS" w:hAnsi="Cambria" w:cstheme="minorHAnsi"/>
                <w:color w:val="000000"/>
                <w:kern w:val="24"/>
              </w:rPr>
              <w:t xml:space="preserve">0.69 </w:t>
            </w:r>
          </w:p>
        </w:tc>
      </w:tr>
      <w:tr w:rsidR="00516BE0" w:rsidRPr="001E757A" w:rsidTr="00C55B94">
        <w:trPr>
          <w:trHeight w:val="805"/>
        </w:trPr>
        <w:tc>
          <w:tcPr>
            <w:tcW w:w="1531" w:type="dxa"/>
            <w:tcBorders>
              <w:bottom w:val="nil"/>
            </w:tcBorders>
          </w:tcPr>
          <w:p w:rsidR="00516BE0" w:rsidRPr="001E757A" w:rsidRDefault="00516BE0" w:rsidP="00C55B94">
            <w:pPr>
              <w:ind w:leftChars="100" w:left="240"/>
              <w:jc w:val="left"/>
              <w:rPr>
                <w:rFonts w:ascii="Cambria" w:hAnsi="Cambria" w:cstheme="minorHAnsi"/>
              </w:rPr>
            </w:pPr>
            <w:r w:rsidRPr="001E757A">
              <w:rPr>
                <w:rFonts w:ascii="Cambria" w:hAnsi="Cambria" w:cstheme="minorHAnsi"/>
              </w:rPr>
              <w:t>SAT</w:t>
            </w:r>
          </w:p>
        </w:tc>
        <w:tc>
          <w:tcPr>
            <w:tcW w:w="1531" w:type="dxa"/>
            <w:tcBorders>
              <w:bottom w:val="nil"/>
            </w:tcBorders>
            <w:shd w:val="clear" w:color="auto" w:fill="D9D9D9"/>
            <w:vAlign w:val="center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</w:rPr>
            </w:pPr>
            <w:r w:rsidRPr="001E757A">
              <w:rPr>
                <w:rFonts w:ascii="Cambria" w:hAnsi="Cambria" w:cstheme="minorHAnsi"/>
              </w:rPr>
              <w:t>0.60</w:t>
            </w:r>
          </w:p>
        </w:tc>
        <w:tc>
          <w:tcPr>
            <w:tcW w:w="1531" w:type="dxa"/>
            <w:tcBorders>
              <w:bottom w:val="nil"/>
            </w:tcBorders>
            <w:shd w:val="clear" w:color="auto" w:fill="D9D9D9"/>
            <w:vAlign w:val="center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</w:rPr>
            </w:pPr>
            <w:r w:rsidRPr="001E757A">
              <w:rPr>
                <w:rFonts w:ascii="Cambria" w:hAnsi="Cambria" w:cstheme="minorHAnsi"/>
              </w:rPr>
              <w:t>0.16</w:t>
            </w:r>
          </w:p>
        </w:tc>
        <w:tc>
          <w:tcPr>
            <w:tcW w:w="1531" w:type="dxa"/>
            <w:tcBorders>
              <w:bottom w:val="nil"/>
            </w:tcBorders>
            <w:vAlign w:val="bottom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</w:rPr>
            </w:pPr>
            <w:r w:rsidRPr="001E757A">
              <w:rPr>
                <w:rFonts w:ascii="Cambria" w:eastAsia="Arial Unicode MS" w:hAnsi="Cambria" w:cstheme="minorHAnsi"/>
                <w:color w:val="000000"/>
                <w:kern w:val="24"/>
              </w:rPr>
              <w:t xml:space="preserve">1.00 </w:t>
            </w:r>
          </w:p>
        </w:tc>
        <w:tc>
          <w:tcPr>
            <w:tcW w:w="1531" w:type="dxa"/>
            <w:tcBorders>
              <w:bottom w:val="nil"/>
            </w:tcBorders>
            <w:vAlign w:val="bottom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</w:rPr>
            </w:pPr>
            <w:r w:rsidRPr="001E757A">
              <w:rPr>
                <w:rFonts w:ascii="Cambria" w:eastAsia="Arial Unicode MS" w:hAnsi="Cambria" w:cstheme="minorHAnsi"/>
                <w:color w:val="000000"/>
                <w:kern w:val="24"/>
              </w:rPr>
              <w:t xml:space="preserve">0.24 </w:t>
            </w:r>
          </w:p>
        </w:tc>
      </w:tr>
      <w:tr w:rsidR="00516BE0" w:rsidRPr="001E757A" w:rsidTr="00C55B94">
        <w:trPr>
          <w:trHeight w:val="805"/>
        </w:trPr>
        <w:tc>
          <w:tcPr>
            <w:tcW w:w="1531" w:type="dxa"/>
            <w:tcBorders>
              <w:top w:val="nil"/>
              <w:bottom w:val="single" w:sz="12" w:space="0" w:color="auto"/>
            </w:tcBorders>
          </w:tcPr>
          <w:p w:rsidR="00516BE0" w:rsidRPr="001E757A" w:rsidRDefault="00516BE0" w:rsidP="00C55B94">
            <w:pPr>
              <w:ind w:leftChars="100" w:left="240"/>
              <w:jc w:val="left"/>
              <w:rPr>
                <w:rFonts w:ascii="Cambria" w:hAnsi="Cambria" w:cstheme="minorHAnsi"/>
              </w:rPr>
            </w:pPr>
            <w:r w:rsidRPr="001E757A">
              <w:rPr>
                <w:rFonts w:ascii="Cambria" w:hAnsi="Cambria" w:cstheme="minorHAnsi"/>
              </w:rPr>
              <w:t>VAT</w:t>
            </w:r>
          </w:p>
        </w:tc>
        <w:tc>
          <w:tcPr>
            <w:tcW w:w="1531" w:type="dxa"/>
            <w:tcBorders>
              <w:top w:val="nil"/>
              <w:bottom w:val="single" w:sz="12" w:space="0" w:color="auto"/>
            </w:tcBorders>
            <w:shd w:val="clear" w:color="auto" w:fill="D9D9D9"/>
            <w:vAlign w:val="center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</w:rPr>
            </w:pPr>
            <w:r w:rsidRPr="001E757A">
              <w:rPr>
                <w:rFonts w:ascii="Cambria" w:hAnsi="Cambria" w:cstheme="minorHAnsi"/>
              </w:rPr>
              <w:t>0.66</w:t>
            </w:r>
          </w:p>
        </w:tc>
        <w:tc>
          <w:tcPr>
            <w:tcW w:w="1531" w:type="dxa"/>
            <w:tcBorders>
              <w:top w:val="nil"/>
              <w:bottom w:val="single" w:sz="12" w:space="0" w:color="auto"/>
            </w:tcBorders>
            <w:shd w:val="clear" w:color="auto" w:fill="D9D9D9"/>
            <w:vAlign w:val="center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</w:rPr>
            </w:pPr>
            <w:r w:rsidRPr="001E757A">
              <w:rPr>
                <w:rFonts w:ascii="Cambria" w:hAnsi="Cambria" w:cstheme="minorHAnsi"/>
              </w:rPr>
              <w:t>0.57</w:t>
            </w:r>
          </w:p>
        </w:tc>
        <w:tc>
          <w:tcPr>
            <w:tcW w:w="1531" w:type="dxa"/>
            <w:tcBorders>
              <w:top w:val="nil"/>
              <w:bottom w:val="single" w:sz="12" w:space="0" w:color="auto"/>
            </w:tcBorders>
            <w:shd w:val="clear" w:color="auto" w:fill="D9D9D9"/>
            <w:vAlign w:val="center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</w:rPr>
            </w:pPr>
            <w:r w:rsidRPr="001E757A">
              <w:rPr>
                <w:rFonts w:ascii="Cambria" w:hAnsi="Cambria" w:cstheme="minorHAnsi"/>
              </w:rPr>
              <w:t>0.06</w:t>
            </w:r>
          </w:p>
        </w:tc>
        <w:tc>
          <w:tcPr>
            <w:tcW w:w="1531" w:type="dxa"/>
            <w:tcBorders>
              <w:top w:val="nil"/>
              <w:bottom w:val="single" w:sz="12" w:space="0" w:color="auto"/>
            </w:tcBorders>
            <w:vAlign w:val="bottom"/>
          </w:tcPr>
          <w:p w:rsidR="00516BE0" w:rsidRPr="001E757A" w:rsidRDefault="00516BE0" w:rsidP="00C55B94">
            <w:pPr>
              <w:jc w:val="left"/>
              <w:rPr>
                <w:rFonts w:ascii="Cambria" w:hAnsi="Cambria" w:cstheme="minorHAnsi"/>
              </w:rPr>
            </w:pPr>
            <w:r w:rsidRPr="001E757A">
              <w:rPr>
                <w:rFonts w:ascii="Cambria" w:eastAsia="Arial Unicode MS" w:hAnsi="Cambria" w:cstheme="minorHAnsi"/>
                <w:color w:val="000000"/>
                <w:kern w:val="24"/>
              </w:rPr>
              <w:t xml:space="preserve">1.00 </w:t>
            </w:r>
          </w:p>
        </w:tc>
      </w:tr>
    </w:tbl>
    <w:p w:rsidR="00516BE0" w:rsidRPr="001E757A" w:rsidRDefault="00516BE0" w:rsidP="00516BE0">
      <w:pPr>
        <w:jc w:val="left"/>
        <w:rPr>
          <w:rFonts w:ascii="Cambria" w:hAnsi="Cambria" w:cstheme="minorHAnsi"/>
        </w:rPr>
      </w:pPr>
      <w:r w:rsidRPr="001E757A">
        <w:rPr>
          <w:rFonts w:ascii="Cambria" w:hAnsi="Cambria" w:cstheme="minorHAnsi"/>
          <w:b/>
        </w:rPr>
        <w:br w:type="textWrapping" w:clear="all"/>
      </w:r>
      <w:r w:rsidRPr="001E757A">
        <w:rPr>
          <w:rFonts w:ascii="Cambria" w:hAnsi="Cambria" w:cstheme="minorHAnsi"/>
          <w:vertAlign w:val="superscript"/>
        </w:rPr>
        <w:t>a</w:t>
      </w:r>
      <w:r w:rsidRPr="001E757A">
        <w:rPr>
          <w:rFonts w:ascii="Cambria" w:hAnsi="Cambria" w:cstheme="minorHAnsi"/>
        </w:rPr>
        <w:t>All P-values &lt;.05.</w:t>
      </w:r>
    </w:p>
    <w:p w:rsidR="00516BE0" w:rsidRPr="001E757A" w:rsidRDefault="00516BE0" w:rsidP="00516BE0">
      <w:pPr>
        <w:jc w:val="left"/>
        <w:rPr>
          <w:rFonts w:ascii="Cambria" w:hAnsi="Cambria" w:cstheme="minorHAnsi"/>
        </w:rPr>
      </w:pPr>
      <w:r w:rsidRPr="001E757A">
        <w:rPr>
          <w:rFonts w:ascii="Cambria" w:hAnsi="Cambria" w:cstheme="minorHAnsi"/>
          <w:vertAlign w:val="superscript"/>
        </w:rPr>
        <w:t>b</w:t>
      </w:r>
      <w:r w:rsidRPr="001E757A">
        <w:rPr>
          <w:rFonts w:ascii="Cambria" w:hAnsi="Cambria" w:cstheme="minorHAnsi"/>
        </w:rPr>
        <w:t>Gray shading represents correlations in men; no shading represents correlations in women.</w:t>
      </w:r>
    </w:p>
    <w:p w:rsidR="00DD1BC3" w:rsidRPr="001E757A" w:rsidRDefault="00DD1BC3">
      <w:pPr>
        <w:rPr>
          <w:rFonts w:ascii="Cambria" w:hAnsi="Cambria"/>
        </w:rPr>
      </w:pPr>
    </w:p>
    <w:sectPr w:rsidR="00DD1BC3" w:rsidRPr="001E757A" w:rsidSect="00516BE0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8FB" w:rsidRDefault="004938FB" w:rsidP="003E5094">
      <w:pPr>
        <w:spacing w:line="240" w:lineRule="auto"/>
      </w:pPr>
      <w:r>
        <w:separator/>
      </w:r>
    </w:p>
  </w:endnote>
  <w:endnote w:type="continuationSeparator" w:id="0">
    <w:p w:rsidR="004938FB" w:rsidRDefault="004938FB" w:rsidP="003E50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8FB" w:rsidRDefault="004938FB" w:rsidP="003E5094">
      <w:pPr>
        <w:spacing w:line="240" w:lineRule="auto"/>
      </w:pPr>
      <w:r>
        <w:separator/>
      </w:r>
    </w:p>
  </w:footnote>
  <w:footnote w:type="continuationSeparator" w:id="0">
    <w:p w:rsidR="004938FB" w:rsidRDefault="004938FB" w:rsidP="003E509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F4611"/>
    <w:multiLevelType w:val="hybridMultilevel"/>
    <w:tmpl w:val="62A0011C"/>
    <w:lvl w:ilvl="0" w:tplc="0409000F">
      <w:start w:val="1"/>
      <w:numFmt w:val="decimal"/>
      <w:pStyle w:val="a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BE0"/>
    <w:rsid w:val="001E757A"/>
    <w:rsid w:val="003E5094"/>
    <w:rsid w:val="004938FB"/>
    <w:rsid w:val="004D21F7"/>
    <w:rsid w:val="00516BE0"/>
    <w:rsid w:val="00651705"/>
    <w:rsid w:val="00DD1BC3"/>
    <w:rsid w:val="00F3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844F8"/>
  <w15:chartTrackingRefBased/>
  <w15:docId w15:val="{7D9750B6-B3E3-4958-9E24-29EEA33C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16BE0"/>
    <w:pPr>
      <w:widowControl w:val="0"/>
      <w:adjustRightInd w:val="0"/>
      <w:spacing w:line="480" w:lineRule="auto"/>
      <w:jc w:val="both"/>
    </w:pPr>
    <w:rPr>
      <w:rFonts w:ascii="Calibri" w:eastAsia="Cambria" w:hAnsi="Calibri" w:cs="Times New Roman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516BE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主標題"/>
    <w:basedOn w:val="1"/>
    <w:autoRedefine/>
    <w:qFormat/>
    <w:rsid w:val="00516BE0"/>
    <w:pPr>
      <w:spacing w:before="0" w:after="0" w:line="480" w:lineRule="auto"/>
    </w:pPr>
    <w:rPr>
      <w:rFonts w:ascii="Calibri" w:eastAsia="新細明體" w:hAnsi="Calibri" w:cs="Times New Roman"/>
      <w:bCs w:val="0"/>
      <w:sz w:val="24"/>
    </w:rPr>
  </w:style>
  <w:style w:type="table" w:styleId="a5">
    <w:name w:val="Table Grid"/>
    <w:basedOn w:val="a2"/>
    <w:uiPriority w:val="39"/>
    <w:rsid w:val="00516BE0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1"/>
    <w:link w:val="1"/>
    <w:uiPriority w:val="9"/>
    <w:rsid w:val="00516BE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6">
    <w:name w:val="header"/>
    <w:basedOn w:val="a0"/>
    <w:link w:val="a7"/>
    <w:uiPriority w:val="99"/>
    <w:unhideWhenUsed/>
    <w:rsid w:val="003E50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3E5094"/>
    <w:rPr>
      <w:rFonts w:ascii="Calibri" w:eastAsia="Cambria" w:hAnsi="Calibri" w:cs="Times New Roman"/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3E50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3E5094"/>
    <w:rPr>
      <w:rFonts w:ascii="Calibri" w:eastAsia="Cambria" w:hAnsi="Calibri" w:cs="Times New Roman"/>
      <w:sz w:val="20"/>
      <w:szCs w:val="20"/>
    </w:rPr>
  </w:style>
  <w:style w:type="paragraph" w:customStyle="1" w:styleId="ArticleTitle">
    <w:name w:val="Article Title"/>
    <w:basedOn w:val="aa"/>
    <w:link w:val="ArticleTitle0"/>
    <w:rsid w:val="003E5094"/>
    <w:pPr>
      <w:jc w:val="both"/>
    </w:pPr>
    <w:rPr>
      <w:rFonts w:ascii="Cambria" w:hAnsi="Cambria"/>
      <w:sz w:val="28"/>
    </w:rPr>
  </w:style>
  <w:style w:type="character" w:customStyle="1" w:styleId="ArticleTitle0">
    <w:name w:val="Article Title 字元"/>
    <w:basedOn w:val="ab"/>
    <w:link w:val="ArticleTitle"/>
    <w:rsid w:val="003E5094"/>
    <w:rPr>
      <w:rFonts w:ascii="Cambria" w:eastAsiaTheme="majorEastAsia" w:hAnsi="Cambria" w:cstheme="majorBidi"/>
      <w:b/>
      <w:bCs/>
      <w:sz w:val="28"/>
      <w:szCs w:val="32"/>
    </w:rPr>
  </w:style>
  <w:style w:type="paragraph" w:styleId="ac">
    <w:name w:val="List Paragraph"/>
    <w:aliases w:val="Authors"/>
    <w:basedOn w:val="a0"/>
    <w:next w:val="a"/>
    <w:uiPriority w:val="34"/>
    <w:qFormat/>
    <w:rsid w:val="003E5094"/>
    <w:pPr>
      <w:ind w:leftChars="150" w:left="150"/>
    </w:pPr>
    <w:rPr>
      <w:rFonts w:ascii="Cambria" w:hAnsi="Cambria"/>
    </w:rPr>
  </w:style>
  <w:style w:type="paragraph" w:styleId="aa">
    <w:name w:val="Title"/>
    <w:basedOn w:val="a0"/>
    <w:next w:val="a0"/>
    <w:link w:val="ab"/>
    <w:uiPriority w:val="10"/>
    <w:qFormat/>
    <w:rsid w:val="003E509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b">
    <w:name w:val="標題 字元"/>
    <w:basedOn w:val="a1"/>
    <w:link w:val="aa"/>
    <w:uiPriority w:val="10"/>
    <w:rsid w:val="003E509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">
    <w:name w:val="List Number"/>
    <w:basedOn w:val="a0"/>
    <w:uiPriority w:val="99"/>
    <w:semiHidden/>
    <w:unhideWhenUsed/>
    <w:rsid w:val="003E5094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YiChien Lu</dc:creator>
  <cp:keywords/>
  <dc:description/>
  <cp:lastModifiedBy>YiChien Lu</cp:lastModifiedBy>
  <cp:revision>2</cp:revision>
  <cp:lastPrinted>2018-09-15T07:01:00Z</cp:lastPrinted>
  <dcterms:created xsi:type="dcterms:W3CDTF">2019-11-07T07:44:00Z</dcterms:created>
  <dcterms:modified xsi:type="dcterms:W3CDTF">2019-11-07T07:44:00Z</dcterms:modified>
</cp:coreProperties>
</file>