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1CD" w:rsidRDefault="00E351CD" w:rsidP="00E351CD">
      <w:pPr>
        <w:pStyle w:val="NoSpacing"/>
      </w:pPr>
      <w:r>
        <w:rPr>
          <w:rFonts w:ascii="Times New Roman" w:hAnsi="Times New Roman" w:cs="Times New Roman"/>
          <w:b/>
          <w:sz w:val="24"/>
          <w:szCs w:val="24"/>
        </w:rPr>
        <w:t xml:space="preserve">Methanolic </w:t>
      </w:r>
      <w:r w:rsidRPr="00D325D2">
        <w:rPr>
          <w:rFonts w:ascii="Times New Roman" w:hAnsi="Times New Roman" w:cs="Times New Roman"/>
          <w:b/>
          <w:sz w:val="24"/>
          <w:szCs w:val="24"/>
        </w:rPr>
        <w:t xml:space="preserve">extract </w:t>
      </w:r>
      <w:r>
        <w:rPr>
          <w:rFonts w:ascii="Times New Roman" w:hAnsi="Times New Roman" w:cs="Times New Roman"/>
          <w:b/>
          <w:sz w:val="24"/>
          <w:szCs w:val="24"/>
        </w:rPr>
        <w:t>of</w:t>
      </w:r>
      <w:r w:rsidRPr="00D325D2">
        <w:rPr>
          <w:rFonts w:ascii="Times New Roman" w:hAnsi="Times New Roman" w:cs="Times New Roman"/>
          <w:b/>
          <w:sz w:val="24"/>
          <w:szCs w:val="24"/>
        </w:rPr>
        <w:t xml:space="preserve"> </w:t>
      </w:r>
      <w:r w:rsidRPr="00D325D2">
        <w:rPr>
          <w:rFonts w:ascii="Times New Roman" w:hAnsi="Times New Roman" w:cs="Times New Roman"/>
          <w:b/>
          <w:i/>
          <w:sz w:val="24"/>
          <w:szCs w:val="24"/>
        </w:rPr>
        <w:t xml:space="preserve">Potentilla fulgens </w:t>
      </w:r>
      <w:r w:rsidRPr="00CD1AE0">
        <w:rPr>
          <w:rFonts w:ascii="Times New Roman" w:hAnsi="Times New Roman" w:cs="Times New Roman"/>
          <w:b/>
          <w:sz w:val="24"/>
          <w:szCs w:val="24"/>
        </w:rPr>
        <w:t>root</w:t>
      </w:r>
      <w:r>
        <w:rPr>
          <w:rFonts w:ascii="Times New Roman" w:hAnsi="Times New Roman" w:cs="Times New Roman"/>
          <w:b/>
          <w:i/>
          <w:sz w:val="24"/>
          <w:szCs w:val="24"/>
        </w:rPr>
        <w:t xml:space="preserve"> </w:t>
      </w:r>
      <w:r w:rsidRPr="00D325D2">
        <w:rPr>
          <w:rFonts w:ascii="Times New Roman" w:hAnsi="Times New Roman" w:cs="Times New Roman"/>
          <w:b/>
          <w:sz w:val="24"/>
          <w:szCs w:val="24"/>
        </w:rPr>
        <w:t>an</w:t>
      </w:r>
      <w:r>
        <w:rPr>
          <w:rFonts w:ascii="Times New Roman" w:hAnsi="Times New Roman" w:cs="Times New Roman"/>
          <w:b/>
          <w:sz w:val="24"/>
          <w:szCs w:val="24"/>
        </w:rPr>
        <w:t>d its ethyl-acetate fraction delays the process of carcinogenesis in mice</w:t>
      </w:r>
    </w:p>
    <w:p w:rsidR="00E351CD" w:rsidRPr="00E351CD" w:rsidRDefault="00E351CD" w:rsidP="00E351CD">
      <w:pPr>
        <w:pStyle w:val="NoSpacing"/>
        <w:rPr>
          <w:rFonts w:ascii="Times New Roman" w:hAnsi="Times New Roman" w:cs="Times New Roman"/>
          <w:sz w:val="12"/>
          <w:szCs w:val="12"/>
        </w:rPr>
      </w:pPr>
    </w:p>
    <w:p w:rsidR="00E351CD" w:rsidRDefault="00E351CD" w:rsidP="00E351CD">
      <w:pPr>
        <w:pStyle w:val="NoSpacing"/>
        <w:rPr>
          <w:rFonts w:ascii="Times New Roman" w:hAnsi="Times New Roman" w:cs="Times New Roman"/>
        </w:rPr>
      </w:pPr>
      <w:r w:rsidRPr="00E351CD">
        <w:rPr>
          <w:rFonts w:ascii="Times New Roman" w:hAnsi="Times New Roman" w:cs="Times New Roman"/>
        </w:rPr>
        <w:t>Buddha Ganguly, Alka Chaudhary, Hughbert Dakhar, Inder Pal Singh</w:t>
      </w:r>
      <w:r>
        <w:rPr>
          <w:rFonts w:ascii="Times New Roman" w:hAnsi="Times New Roman" w:cs="Times New Roman"/>
        </w:rPr>
        <w:t>, Anupam Chatterjee</w:t>
      </w:r>
    </w:p>
    <w:p w:rsidR="00E351CD" w:rsidRPr="00E351CD" w:rsidRDefault="00E351CD" w:rsidP="00E351CD">
      <w:pPr>
        <w:pStyle w:val="NoSpacing"/>
        <w:rPr>
          <w:rFonts w:ascii="Times New Roman" w:hAnsi="Times New Roman" w:cs="Times New Roman"/>
          <w:sz w:val="10"/>
          <w:szCs w:val="10"/>
        </w:rPr>
      </w:pPr>
    </w:p>
    <w:p w:rsidR="00634951" w:rsidRDefault="00634951" w:rsidP="003C4F12">
      <w:pPr>
        <w:pStyle w:val="NoSpacing"/>
        <w:rPr>
          <w:rFonts w:ascii="Times New Roman" w:hAnsi="Times New Roman" w:cs="Times New Roman"/>
          <w:b/>
          <w:sz w:val="24"/>
          <w:szCs w:val="24"/>
        </w:rPr>
      </w:pPr>
    </w:p>
    <w:p w:rsidR="003C4F12" w:rsidRPr="00A33954" w:rsidRDefault="003C4F12" w:rsidP="003C4F12">
      <w:pPr>
        <w:pStyle w:val="NoSpacing"/>
        <w:rPr>
          <w:rFonts w:ascii="Times New Roman" w:hAnsi="Times New Roman" w:cs="Times New Roman"/>
          <w:b/>
          <w:sz w:val="24"/>
          <w:szCs w:val="24"/>
        </w:rPr>
      </w:pPr>
      <w:r w:rsidRPr="00A33954">
        <w:rPr>
          <w:rFonts w:ascii="Times New Roman" w:hAnsi="Times New Roman" w:cs="Times New Roman"/>
          <w:b/>
          <w:sz w:val="24"/>
          <w:szCs w:val="24"/>
        </w:rPr>
        <w:t>Supplementary Information</w:t>
      </w:r>
    </w:p>
    <w:p w:rsidR="003C4F12" w:rsidRPr="008E4B37" w:rsidRDefault="003C4F12" w:rsidP="003C4F12">
      <w:pPr>
        <w:pStyle w:val="NoSpacing"/>
        <w:rPr>
          <w:rFonts w:ascii="Arial Narrow" w:hAnsi="Arial Narrow"/>
          <w:sz w:val="10"/>
          <w:szCs w:val="10"/>
        </w:rPr>
      </w:pPr>
    </w:p>
    <w:p w:rsidR="004C3B96" w:rsidRDefault="004C3B96" w:rsidP="004C3B96">
      <w:pPr>
        <w:pStyle w:val="Default"/>
        <w:spacing w:line="360" w:lineRule="auto"/>
        <w:rPr>
          <w:i/>
        </w:rPr>
      </w:pPr>
      <w:r>
        <w:rPr>
          <w:i/>
        </w:rPr>
        <w:t>Isolation and structure elucidation of compounds</w:t>
      </w:r>
    </w:p>
    <w:p w:rsidR="004C3B96" w:rsidRPr="00634951" w:rsidRDefault="00415743" w:rsidP="00634951">
      <w:pPr>
        <w:autoSpaceDE w:val="0"/>
        <w:autoSpaceDN w:val="0"/>
        <w:adjustRightInd w:val="0"/>
        <w:spacing w:after="0" w:line="360" w:lineRule="auto"/>
        <w:jc w:val="both"/>
        <w:rPr>
          <w:rFonts w:ascii="Times New Roman" w:hAnsi="Times New Roman" w:cs="Times New Roman"/>
          <w:color w:val="000000"/>
          <w:sz w:val="24"/>
          <w:szCs w:val="24"/>
          <w:lang w:bidi="bn-IN"/>
        </w:rPr>
      </w:pPr>
      <w:r w:rsidRPr="00D35218">
        <w:rPr>
          <w:rFonts w:ascii="Times New Roman" w:hAnsi="Times New Roman" w:cs="Times New Roman"/>
          <w:color w:val="000000"/>
          <w:sz w:val="24"/>
          <w:szCs w:val="24"/>
          <w:lang w:bidi="bn-IN"/>
        </w:rPr>
        <w:t>The e</w:t>
      </w:r>
      <w:r w:rsidR="004C3B96" w:rsidRPr="00D35218">
        <w:rPr>
          <w:rFonts w:ascii="Times New Roman" w:hAnsi="Times New Roman" w:cs="Times New Roman"/>
          <w:color w:val="000000"/>
          <w:sz w:val="24"/>
          <w:szCs w:val="24"/>
          <w:lang w:bidi="bn-IN"/>
        </w:rPr>
        <w:t>thyl acetate fraction was selected for further</w:t>
      </w:r>
      <w:r w:rsidRPr="00D35218">
        <w:rPr>
          <w:rFonts w:ascii="Times New Roman" w:hAnsi="Times New Roman" w:cs="Times New Roman"/>
          <w:color w:val="000000"/>
          <w:sz w:val="24"/>
          <w:szCs w:val="24"/>
          <w:lang w:bidi="bn-IN"/>
        </w:rPr>
        <w:t xml:space="preserve"> purification of pure compounds and for this it was subjected to vacuum liquid chromatography to yield five pooled fractions, E1 to E5. From fraction E1, ursolic acid, euscaphic acid and corosolic acid</w:t>
      </w:r>
      <w:r w:rsidR="005A5DBA" w:rsidRPr="00D35218">
        <w:rPr>
          <w:rFonts w:ascii="Times New Roman" w:hAnsi="Times New Roman" w:cs="Times New Roman"/>
          <w:color w:val="000000"/>
          <w:sz w:val="24"/>
          <w:szCs w:val="24"/>
          <w:lang w:bidi="bn-IN"/>
        </w:rPr>
        <w:t xml:space="preserve"> </w:t>
      </w:r>
      <w:r w:rsidRPr="00D35218">
        <w:rPr>
          <w:rFonts w:ascii="Times New Roman" w:hAnsi="Times New Roman" w:cs="Times New Roman"/>
          <w:color w:val="000000"/>
          <w:sz w:val="24"/>
          <w:szCs w:val="24"/>
          <w:lang w:bidi="bn-IN"/>
        </w:rPr>
        <w:t>were received through column chromatography. From fraction E2, two stereoisomeric triterpene acids, fulgic</w:t>
      </w:r>
      <w:r w:rsidR="00D35218">
        <w:rPr>
          <w:rFonts w:ascii="Times New Roman" w:hAnsi="Times New Roman" w:cs="Times New Roman"/>
          <w:color w:val="000000"/>
          <w:sz w:val="24"/>
          <w:szCs w:val="24"/>
          <w:lang w:bidi="bn-IN"/>
        </w:rPr>
        <w:t xml:space="preserve"> </w:t>
      </w:r>
      <w:r w:rsidRPr="00D35218">
        <w:rPr>
          <w:rFonts w:ascii="Times New Roman" w:hAnsi="Times New Roman" w:cs="Times New Roman"/>
          <w:color w:val="000000"/>
          <w:sz w:val="24"/>
          <w:szCs w:val="24"/>
          <w:lang w:bidi="bn-IN"/>
        </w:rPr>
        <w:t xml:space="preserve">acid A and fulgic acid B were separated by HPLC. </w:t>
      </w:r>
      <w:r w:rsidR="00D35218" w:rsidRPr="00D35218">
        <w:rPr>
          <w:rFonts w:ascii="Times New Roman" w:hAnsi="Times New Roman" w:cs="Times New Roman"/>
          <w:color w:val="000000"/>
          <w:sz w:val="24"/>
          <w:szCs w:val="24"/>
          <w:lang w:bidi="bn-IN"/>
        </w:rPr>
        <w:t>Phenolic</w:t>
      </w:r>
      <w:r w:rsidR="00D35218">
        <w:rPr>
          <w:rFonts w:ascii="Times New Roman" w:hAnsi="Times New Roman" w:cs="Times New Roman"/>
          <w:color w:val="000000"/>
          <w:sz w:val="24"/>
          <w:szCs w:val="24"/>
          <w:lang w:bidi="bn-IN"/>
        </w:rPr>
        <w:t xml:space="preserve">s catechin, epicatechin, gallic </w:t>
      </w:r>
      <w:r w:rsidR="00D35218" w:rsidRPr="00D35218">
        <w:rPr>
          <w:rFonts w:ascii="Times New Roman" w:hAnsi="Times New Roman" w:cs="Times New Roman"/>
          <w:color w:val="000000"/>
          <w:sz w:val="24"/>
          <w:szCs w:val="24"/>
          <w:lang w:bidi="bn-IN"/>
        </w:rPr>
        <w:t>acid, p-hydroxybenzoic acid, various monomeric and dimeric flavan-3-ols were obtained</w:t>
      </w:r>
      <w:r w:rsidR="00D35218" w:rsidRPr="00D35218">
        <w:rPr>
          <w:rFonts w:ascii="AdvOT1ef757c0" w:hAnsi="AdvOT1ef757c0" w:cs="AdvOT1ef757c0"/>
          <w:color w:val="000000"/>
          <w:sz w:val="24"/>
          <w:szCs w:val="24"/>
          <w:lang w:bidi="bn-IN"/>
        </w:rPr>
        <w:t xml:space="preserve"> </w:t>
      </w:r>
      <w:r w:rsidR="00D35218" w:rsidRPr="00D35218">
        <w:rPr>
          <w:rFonts w:ascii="Times New Roman" w:hAnsi="Times New Roman" w:cs="Times New Roman"/>
          <w:color w:val="000000"/>
          <w:sz w:val="24"/>
          <w:szCs w:val="24"/>
          <w:lang w:bidi="bn-IN"/>
        </w:rPr>
        <w:t xml:space="preserve">from fraction E3 to E5 after column chromatography and reverse phase HPLC. </w:t>
      </w:r>
      <w:r w:rsidR="004C3B96" w:rsidRPr="00D35218">
        <w:rPr>
          <w:rFonts w:ascii="Times New Roman" w:hAnsi="Times New Roman"/>
          <w:sz w:val="24"/>
          <w:szCs w:val="24"/>
          <w:lang w:bidi="bn-IN"/>
        </w:rPr>
        <w:t xml:space="preserve">Chemical structures were </w:t>
      </w:r>
      <w:r w:rsidR="004C3B96" w:rsidRPr="00D35218">
        <w:rPr>
          <w:rFonts w:ascii="Times New Roman" w:hAnsi="Times New Roman" w:cs="Times New Roman"/>
          <w:sz w:val="24"/>
          <w:szCs w:val="24"/>
          <w:lang w:bidi="bn-IN"/>
        </w:rPr>
        <w:t>elucidated by spectroscopic methods, especially ESIHRMS and 2D NMR techniques.</w:t>
      </w:r>
    </w:p>
    <w:p w:rsidR="004C3B96" w:rsidRDefault="004C3B96" w:rsidP="003C4F12">
      <w:pPr>
        <w:pStyle w:val="Default"/>
        <w:rPr>
          <w:i/>
        </w:rPr>
      </w:pPr>
    </w:p>
    <w:p w:rsidR="005C13A9" w:rsidRDefault="00634951" w:rsidP="003C4F12">
      <w:pPr>
        <w:pStyle w:val="Default"/>
        <w:rPr>
          <w:i/>
        </w:rPr>
      </w:pPr>
      <w:r>
        <w:rPr>
          <w:i/>
          <w:noProof/>
          <w:lang w:eastAsia="en-IN" w:bidi="bn-IN"/>
        </w:rPr>
        <w:drawing>
          <wp:inline distT="0" distB="0" distL="0" distR="0">
            <wp:extent cx="5997575" cy="3095625"/>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3349" cy="3098605"/>
                    </a:xfrm>
                    <a:prstGeom prst="rect">
                      <a:avLst/>
                    </a:prstGeom>
                    <a:noFill/>
                    <a:ln>
                      <a:noFill/>
                    </a:ln>
                  </pic:spPr>
                </pic:pic>
              </a:graphicData>
            </a:graphic>
          </wp:inline>
        </w:drawing>
      </w:r>
    </w:p>
    <w:p w:rsidR="004C3B96" w:rsidRDefault="004C3B96" w:rsidP="003C4F12">
      <w:pPr>
        <w:pStyle w:val="Default"/>
        <w:rPr>
          <w:i/>
        </w:rPr>
      </w:pPr>
    </w:p>
    <w:p w:rsidR="004C3B96" w:rsidRPr="005C13A9" w:rsidRDefault="00415743" w:rsidP="005C13A9">
      <w:pPr>
        <w:autoSpaceDE w:val="0"/>
        <w:autoSpaceDN w:val="0"/>
        <w:adjustRightInd w:val="0"/>
        <w:spacing w:after="0" w:line="240" w:lineRule="auto"/>
        <w:rPr>
          <w:rFonts w:ascii="Times New Roman" w:hAnsi="Times New Roman" w:cs="Times New Roman"/>
          <w:sz w:val="24"/>
          <w:szCs w:val="24"/>
          <w:lang w:bidi="bn-IN"/>
        </w:rPr>
      </w:pPr>
      <w:r w:rsidRPr="00634951">
        <w:rPr>
          <w:rFonts w:ascii="Times New Roman" w:hAnsi="Times New Roman" w:cs="Times New Roman"/>
          <w:b/>
          <w:bCs/>
          <w:sz w:val="24"/>
          <w:szCs w:val="24"/>
          <w:lang w:bidi="bn-IN"/>
        </w:rPr>
        <w:t xml:space="preserve">Fig </w:t>
      </w:r>
      <w:r w:rsidR="005C13A9" w:rsidRPr="00634951">
        <w:rPr>
          <w:rFonts w:ascii="Times New Roman" w:hAnsi="Times New Roman" w:cs="Times New Roman"/>
          <w:b/>
          <w:bCs/>
          <w:sz w:val="24"/>
          <w:szCs w:val="24"/>
          <w:lang w:bidi="bn-IN"/>
        </w:rPr>
        <w:t>S</w:t>
      </w:r>
      <w:r w:rsidRPr="00634951">
        <w:rPr>
          <w:rFonts w:ascii="Times New Roman" w:hAnsi="Times New Roman" w:cs="Times New Roman"/>
          <w:b/>
          <w:bCs/>
          <w:sz w:val="24"/>
          <w:szCs w:val="24"/>
          <w:lang w:bidi="bn-IN"/>
        </w:rPr>
        <w:t>1</w:t>
      </w:r>
      <w:r w:rsidR="005C13A9" w:rsidRPr="00634951">
        <w:rPr>
          <w:rFonts w:ascii="Times New Roman" w:hAnsi="Times New Roman" w:cs="Times New Roman"/>
          <w:b/>
          <w:bCs/>
          <w:sz w:val="24"/>
          <w:szCs w:val="24"/>
          <w:lang w:bidi="bn-IN"/>
        </w:rPr>
        <w:t>.</w:t>
      </w:r>
      <w:r w:rsidR="005C13A9">
        <w:rPr>
          <w:rFonts w:ascii="Times New Roman" w:hAnsi="Times New Roman" w:cs="Times New Roman"/>
          <w:sz w:val="24"/>
          <w:szCs w:val="24"/>
          <w:lang w:bidi="bn-IN"/>
        </w:rPr>
        <w:t xml:space="preserve"> </w:t>
      </w:r>
      <w:r w:rsidR="005C13A9" w:rsidRPr="005C13A9">
        <w:rPr>
          <w:rFonts w:ascii="Times New Roman" w:hAnsi="Times New Roman" w:cs="Times New Roman"/>
          <w:sz w:val="24"/>
          <w:szCs w:val="24"/>
          <w:lang w:bidi="bn-IN"/>
        </w:rPr>
        <w:t xml:space="preserve"> Isolation and characterization scheme scheme of </w:t>
      </w:r>
      <w:r w:rsidR="005C13A9" w:rsidRPr="005C13A9">
        <w:rPr>
          <w:rFonts w:ascii="Times New Roman" w:hAnsi="Times New Roman" w:cs="Times New Roman"/>
          <w:i/>
          <w:iCs/>
          <w:sz w:val="24"/>
          <w:szCs w:val="24"/>
          <w:lang w:bidi="bn-IN"/>
        </w:rPr>
        <w:t>Potentilla fulgens</w:t>
      </w:r>
      <w:r w:rsidR="005C13A9" w:rsidRPr="005C13A9">
        <w:rPr>
          <w:rFonts w:ascii="Times New Roman" w:hAnsi="Times New Roman" w:cs="Times New Roman"/>
          <w:sz w:val="24"/>
          <w:szCs w:val="24"/>
          <w:lang w:bidi="bn-IN"/>
        </w:rPr>
        <w:t xml:space="preserve"> root extract</w:t>
      </w:r>
    </w:p>
    <w:p w:rsidR="004C3B96" w:rsidRDefault="004C3B96" w:rsidP="003C4F12">
      <w:pPr>
        <w:pStyle w:val="Default"/>
        <w:rPr>
          <w:i/>
        </w:rPr>
      </w:pPr>
    </w:p>
    <w:p w:rsidR="00634951" w:rsidRPr="0014518C" w:rsidRDefault="00634951" w:rsidP="003C4F12">
      <w:pPr>
        <w:pStyle w:val="Default"/>
        <w:rPr>
          <w:i/>
          <w:sz w:val="10"/>
          <w:szCs w:val="10"/>
        </w:rPr>
      </w:pPr>
    </w:p>
    <w:p w:rsidR="003C4F12" w:rsidRPr="00BD7C91" w:rsidRDefault="003C4F12" w:rsidP="003C4F12">
      <w:pPr>
        <w:pStyle w:val="Default"/>
        <w:rPr>
          <w:i/>
        </w:rPr>
      </w:pPr>
      <w:r w:rsidRPr="00BD7C91">
        <w:rPr>
          <w:i/>
        </w:rPr>
        <w:t>Primer sequences</w:t>
      </w:r>
    </w:p>
    <w:p w:rsidR="003C4F12" w:rsidRPr="00E07904" w:rsidRDefault="003C4F12" w:rsidP="003C4F12">
      <w:pPr>
        <w:pStyle w:val="Default"/>
        <w:rPr>
          <w:b/>
          <w:sz w:val="12"/>
          <w:szCs w:val="12"/>
        </w:rPr>
      </w:pPr>
    </w:p>
    <w:p w:rsidR="003C4F12" w:rsidRPr="00BD7C91" w:rsidRDefault="003C4F12" w:rsidP="00E351CD">
      <w:pPr>
        <w:pStyle w:val="Default"/>
        <w:spacing w:line="360" w:lineRule="auto"/>
        <w:jc w:val="both"/>
      </w:pPr>
      <w:r w:rsidRPr="00BD7C91">
        <w:t>Both forward and reverse prime</w:t>
      </w:r>
      <w:r>
        <w:t>rs of AuKA,</w:t>
      </w:r>
      <w:r w:rsidRPr="00BD7C91">
        <w:t xml:space="preserve"> Mad2 and GAPDH </w:t>
      </w:r>
      <w:r>
        <w:t>genes were used in q</w:t>
      </w:r>
      <w:r w:rsidRPr="00BD7C91">
        <w:t xml:space="preserve">RT-PCR analysis. The sequences of </w:t>
      </w:r>
      <w:r>
        <w:t xml:space="preserve">the primers are mentioned below. These PCR primers for the specific genes were designed using primer design software Primer3 and verified for specificity using BLAST software. </w:t>
      </w:r>
      <w:r w:rsidRPr="00BD7C91">
        <w:t xml:space="preserve">  </w:t>
      </w:r>
    </w:p>
    <w:p w:rsidR="00634951" w:rsidRDefault="00634951" w:rsidP="003C4F12">
      <w:pPr>
        <w:rPr>
          <w:rFonts w:ascii="Times New Roman" w:hAnsi="Times New Roman"/>
          <w:b/>
          <w:sz w:val="24"/>
          <w:szCs w:val="24"/>
        </w:rPr>
      </w:pPr>
    </w:p>
    <w:p w:rsidR="003C4F12" w:rsidRPr="00A26D62" w:rsidRDefault="003C4F12" w:rsidP="003C4F12">
      <w:pPr>
        <w:rPr>
          <w:rFonts w:ascii="Times New Roman" w:hAnsi="Times New Roman"/>
          <w:b/>
          <w:sz w:val="24"/>
          <w:szCs w:val="24"/>
        </w:rPr>
      </w:pPr>
      <w:r w:rsidRPr="00A26D62">
        <w:rPr>
          <w:rFonts w:ascii="Times New Roman" w:hAnsi="Times New Roman"/>
          <w:b/>
          <w:sz w:val="24"/>
          <w:szCs w:val="24"/>
        </w:rPr>
        <w:lastRenderedPageBreak/>
        <w:t xml:space="preserve">Table S1 </w:t>
      </w:r>
      <w:r w:rsidR="0014518C">
        <w:rPr>
          <w:rFonts w:ascii="Times New Roman" w:hAnsi="Times New Roman"/>
          <w:b/>
          <w:sz w:val="24"/>
          <w:szCs w:val="24"/>
        </w:rPr>
        <w:t xml:space="preserve">  Primer sequences</w:t>
      </w:r>
      <w:bookmarkStart w:id="0" w:name="_GoBack"/>
      <w:bookmarkEnd w:id="0"/>
    </w:p>
    <w:p w:rsidR="003C4F12" w:rsidRPr="00BD7C91" w:rsidRDefault="003C4F12" w:rsidP="003C4F12">
      <w:pPr>
        <w:rPr>
          <w:rFonts w:ascii="Times New Roman" w:hAnsi="Times New Roman"/>
          <w:sz w:val="24"/>
          <w:szCs w:val="24"/>
        </w:rPr>
      </w:pPr>
      <w:r>
        <w:rPr>
          <w:rFonts w:ascii="Times New Roman" w:hAnsi="Times New Roman"/>
          <w:sz w:val="24"/>
          <w:szCs w:val="24"/>
        </w:rPr>
        <w:t>Au</w:t>
      </w:r>
      <w:r w:rsidRPr="00BD7C91">
        <w:rPr>
          <w:rFonts w:ascii="Times New Roman" w:hAnsi="Times New Roman"/>
          <w:sz w:val="24"/>
          <w:szCs w:val="24"/>
        </w:rPr>
        <w:t>KA</w:t>
      </w:r>
      <w:r>
        <w:rPr>
          <w:rFonts w:ascii="Times New Roman" w:hAnsi="Times New Roman"/>
          <w:sz w:val="24"/>
          <w:szCs w:val="24"/>
        </w:rPr>
        <w:t xml:space="preserve">       (Forwad)</w:t>
      </w:r>
      <w:r w:rsidRPr="00BD7C91">
        <w:rPr>
          <w:rFonts w:ascii="Times New Roman" w:hAnsi="Times New Roman"/>
          <w:sz w:val="24"/>
          <w:szCs w:val="24"/>
        </w:rPr>
        <w:t>:  ACATCCTCAGGCTGTATGGCTATTT</w:t>
      </w:r>
      <w:r>
        <w:rPr>
          <w:rFonts w:ascii="Times New Roman" w:hAnsi="Times New Roman"/>
          <w:sz w:val="24"/>
          <w:szCs w:val="24"/>
        </w:rPr>
        <w:t xml:space="preserve">        </w:t>
      </w:r>
    </w:p>
    <w:p w:rsidR="003C4F12" w:rsidRPr="00BD7C91" w:rsidRDefault="003C4F12" w:rsidP="003C4F12">
      <w:pPr>
        <w:jc w:val="both"/>
        <w:rPr>
          <w:rFonts w:ascii="Times New Roman" w:hAnsi="Times New Roman"/>
          <w:sz w:val="24"/>
          <w:szCs w:val="24"/>
        </w:rPr>
      </w:pPr>
      <w:r w:rsidRPr="00BD7C91">
        <w:rPr>
          <w:rFonts w:ascii="Times New Roman" w:hAnsi="Times New Roman"/>
          <w:sz w:val="24"/>
          <w:szCs w:val="24"/>
        </w:rPr>
        <w:t xml:space="preserve">            </w:t>
      </w:r>
      <w:r>
        <w:rPr>
          <w:rFonts w:ascii="Times New Roman" w:hAnsi="Times New Roman"/>
          <w:sz w:val="24"/>
          <w:szCs w:val="24"/>
        </w:rPr>
        <w:t xml:space="preserve">     </w:t>
      </w:r>
      <w:r w:rsidRPr="00BD7C91">
        <w:rPr>
          <w:rFonts w:ascii="Times New Roman" w:hAnsi="Times New Roman"/>
          <w:sz w:val="24"/>
          <w:szCs w:val="24"/>
        </w:rPr>
        <w:t>(Reverse):  CCGTTTGAGCCAAGCAGTAAGTTCT</w:t>
      </w:r>
      <w:r>
        <w:rPr>
          <w:rFonts w:ascii="Times New Roman" w:hAnsi="Times New Roman"/>
          <w:sz w:val="24"/>
          <w:szCs w:val="24"/>
        </w:rPr>
        <w:t xml:space="preserve">       </w:t>
      </w:r>
    </w:p>
    <w:p w:rsidR="003C4F12" w:rsidRPr="00BD7C91" w:rsidRDefault="003C4F12" w:rsidP="003C4F12">
      <w:pPr>
        <w:rPr>
          <w:rFonts w:ascii="Times New Roman" w:hAnsi="Times New Roman"/>
          <w:sz w:val="24"/>
          <w:szCs w:val="24"/>
        </w:rPr>
      </w:pPr>
      <w:r w:rsidRPr="00BD7C91">
        <w:rPr>
          <w:rFonts w:ascii="Times New Roman" w:hAnsi="Times New Roman"/>
          <w:sz w:val="24"/>
          <w:szCs w:val="24"/>
        </w:rPr>
        <w:t xml:space="preserve">Mad2 </w:t>
      </w:r>
      <w:r>
        <w:rPr>
          <w:rFonts w:ascii="Times New Roman" w:hAnsi="Times New Roman"/>
          <w:sz w:val="24"/>
          <w:szCs w:val="24"/>
        </w:rPr>
        <w:t xml:space="preserve">      </w:t>
      </w:r>
      <w:r w:rsidRPr="00BD7C91">
        <w:rPr>
          <w:rFonts w:ascii="Times New Roman" w:hAnsi="Times New Roman"/>
          <w:sz w:val="24"/>
          <w:szCs w:val="24"/>
        </w:rPr>
        <w:t xml:space="preserve"> (Forward):  GCCGAGTTTTTCTCATTTGG</w:t>
      </w:r>
      <w:r>
        <w:rPr>
          <w:rFonts w:ascii="Times New Roman" w:hAnsi="Times New Roman"/>
          <w:sz w:val="24"/>
          <w:szCs w:val="24"/>
        </w:rPr>
        <w:t xml:space="preserve">                  </w:t>
      </w:r>
    </w:p>
    <w:p w:rsidR="003C4F12" w:rsidRPr="00BD7C91" w:rsidRDefault="003C4F12" w:rsidP="003C4F12">
      <w:pPr>
        <w:rPr>
          <w:rFonts w:ascii="Times New Roman" w:hAnsi="Times New Roman"/>
          <w:sz w:val="24"/>
          <w:szCs w:val="24"/>
        </w:rPr>
      </w:pPr>
      <w:r w:rsidRPr="00BD7C91">
        <w:rPr>
          <w:rFonts w:ascii="Times New Roman" w:hAnsi="Times New Roman"/>
          <w:sz w:val="24"/>
          <w:szCs w:val="24"/>
        </w:rPr>
        <w:t xml:space="preserve">            </w:t>
      </w:r>
      <w:r>
        <w:rPr>
          <w:rFonts w:ascii="Times New Roman" w:hAnsi="Times New Roman"/>
          <w:sz w:val="24"/>
          <w:szCs w:val="24"/>
        </w:rPr>
        <w:t xml:space="preserve">    </w:t>
      </w:r>
      <w:r w:rsidRPr="00BD7C91">
        <w:rPr>
          <w:rFonts w:ascii="Times New Roman" w:hAnsi="Times New Roman"/>
          <w:sz w:val="24"/>
          <w:szCs w:val="24"/>
        </w:rPr>
        <w:t xml:space="preserve"> (Reverse):  TTTGAGATGACCACCACCAG</w:t>
      </w:r>
      <w:r>
        <w:rPr>
          <w:rFonts w:ascii="Times New Roman" w:hAnsi="Times New Roman"/>
          <w:sz w:val="24"/>
          <w:szCs w:val="24"/>
        </w:rPr>
        <w:t xml:space="preserve">                  </w:t>
      </w:r>
    </w:p>
    <w:p w:rsidR="003C4F12" w:rsidRPr="00BD7C91" w:rsidRDefault="003C4F12" w:rsidP="003C4F12">
      <w:pPr>
        <w:rPr>
          <w:rFonts w:ascii="Times New Roman" w:hAnsi="Times New Roman"/>
          <w:sz w:val="24"/>
          <w:szCs w:val="24"/>
        </w:rPr>
      </w:pPr>
      <w:r w:rsidRPr="00BD7C91">
        <w:rPr>
          <w:rFonts w:ascii="Times New Roman" w:hAnsi="Times New Roman"/>
          <w:sz w:val="24"/>
          <w:szCs w:val="24"/>
        </w:rPr>
        <w:t xml:space="preserve">GAPDH </w:t>
      </w:r>
      <w:r>
        <w:rPr>
          <w:rFonts w:ascii="Times New Roman" w:hAnsi="Times New Roman"/>
          <w:sz w:val="24"/>
          <w:szCs w:val="24"/>
        </w:rPr>
        <w:t xml:space="preserve"> </w:t>
      </w:r>
      <w:r w:rsidRPr="00BD7C91">
        <w:rPr>
          <w:rFonts w:ascii="Times New Roman" w:hAnsi="Times New Roman"/>
          <w:sz w:val="24"/>
          <w:szCs w:val="24"/>
        </w:rPr>
        <w:t xml:space="preserve"> (Forward):  ACAGTCCATGCCATCACTGCC</w:t>
      </w:r>
      <w:r>
        <w:rPr>
          <w:rFonts w:ascii="Times New Roman" w:hAnsi="Times New Roman"/>
          <w:sz w:val="24"/>
          <w:szCs w:val="24"/>
        </w:rPr>
        <w:t xml:space="preserve">            </w:t>
      </w:r>
    </w:p>
    <w:p w:rsidR="003C4F12" w:rsidRPr="00A33954" w:rsidRDefault="003C4F12" w:rsidP="003C4F12">
      <w:pPr>
        <w:rPr>
          <w:rFonts w:ascii="Times New Roman" w:hAnsi="Times New Roman"/>
          <w:sz w:val="24"/>
          <w:szCs w:val="24"/>
        </w:rPr>
      </w:pPr>
      <w:r w:rsidRPr="00BD7C91">
        <w:rPr>
          <w:rFonts w:ascii="Times New Roman" w:hAnsi="Times New Roman"/>
          <w:sz w:val="24"/>
          <w:szCs w:val="24"/>
        </w:rPr>
        <w:t xml:space="preserve">              </w:t>
      </w:r>
      <w:r>
        <w:rPr>
          <w:rFonts w:ascii="Times New Roman" w:hAnsi="Times New Roman"/>
          <w:sz w:val="24"/>
          <w:szCs w:val="24"/>
        </w:rPr>
        <w:t xml:space="preserve"> </w:t>
      </w:r>
      <w:r w:rsidRPr="00BD7C91">
        <w:rPr>
          <w:rFonts w:ascii="Times New Roman" w:hAnsi="Times New Roman"/>
          <w:sz w:val="24"/>
          <w:szCs w:val="24"/>
        </w:rPr>
        <w:t xml:space="preserve"> </w:t>
      </w:r>
      <w:r>
        <w:rPr>
          <w:rFonts w:ascii="Times New Roman" w:hAnsi="Times New Roman"/>
          <w:sz w:val="24"/>
          <w:szCs w:val="24"/>
        </w:rPr>
        <w:t xml:space="preserve"> </w:t>
      </w:r>
      <w:r w:rsidRPr="00BD7C91">
        <w:rPr>
          <w:rFonts w:ascii="Times New Roman" w:hAnsi="Times New Roman"/>
          <w:sz w:val="24"/>
          <w:szCs w:val="24"/>
        </w:rPr>
        <w:t>(Reverse):  GCCTGCTTCACCACCTTCTTG</w:t>
      </w:r>
      <w:r>
        <w:rPr>
          <w:rFonts w:ascii="Times New Roman" w:hAnsi="Times New Roman"/>
          <w:sz w:val="24"/>
          <w:szCs w:val="24"/>
        </w:rPr>
        <w:t xml:space="preserve">                 </w:t>
      </w:r>
    </w:p>
    <w:p w:rsidR="003C4F12" w:rsidRPr="00A6284C" w:rsidRDefault="003C4F12" w:rsidP="003C4F12">
      <w:pPr>
        <w:pStyle w:val="NoSpacing"/>
        <w:spacing w:line="360" w:lineRule="auto"/>
        <w:rPr>
          <w:rFonts w:ascii="Times New Roman" w:hAnsi="Times New Roman" w:cs="Times New Roman"/>
          <w:b/>
          <w:sz w:val="24"/>
          <w:szCs w:val="24"/>
        </w:rPr>
      </w:pPr>
      <w:r w:rsidRPr="004756D7">
        <w:rPr>
          <w:rFonts w:ascii="Times New Roman" w:hAnsi="Times New Roman" w:cs="Times New Roman"/>
          <w:b/>
          <w:sz w:val="24"/>
          <w:szCs w:val="24"/>
        </w:rPr>
        <w:t>RNA isolation and qRT-PCR analysis</w:t>
      </w:r>
    </w:p>
    <w:p w:rsidR="003C4F12" w:rsidRDefault="003C4F12" w:rsidP="003C4F12">
      <w:pPr>
        <w:pStyle w:val="NoSpacing"/>
        <w:spacing w:line="360" w:lineRule="auto"/>
        <w:jc w:val="both"/>
        <w:rPr>
          <w:rFonts w:ascii="Times New Roman" w:hAnsi="Times New Roman"/>
          <w:b/>
          <w:sz w:val="24"/>
          <w:szCs w:val="24"/>
        </w:rPr>
      </w:pPr>
      <w:r>
        <w:rPr>
          <w:rFonts w:ascii="Times New Roman" w:hAnsi="Times New Roman" w:cs="Times New Roman"/>
          <w:color w:val="000000"/>
          <w:sz w:val="24"/>
          <w:szCs w:val="24"/>
          <w:shd w:val="clear" w:color="auto" w:fill="FFFFFF"/>
        </w:rPr>
        <w:t>The qPCR was performed using</w:t>
      </w:r>
      <w:r w:rsidRPr="00A10EB6">
        <w:rPr>
          <w:rFonts w:ascii="Times New Roman" w:hAnsi="Times New Roman" w:cs="Times New Roman"/>
          <w:color w:val="000000"/>
          <w:sz w:val="24"/>
          <w:szCs w:val="24"/>
          <w:shd w:val="clear" w:color="auto" w:fill="FFFFFF"/>
        </w:rPr>
        <w:t xml:space="preserve"> 96-well</w:t>
      </w:r>
      <w:r w:rsidRPr="00E82D78">
        <w:rPr>
          <w:rFonts w:ascii="Times New Roman" w:hAnsi="Times New Roman" w:cs="Times New Roman"/>
          <w:color w:val="000000"/>
          <w:sz w:val="24"/>
          <w:szCs w:val="24"/>
          <w:shd w:val="clear" w:color="auto" w:fill="FFFFFF"/>
        </w:rPr>
        <w:t xml:space="preserve"> optical reaction plates (Applied Biosystems, Darmstadt, Germany) using a StepOnePlus amplification and detection system (Applied Biosystems).</w:t>
      </w:r>
      <w:r>
        <w:rPr>
          <w:rFonts w:ascii="Times New Roman" w:hAnsi="Times New Roman" w:cs="Times New Roman"/>
          <w:color w:val="000000"/>
          <w:sz w:val="24"/>
          <w:szCs w:val="24"/>
          <w:shd w:val="clear" w:color="auto" w:fill="FFFFFF"/>
        </w:rPr>
        <w:t xml:space="preserve"> The relative quantitation was done by</w:t>
      </w:r>
      <w:r w:rsidRPr="0044166B">
        <w:rPr>
          <w:rFonts w:ascii="Times New Roman" w:hAnsi="Times New Roman" w:cs="Times New Roman"/>
          <w:color w:val="000000"/>
          <w:sz w:val="24"/>
          <w:szCs w:val="24"/>
          <w:shd w:val="clear" w:color="auto" w:fill="FFFFFF"/>
        </w:rPr>
        <w:t xml:space="preserve"> using SYBR® Select Master Mix (Life Technologies), and the following c</w:t>
      </w:r>
      <w:r>
        <w:rPr>
          <w:rFonts w:ascii="Times New Roman" w:hAnsi="Times New Roman" w:cs="Times New Roman"/>
          <w:color w:val="000000"/>
          <w:sz w:val="24"/>
          <w:szCs w:val="24"/>
          <w:shd w:val="clear" w:color="auto" w:fill="FFFFFF"/>
        </w:rPr>
        <w:t>onditions were used: 95</w:t>
      </w:r>
      <w:r w:rsidRPr="0044166B">
        <w:rPr>
          <w:rFonts w:ascii="Times New Roman" w:hAnsi="Times New Roman" w:cs="Times New Roman"/>
          <w:color w:val="000000"/>
          <w:sz w:val="24"/>
          <w:szCs w:val="24"/>
          <w:shd w:val="clear" w:color="auto" w:fill="FFFFFF"/>
        </w:rPr>
        <w:t>°C for 5 min, 40 cycles of 95</w:t>
      </w:r>
      <w:r>
        <w:rPr>
          <w:rFonts w:ascii="Times New Roman" w:hAnsi="Times New Roman" w:cs="Times New Roman"/>
          <w:color w:val="000000"/>
          <w:sz w:val="24"/>
          <w:szCs w:val="24"/>
          <w:shd w:val="clear" w:color="auto" w:fill="FFFFFF"/>
        </w:rPr>
        <w:t>°C for 3</w:t>
      </w:r>
      <w:r w:rsidRPr="0044166B">
        <w:rPr>
          <w:rFonts w:ascii="Times New Roman" w:hAnsi="Times New Roman" w:cs="Times New Roman"/>
          <w:color w:val="000000"/>
          <w:sz w:val="24"/>
          <w:szCs w:val="24"/>
          <w:shd w:val="clear" w:color="auto" w:fill="FFFFFF"/>
        </w:rPr>
        <w:t>0 s,</w:t>
      </w:r>
      <w:r>
        <w:rPr>
          <w:rFonts w:ascii="Times New Roman" w:hAnsi="Times New Roman" w:cs="Times New Roman"/>
          <w:color w:val="000000"/>
          <w:sz w:val="24"/>
          <w:szCs w:val="24"/>
          <w:shd w:val="clear" w:color="auto" w:fill="FFFFFF"/>
        </w:rPr>
        <w:t xml:space="preserve"> 60</w:t>
      </w:r>
      <w:r w:rsidRPr="0044166B">
        <w:rPr>
          <w:rFonts w:ascii="Times New Roman" w:hAnsi="Times New Roman" w:cs="Times New Roman"/>
          <w:color w:val="000000"/>
          <w:sz w:val="24"/>
          <w:szCs w:val="24"/>
          <w:shd w:val="clear" w:color="auto" w:fill="FFFFFF"/>
        </w:rPr>
        <w:t>°C for 30s and 72</w:t>
      </w:r>
      <w:r>
        <w:rPr>
          <w:rFonts w:ascii="Times New Roman" w:hAnsi="Times New Roman" w:cs="Times New Roman"/>
          <w:color w:val="000000"/>
          <w:sz w:val="24"/>
          <w:szCs w:val="24"/>
          <w:shd w:val="clear" w:color="auto" w:fill="FFFFFF"/>
          <w:vertAlign w:val="superscript"/>
        </w:rPr>
        <w:t>o</w:t>
      </w:r>
      <w:r w:rsidRPr="0044166B">
        <w:rPr>
          <w:rFonts w:ascii="Times New Roman" w:hAnsi="Times New Roman" w:cs="Times New Roman"/>
          <w:color w:val="000000"/>
          <w:sz w:val="24"/>
          <w:szCs w:val="24"/>
          <w:shd w:val="clear" w:color="auto" w:fill="FFFFFF"/>
        </w:rPr>
        <w:t>C for 30s.</w:t>
      </w:r>
      <w:r>
        <w:rPr>
          <w:rFonts w:ascii="Times New Roman" w:hAnsi="Times New Roman" w:cs="Times New Roman"/>
          <w:color w:val="000000"/>
          <w:sz w:val="24"/>
          <w:szCs w:val="24"/>
          <w:shd w:val="clear" w:color="auto" w:fill="FFFFFF"/>
        </w:rPr>
        <w:t xml:space="preserve"> </w:t>
      </w:r>
      <w:r w:rsidRPr="003E4CD4">
        <w:rPr>
          <w:rStyle w:val="Emphasis"/>
          <w:rFonts w:ascii="Times New Roman" w:hAnsi="Times New Roman" w:cs="Times New Roman"/>
          <w:color w:val="000000"/>
          <w:shd w:val="clear" w:color="auto" w:fill="FFFFFF"/>
        </w:rPr>
        <w:t>GAPDH</w:t>
      </w:r>
      <w:r w:rsidRPr="00700980">
        <w:rPr>
          <w:rFonts w:ascii="Times New Roman" w:hAnsi="Times New Roman" w:cs="Times New Roman"/>
          <w:color w:val="000000"/>
          <w:sz w:val="24"/>
          <w:szCs w:val="24"/>
          <w:shd w:val="clear" w:color="auto" w:fill="FFFFFF"/>
        </w:rPr>
        <w:t xml:space="preserve"> was </w:t>
      </w:r>
      <w:r>
        <w:rPr>
          <w:rFonts w:ascii="Times New Roman" w:hAnsi="Times New Roman" w:cs="Times New Roman"/>
          <w:color w:val="000000"/>
          <w:sz w:val="24"/>
          <w:szCs w:val="24"/>
          <w:shd w:val="clear" w:color="auto" w:fill="FFFFFF"/>
        </w:rPr>
        <w:t>selected as the reference gene.</w:t>
      </w:r>
      <w:r w:rsidRPr="00700980">
        <w:rPr>
          <w:rFonts w:ascii="Times New Roman" w:hAnsi="Times New Roman" w:cs="Times New Roman"/>
          <w:color w:val="000000"/>
          <w:sz w:val="24"/>
          <w:szCs w:val="24"/>
          <w:shd w:val="clear" w:color="auto" w:fill="FFFFFF"/>
        </w:rPr>
        <w:t xml:space="preserve"> The gene copy numbers of </w:t>
      </w:r>
      <w:r w:rsidRPr="003E4CD4">
        <w:rPr>
          <w:rFonts w:ascii="Times New Roman" w:hAnsi="Times New Roman" w:cs="Times New Roman"/>
          <w:color w:val="000000"/>
          <w:sz w:val="24"/>
          <w:szCs w:val="24"/>
          <w:shd w:val="clear" w:color="auto" w:fill="FFFFFF"/>
        </w:rPr>
        <w:t>Mad2 and AukA</w:t>
      </w:r>
      <w:r w:rsidRPr="00700980">
        <w:rPr>
          <w:rFonts w:ascii="Times New Roman" w:hAnsi="Times New Roman" w:cs="Times New Roman"/>
          <w:color w:val="000000"/>
          <w:sz w:val="24"/>
          <w:szCs w:val="24"/>
          <w:shd w:val="clear" w:color="auto" w:fill="FFFFFF"/>
        </w:rPr>
        <w:t> were calculated by using a standard curve that was constructed using the OE33 cell line.</w:t>
      </w:r>
      <w:r>
        <w:rPr>
          <w:rFonts w:ascii="Times New Roman" w:hAnsi="Times New Roman" w:cs="Times New Roman"/>
          <w:color w:val="000000"/>
          <w:sz w:val="24"/>
          <w:szCs w:val="24"/>
          <w:shd w:val="clear" w:color="auto" w:fill="FFFFFF"/>
        </w:rPr>
        <w:t xml:space="preserve"> </w:t>
      </w:r>
      <w:r w:rsidRPr="00700980">
        <w:rPr>
          <w:rFonts w:ascii="Times New Roman" w:hAnsi="Times New Roman" w:cs="Times New Roman"/>
          <w:color w:val="000000"/>
          <w:sz w:val="24"/>
          <w:szCs w:val="24"/>
          <w:shd w:val="clear" w:color="auto" w:fill="FFFFFF"/>
        </w:rPr>
        <w:t xml:space="preserve">The level of expression for the target gene was calculated as the ratio of the copy number </w:t>
      </w:r>
      <w:r>
        <w:rPr>
          <w:rFonts w:ascii="Times New Roman" w:hAnsi="Times New Roman" w:cs="Times New Roman"/>
          <w:color w:val="000000"/>
          <w:sz w:val="24"/>
          <w:szCs w:val="24"/>
          <w:shd w:val="clear" w:color="auto" w:fill="FFFFFF"/>
        </w:rPr>
        <w:t>of the target gene</w:t>
      </w:r>
      <w:r w:rsidRPr="00700980">
        <w:rPr>
          <w:rFonts w:ascii="Times New Roman" w:hAnsi="Times New Roman" w:cs="Times New Roman"/>
          <w:color w:val="000000"/>
          <w:sz w:val="24"/>
          <w:szCs w:val="24"/>
          <w:shd w:val="clear" w:color="auto" w:fill="FFFFFF"/>
        </w:rPr>
        <w:t xml:space="preserve"> to that of the reference gene </w:t>
      </w:r>
      <w:r w:rsidRPr="00A6284C">
        <w:rPr>
          <w:rFonts w:ascii="Times New Roman" w:hAnsi="Times New Roman" w:cs="Times New Roman"/>
          <w:color w:val="000000"/>
          <w:sz w:val="24"/>
          <w:szCs w:val="24"/>
          <w:shd w:val="clear" w:color="auto" w:fill="FFFFFF"/>
        </w:rPr>
        <w:t>(</w:t>
      </w:r>
      <w:r w:rsidRPr="00A6284C">
        <w:rPr>
          <w:rStyle w:val="Emphasis"/>
          <w:rFonts w:ascii="Times New Roman" w:hAnsi="Times New Roman" w:cs="Times New Roman"/>
          <w:color w:val="000000"/>
          <w:shd w:val="clear" w:color="auto" w:fill="FFFFFF"/>
        </w:rPr>
        <w:t>GAPDH</w:t>
      </w:r>
      <w:r w:rsidRPr="00A6284C">
        <w:rPr>
          <w:rFonts w:ascii="Times New Roman" w:hAnsi="Times New Roman" w:cs="Times New Roman"/>
          <w:color w:val="000000"/>
          <w:sz w:val="24"/>
          <w:szCs w:val="24"/>
          <w:shd w:val="clear" w:color="auto" w:fill="FFFFFF"/>
        </w:rPr>
        <w:t>).</w:t>
      </w:r>
    </w:p>
    <w:p w:rsidR="003C4F12" w:rsidRDefault="003C4F12" w:rsidP="003C4F12">
      <w:pPr>
        <w:pStyle w:val="NoSpacing"/>
        <w:spacing w:line="360" w:lineRule="auto"/>
        <w:jc w:val="both"/>
        <w:rPr>
          <w:rFonts w:ascii="Times New Roman" w:hAnsi="Times New Roman"/>
          <w:b/>
          <w:sz w:val="24"/>
          <w:szCs w:val="24"/>
        </w:rPr>
      </w:pPr>
      <w:r w:rsidRPr="0086684A">
        <w:rPr>
          <w:rFonts w:ascii="Times New Roman" w:hAnsi="Times New Roman"/>
          <w:b/>
          <w:sz w:val="24"/>
          <w:szCs w:val="24"/>
        </w:rPr>
        <w:t>Immunohistochemical analysis</w:t>
      </w:r>
    </w:p>
    <w:p w:rsidR="003C4F12" w:rsidRPr="008E4B37" w:rsidRDefault="003C4F12" w:rsidP="003C4F12">
      <w:pPr>
        <w:pStyle w:val="NoSpacing"/>
        <w:spacing w:line="360" w:lineRule="auto"/>
        <w:jc w:val="both"/>
        <w:rPr>
          <w:rFonts w:ascii="Times New Roman" w:hAnsi="Times New Roman"/>
          <w:b/>
          <w:sz w:val="24"/>
          <w:szCs w:val="24"/>
        </w:rPr>
      </w:pPr>
      <w:r w:rsidRPr="005B23C3">
        <w:rPr>
          <w:rFonts w:ascii="Times New Roman" w:hAnsi="Times New Roman"/>
          <w:sz w:val="24"/>
          <w:szCs w:val="24"/>
        </w:rPr>
        <w:t>IHC staining was performed on formalin fixed, paraffin embedded tissues that were sectioned at 5</w:t>
      </w:r>
      <w:r>
        <w:rPr>
          <w:rFonts w:ascii="Times New Roman" w:hAnsi="Times New Roman"/>
          <w:sz w:val="24"/>
          <w:szCs w:val="24"/>
        </w:rPr>
        <w:t xml:space="preserve"> µm thickness. Slides were deparaffinized, rehydrated and treated with 3% H</w:t>
      </w:r>
      <w:r w:rsidRPr="007960A3">
        <w:rPr>
          <w:rFonts w:ascii="Times New Roman" w:hAnsi="Times New Roman"/>
          <w:sz w:val="24"/>
          <w:szCs w:val="24"/>
          <w:vertAlign w:val="subscript"/>
        </w:rPr>
        <w:t>2</w:t>
      </w:r>
      <w:r>
        <w:rPr>
          <w:rFonts w:ascii="Times New Roman" w:hAnsi="Times New Roman"/>
          <w:sz w:val="24"/>
          <w:szCs w:val="24"/>
        </w:rPr>
        <w:t>O</w:t>
      </w:r>
      <w:r w:rsidRPr="007960A3">
        <w:rPr>
          <w:rFonts w:ascii="Times New Roman" w:hAnsi="Times New Roman"/>
          <w:sz w:val="24"/>
          <w:szCs w:val="24"/>
          <w:vertAlign w:val="subscript"/>
        </w:rPr>
        <w:t>2</w:t>
      </w:r>
      <w:r>
        <w:rPr>
          <w:rFonts w:ascii="Times New Roman" w:hAnsi="Times New Roman"/>
          <w:sz w:val="24"/>
          <w:szCs w:val="24"/>
        </w:rPr>
        <w:t xml:space="preserve"> in PBS. Antigen retrieval was done with 0.01% sodium-citrate buffer followed by blocking in PBST containing 0.1% BSA and 10% FBS.  Primary antibody incubation was carried out for overnight. Slides were washed and incubated with appropriate biotinylated secondary antibody for 1 hr at room temperature. Following washing slides were treated with streptavidin-HRP (1:1000) and subsequently washed (PBS containing 0.1% Tween-20) and color was developed with DAB+ H</w:t>
      </w:r>
      <w:r w:rsidRPr="005B23C3">
        <w:rPr>
          <w:rFonts w:ascii="Times New Roman" w:hAnsi="Times New Roman"/>
          <w:sz w:val="24"/>
          <w:szCs w:val="24"/>
          <w:vertAlign w:val="subscript"/>
        </w:rPr>
        <w:t>2</w:t>
      </w:r>
      <w:r>
        <w:rPr>
          <w:rFonts w:ascii="Times New Roman" w:hAnsi="Times New Roman"/>
          <w:sz w:val="24"/>
          <w:szCs w:val="24"/>
        </w:rPr>
        <w:t>O</w:t>
      </w:r>
      <w:r w:rsidRPr="005B23C3">
        <w:rPr>
          <w:rFonts w:ascii="Times New Roman" w:hAnsi="Times New Roman"/>
          <w:sz w:val="24"/>
          <w:szCs w:val="24"/>
          <w:vertAlign w:val="subscript"/>
        </w:rPr>
        <w:t>2</w:t>
      </w:r>
      <w:r>
        <w:rPr>
          <w:rFonts w:ascii="Times New Roman" w:hAnsi="Times New Roman"/>
          <w:sz w:val="24"/>
          <w:szCs w:val="24"/>
        </w:rPr>
        <w:t xml:space="preserve">. Slides were counterstained with haematoxylin, washed and mounted in DPX (Sigma-Aldrich, USA). The staining intensity of the images was evaluated by two independent investigators.  </w:t>
      </w:r>
    </w:p>
    <w:p w:rsidR="003C4F12" w:rsidRPr="00E43BB7" w:rsidRDefault="003C4F12" w:rsidP="003C4F1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00190F">
        <w:rPr>
          <w:rFonts w:ascii="Times New Roman" w:hAnsi="Times New Roman" w:cs="Times New Roman"/>
          <w:sz w:val="24"/>
          <w:szCs w:val="24"/>
        </w:rPr>
        <w:t xml:space="preserve">n the regions of the histologic sections, the chromogenic immunolabeling was systematically </w:t>
      </w:r>
      <w:r w:rsidRPr="00B2003A">
        <w:rPr>
          <w:rFonts w:ascii="Times New Roman" w:hAnsi="Times New Roman" w:cs="Times New Roman"/>
          <w:sz w:val="24"/>
          <w:szCs w:val="24"/>
        </w:rPr>
        <w:t>categorized into four groups: 0 (no labelling), 1+ (weak labelling), 2+ (moderate labelling), and 3+ (strong staining; observable with 10x objective). Semi-quantitative staining analysis was done by H-score</w:t>
      </w:r>
      <w:r>
        <w:rPr>
          <w:rFonts w:ascii="Times New Roman" w:hAnsi="Times New Roman" w:cs="Times New Roman"/>
          <w:sz w:val="24"/>
          <w:szCs w:val="24"/>
        </w:rPr>
        <w:t xml:space="preserve"> by counting 400 cells from five</w:t>
      </w:r>
      <w:r w:rsidRPr="00B2003A">
        <w:rPr>
          <w:rFonts w:ascii="Times New Roman" w:hAnsi="Times New Roman" w:cs="Times New Roman"/>
          <w:sz w:val="24"/>
          <w:szCs w:val="24"/>
        </w:rPr>
        <w:t xml:space="preserve"> different fields in the slides considering low, moderate and higher in</w:t>
      </w:r>
      <w:r>
        <w:rPr>
          <w:rFonts w:ascii="Times New Roman" w:hAnsi="Times New Roman" w:cs="Times New Roman"/>
          <w:sz w:val="24"/>
          <w:szCs w:val="24"/>
        </w:rPr>
        <w:t>tensity of p53 and Securine expression</w:t>
      </w:r>
      <w:r w:rsidRPr="00B2003A">
        <w:rPr>
          <w:rFonts w:ascii="Times New Roman" w:hAnsi="Times New Roman" w:cs="Times New Roman"/>
          <w:sz w:val="24"/>
          <w:szCs w:val="24"/>
        </w:rPr>
        <w:t xml:space="preserve">. The percentage of positive cells with a given intensity for each sample was determined independently by a pathologist and </w:t>
      </w:r>
      <w:r w:rsidRPr="00B2003A">
        <w:rPr>
          <w:rFonts w:ascii="Times New Roman" w:hAnsi="Times New Roman" w:cs="Times New Roman"/>
          <w:sz w:val="24"/>
          <w:szCs w:val="24"/>
        </w:rPr>
        <w:lastRenderedPageBreak/>
        <w:t>a trained reader. A single manual H-score based on a scale of 0 to 250 was generated for each labelled section by taking the sum of the percentage of cells labelling 1+, double the percentage of cells labelling 2+, and triple the percentage of cells labelling 3+ (H-Score</w:t>
      </w:r>
      <w:r>
        <w:rPr>
          <w:rFonts w:ascii="Times New Roman" w:hAnsi="Times New Roman" w:cs="Times New Roman"/>
          <w:sz w:val="24"/>
          <w:szCs w:val="24"/>
        </w:rPr>
        <w:t xml:space="preserve"> </w:t>
      </w:r>
      <w:r w:rsidRPr="00B2003A">
        <w:rPr>
          <w:rFonts w:ascii="Times New Roman" w:hAnsi="Times New Roman" w:cs="Times New Roman"/>
          <w:sz w:val="24"/>
          <w:szCs w:val="24"/>
        </w:rPr>
        <w:t>= ((%3+) × 3) + ((%2+) × 2) + (%1+)). Student’s t-test was performed for com</w:t>
      </w:r>
      <w:r>
        <w:rPr>
          <w:rFonts w:ascii="Times New Roman" w:hAnsi="Times New Roman" w:cs="Times New Roman"/>
          <w:sz w:val="24"/>
          <w:szCs w:val="24"/>
        </w:rPr>
        <w:t>paring the expression of these two genes in untreated samples with the samples treated with RAN+lime or RAN+lime+PRE</w:t>
      </w:r>
      <w:r w:rsidRPr="00B2003A">
        <w:rPr>
          <w:rFonts w:ascii="Times New Roman" w:hAnsi="Times New Roman" w:cs="Times New Roman"/>
          <w:sz w:val="24"/>
          <w:szCs w:val="24"/>
        </w:rPr>
        <w:t xml:space="preserve">. Statistical significance was considered when p-value is less than 0.05.  </w:t>
      </w:r>
    </w:p>
    <w:p w:rsidR="003C4F12" w:rsidRDefault="003C4F12" w:rsidP="003C4F12">
      <w:pPr>
        <w:pStyle w:val="NoSpacing"/>
        <w:rPr>
          <w:rFonts w:ascii="Arial Narrow" w:hAnsi="Arial Narrow"/>
        </w:rPr>
      </w:pPr>
    </w:p>
    <w:p w:rsidR="003C4F12" w:rsidRPr="00E32D06" w:rsidRDefault="003C4F12" w:rsidP="003C4F12">
      <w:pPr>
        <w:pStyle w:val="NoSpacing"/>
        <w:rPr>
          <w:rFonts w:ascii="Times New Roman" w:hAnsi="Times New Roman" w:cs="Times New Roman"/>
          <w:b/>
          <w:sz w:val="24"/>
          <w:szCs w:val="24"/>
        </w:rPr>
      </w:pPr>
      <w:r w:rsidRPr="0014518C">
        <w:rPr>
          <w:rFonts w:ascii="Times New Roman" w:eastAsia="Calibri" w:hAnsi="Times New Roman" w:cs="Times New Roman"/>
          <w:b/>
          <w:bCs/>
          <w:sz w:val="24"/>
          <w:szCs w:val="24"/>
        </w:rPr>
        <w:t>Table S2</w:t>
      </w:r>
      <w:r w:rsidRPr="00E32D06">
        <w:rPr>
          <w:rFonts w:ascii="Times New Roman" w:eastAsia="Calibri" w:hAnsi="Times New Roman" w:cs="Times New Roman"/>
          <w:sz w:val="24"/>
          <w:szCs w:val="24"/>
        </w:rPr>
        <w:t xml:space="preserve">. </w:t>
      </w:r>
      <w:r w:rsidRPr="00E32D06">
        <w:rPr>
          <w:rFonts w:ascii="Times New Roman" w:hAnsi="Times New Roman" w:cs="Times New Roman"/>
          <w:b/>
          <w:sz w:val="24"/>
          <w:szCs w:val="24"/>
        </w:rPr>
        <w:t>Chromosome analysis of mouse bone marrow cells after exposure to RAN extract with lime and ECGU</w:t>
      </w:r>
    </w:p>
    <w:p w:rsidR="003C4F12" w:rsidRPr="008E4B37" w:rsidRDefault="003C4F12" w:rsidP="003C4F12">
      <w:pPr>
        <w:spacing w:after="0" w:line="240" w:lineRule="auto"/>
        <w:rPr>
          <w:rFonts w:ascii="Times New Roman" w:eastAsia="Calibri" w:hAnsi="Times New Roman" w:cs="Times New Roman"/>
          <w:sz w:val="12"/>
          <w:szCs w:val="12"/>
        </w:rPr>
      </w:pPr>
    </w:p>
    <w:p w:rsidR="003C4F12" w:rsidRPr="00E23140" w:rsidRDefault="003C4F12" w:rsidP="003C4F12">
      <w:pPr>
        <w:spacing w:after="0" w:line="240" w:lineRule="auto"/>
        <w:rPr>
          <w:rFonts w:ascii="Times New Roman" w:eastAsia="Calibri" w:hAnsi="Times New Roman" w:cs="Times New Roman"/>
        </w:rPr>
      </w:pPr>
      <w:r w:rsidRPr="00E23140">
        <w:rPr>
          <w:rFonts w:ascii="Times New Roman" w:eastAsia="Calibri" w:hAnsi="Times New Roman" w:cs="Times New Roman"/>
        </w:rPr>
        <w:t xml:space="preserve">Treatment </w:t>
      </w:r>
      <w:r w:rsidRPr="00E23140">
        <w:rPr>
          <w:rFonts w:ascii="Times New Roman" w:eastAsia="Calibri" w:hAnsi="Times New Roman" w:cs="Times New Roman"/>
        </w:rPr>
        <w:tab/>
        <w:t>T</w:t>
      </w:r>
      <w:r>
        <w:rPr>
          <w:rFonts w:ascii="Times New Roman" w:eastAsia="Calibri" w:hAnsi="Times New Roman" w:cs="Times New Roman"/>
        </w:rPr>
        <w:t xml:space="preserve">reatment    Total </w:t>
      </w:r>
      <w:r w:rsidRPr="00E23140">
        <w:rPr>
          <w:rFonts w:ascii="Times New Roman" w:eastAsia="Calibri" w:hAnsi="Times New Roman" w:cs="Times New Roman"/>
        </w:rPr>
        <w:t>Spread</w:t>
      </w:r>
      <w:r>
        <w:rPr>
          <w:rFonts w:ascii="Times New Roman" w:eastAsia="Calibri" w:hAnsi="Times New Roman" w:cs="Times New Roman"/>
        </w:rPr>
        <w:t xml:space="preserve">           PAS %           PAS</w:t>
      </w:r>
      <w:r w:rsidR="00D95D47">
        <w:rPr>
          <w:rFonts w:ascii="Times New Roman" w:eastAsia="Calibri" w:hAnsi="Times New Roman" w:cs="Times New Roman"/>
        </w:rPr>
        <w:t xml:space="preserve"> % </w:t>
      </w:r>
      <w:r w:rsidRPr="00404162">
        <w:rPr>
          <w:rFonts w:ascii="Times New Roman" w:eastAsia="Calibri" w:hAnsi="Times New Roman" w:cs="Times New Roman"/>
        </w:rPr>
        <w:t xml:space="preserve"> </w:t>
      </w:r>
      <w:r>
        <w:rPr>
          <w:rFonts w:ascii="Times New Roman" w:eastAsia="Calibri" w:hAnsi="Times New Roman" w:cs="Times New Roman"/>
        </w:rPr>
        <w:t>Mean</w:t>
      </w:r>
    </w:p>
    <w:p w:rsidR="003C4F12" w:rsidRPr="00E23140" w:rsidRDefault="003C4F12" w:rsidP="003C4F12">
      <w:pPr>
        <w:spacing w:after="0" w:line="240" w:lineRule="auto"/>
        <w:rPr>
          <w:rFonts w:ascii="Times New Roman" w:eastAsia="Calibri" w:hAnsi="Times New Roman" w:cs="Times New Roman"/>
          <w:sz w:val="20"/>
          <w:szCs w:val="20"/>
        </w:rPr>
      </w:pPr>
      <w:r w:rsidRPr="00E23140">
        <w:rPr>
          <w:rFonts w:ascii="Times New Roman" w:eastAsia="Calibri" w:hAnsi="Times New Roman" w:cs="Times New Roman"/>
        </w:rPr>
        <w:t xml:space="preserve">Pattern          </w:t>
      </w:r>
      <w:r w:rsidRPr="00E23140">
        <w:rPr>
          <w:rFonts w:ascii="Times New Roman" w:eastAsia="Calibri" w:hAnsi="Times New Roman" w:cs="Times New Roman"/>
        </w:rPr>
        <w:tab/>
        <w:t>Days</w:t>
      </w:r>
      <w:r w:rsidRPr="00E23140">
        <w:rPr>
          <w:rFonts w:ascii="Times New Roman" w:eastAsia="Calibri" w:hAnsi="Times New Roman" w:cs="Times New Roman"/>
        </w:rPr>
        <w:tab/>
        <w:t xml:space="preserve">      </w:t>
      </w:r>
      <w:r>
        <w:rPr>
          <w:rFonts w:ascii="Times New Roman" w:eastAsia="Calibri" w:hAnsi="Times New Roman" w:cs="Times New Roman"/>
        </w:rPr>
        <w:t xml:space="preserve">  </w:t>
      </w:r>
      <w:r w:rsidRPr="00BD22A6">
        <w:rPr>
          <w:rFonts w:ascii="Times New Roman" w:eastAsia="Calibri" w:hAnsi="Times New Roman" w:cs="Times New Roman"/>
        </w:rPr>
        <w:t>Score</w:t>
      </w:r>
      <w:r>
        <w:rPr>
          <w:rFonts w:ascii="Times New Roman" w:eastAsia="Calibri" w:hAnsi="Times New Roman" w:cs="Times New Roman"/>
        </w:rPr>
        <w:t xml:space="preserve"> </w:t>
      </w:r>
      <w:r>
        <w:rPr>
          <w:rFonts w:ascii="Times New Roman" w:eastAsia="Calibri" w:hAnsi="Times New Roman" w:cs="Times New Roman"/>
        </w:rPr>
        <w:tab/>
        <w:t xml:space="preserve">             ± SEM    </w:t>
      </w:r>
      <w:r w:rsidR="00D95D47">
        <w:rPr>
          <w:rFonts w:ascii="Times New Roman" w:eastAsia="Calibri" w:hAnsi="Times New Roman" w:cs="Times New Roman"/>
        </w:rPr>
        <w:t xml:space="preserve">         ± SEM    </w:t>
      </w:r>
    </w:p>
    <w:p w:rsidR="003C4F12" w:rsidRDefault="003C4F12" w:rsidP="003C4F12">
      <w:pPr>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______________________________________________________________________________</w:t>
      </w:r>
    </w:p>
    <w:p w:rsidR="003C4F12" w:rsidRPr="00BD22A6" w:rsidRDefault="003C4F12" w:rsidP="003C4F12">
      <w:pPr>
        <w:spacing w:after="0" w:line="240" w:lineRule="auto"/>
        <w:rPr>
          <w:rFonts w:ascii="Times New Roman" w:eastAsia="Calibri" w:hAnsi="Times New Roman" w:cs="Times New Roman"/>
        </w:rPr>
      </w:pPr>
      <w:r>
        <w:rPr>
          <w:rFonts w:ascii="Times New Roman" w:eastAsia="Calibri" w:hAnsi="Times New Roman" w:cs="Times New Roman"/>
        </w:rPr>
        <w:t>RA</w:t>
      </w:r>
      <w:r w:rsidRPr="00E23140">
        <w:rPr>
          <w:rFonts w:ascii="Times New Roman" w:eastAsia="Calibri" w:hAnsi="Times New Roman" w:cs="Times New Roman"/>
        </w:rPr>
        <w:t>N</w:t>
      </w:r>
      <w:r>
        <w:rPr>
          <w:rFonts w:ascii="Times New Roman" w:eastAsia="Calibri" w:hAnsi="Times New Roman" w:cs="Times New Roman"/>
        </w:rPr>
        <w:t>+L</w:t>
      </w:r>
      <w:r>
        <w:rPr>
          <w:rFonts w:ascii="Times New Roman" w:eastAsia="Calibri" w:hAnsi="Times New Roman" w:cs="Times New Roman"/>
        </w:rPr>
        <w:tab/>
        <w:t>60</w:t>
      </w:r>
      <w:r>
        <w:rPr>
          <w:rFonts w:ascii="Times New Roman" w:eastAsia="Calibri" w:hAnsi="Times New Roman" w:cs="Times New Roman"/>
        </w:rPr>
        <w:tab/>
        <w:t xml:space="preserve">          110</w:t>
      </w:r>
      <w:r w:rsidRPr="00E23140">
        <w:rPr>
          <w:rFonts w:ascii="Times New Roman" w:eastAsia="Calibri" w:hAnsi="Times New Roman" w:cs="Times New Roman"/>
        </w:rPr>
        <w:tab/>
      </w:r>
      <w:r>
        <w:rPr>
          <w:rFonts w:ascii="Times New Roman" w:eastAsia="Calibri" w:hAnsi="Times New Roman" w:cs="Times New Roman"/>
        </w:rPr>
        <w:t xml:space="preserve">             10.9              12.4 ± 0.5*</w:t>
      </w:r>
    </w:p>
    <w:p w:rsidR="003C4F12" w:rsidRPr="00E23140"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+ECGU</w:t>
      </w:r>
      <w:r w:rsidRPr="00E23140">
        <w:rPr>
          <w:rFonts w:ascii="Times New Roman" w:eastAsia="Calibri" w:hAnsi="Times New Roman" w:cs="Times New Roman"/>
        </w:rPr>
        <w:tab/>
      </w:r>
      <w:r>
        <w:rPr>
          <w:rFonts w:ascii="Times New Roman" w:eastAsia="Calibri" w:hAnsi="Times New Roman" w:cs="Times New Roman"/>
        </w:rPr>
        <w:tab/>
        <w:t>105</w:t>
      </w:r>
      <w:r w:rsidRPr="00E23140">
        <w:rPr>
          <w:rFonts w:ascii="Times New Roman" w:eastAsia="Calibri" w:hAnsi="Times New Roman" w:cs="Times New Roman"/>
        </w:rPr>
        <w:tab/>
      </w:r>
      <w:r>
        <w:rPr>
          <w:rFonts w:ascii="Times New Roman" w:eastAsia="Calibri" w:hAnsi="Times New Roman" w:cs="Times New Roman"/>
        </w:rPr>
        <w:t xml:space="preserve">           12.5                p=0.028</w:t>
      </w:r>
    </w:p>
    <w:p w:rsidR="003C4F12" w:rsidRPr="00E23140"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sidRPr="00E23140">
        <w:rPr>
          <w:rFonts w:ascii="Times New Roman" w:eastAsia="Calibri" w:hAnsi="Times New Roman" w:cs="Times New Roman"/>
        </w:rPr>
        <w:tab/>
      </w:r>
      <w:r>
        <w:rPr>
          <w:rFonts w:ascii="Times New Roman" w:eastAsia="Calibri" w:hAnsi="Times New Roman" w:cs="Times New Roman"/>
        </w:rPr>
        <w:tab/>
        <w:t>107</w:t>
      </w:r>
      <w:r w:rsidRPr="00E23140">
        <w:rPr>
          <w:rFonts w:ascii="Times New Roman" w:eastAsia="Calibri" w:hAnsi="Times New Roman" w:cs="Times New Roman"/>
        </w:rPr>
        <w:tab/>
      </w:r>
      <w:r>
        <w:rPr>
          <w:rFonts w:ascii="Times New Roman" w:eastAsia="Calibri" w:hAnsi="Times New Roman" w:cs="Times New Roman"/>
        </w:rPr>
        <w:t xml:space="preserve">           13.2</w:t>
      </w:r>
    </w:p>
    <w:p w:rsidR="003C4F12"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sidRPr="00E23140">
        <w:rPr>
          <w:rFonts w:ascii="Times New Roman" w:eastAsia="Calibri" w:hAnsi="Times New Roman" w:cs="Times New Roman"/>
        </w:rPr>
        <w:tab/>
      </w:r>
      <w:r>
        <w:rPr>
          <w:rFonts w:ascii="Times New Roman" w:eastAsia="Calibri" w:hAnsi="Times New Roman" w:cs="Times New Roman"/>
        </w:rPr>
        <w:tab/>
        <w:t>100</w:t>
      </w:r>
      <w:r w:rsidRPr="00E23140">
        <w:rPr>
          <w:rFonts w:ascii="Times New Roman" w:eastAsia="Calibri" w:hAnsi="Times New Roman" w:cs="Times New Roman"/>
        </w:rPr>
        <w:tab/>
      </w:r>
      <w:r>
        <w:rPr>
          <w:rFonts w:ascii="Times New Roman" w:eastAsia="Calibri" w:hAnsi="Times New Roman" w:cs="Times New Roman"/>
        </w:rPr>
        <w:t xml:space="preserve">           13.0</w:t>
      </w:r>
    </w:p>
    <w:p w:rsidR="003C4F12" w:rsidRPr="008E4B37"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sz w:val="10"/>
          <w:szCs w:val="10"/>
        </w:rPr>
      </w:pPr>
    </w:p>
    <w:p w:rsidR="003C4F12" w:rsidRPr="00E23140" w:rsidRDefault="003C4F12" w:rsidP="003C4F12">
      <w:pPr>
        <w:tabs>
          <w:tab w:val="left" w:pos="1560"/>
          <w:tab w:val="left" w:pos="2694"/>
          <w:tab w:val="left" w:pos="3686"/>
          <w:tab w:val="left" w:pos="4962"/>
          <w:tab w:val="left" w:pos="6096"/>
          <w:tab w:val="left" w:pos="7371"/>
          <w:tab w:val="left" w:pos="8080"/>
        </w:tabs>
        <w:spacing w:after="0" w:line="240" w:lineRule="auto"/>
        <w:rPr>
          <w:rFonts w:ascii="Times New Roman" w:eastAsia="Calibri" w:hAnsi="Times New Roman" w:cs="Times New Roman"/>
        </w:rPr>
      </w:pPr>
      <w:r>
        <w:rPr>
          <w:rFonts w:ascii="Times New Roman" w:eastAsia="Calibri" w:hAnsi="Times New Roman" w:cs="Times New Roman"/>
        </w:rPr>
        <w:t>RAN+L             120</w:t>
      </w:r>
      <w:r>
        <w:rPr>
          <w:rFonts w:ascii="Times New Roman" w:eastAsia="Calibri" w:hAnsi="Times New Roman" w:cs="Times New Roman"/>
        </w:rPr>
        <w:tab/>
        <w:t>110</w:t>
      </w:r>
      <w:r>
        <w:rPr>
          <w:rFonts w:ascii="Times New Roman" w:eastAsia="Calibri" w:hAnsi="Times New Roman" w:cs="Times New Roman"/>
        </w:rPr>
        <w:tab/>
        <w:t xml:space="preserve">           </w:t>
      </w:r>
      <w:r w:rsidRPr="00E23140">
        <w:rPr>
          <w:rFonts w:ascii="Times New Roman" w:eastAsia="Calibri" w:hAnsi="Times New Roman" w:cs="Times New Roman"/>
        </w:rPr>
        <w:t>13</w:t>
      </w:r>
      <w:r>
        <w:rPr>
          <w:rFonts w:ascii="Times New Roman" w:eastAsia="Calibri" w:hAnsi="Times New Roman" w:cs="Times New Roman"/>
        </w:rPr>
        <w:t>.6              14.2 ± 0.7*</w:t>
      </w:r>
    </w:p>
    <w:p w:rsidR="003C4F12"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 ECGU</w:t>
      </w:r>
      <w:r>
        <w:rPr>
          <w:rFonts w:ascii="Times New Roman" w:eastAsia="Calibri" w:hAnsi="Times New Roman" w:cs="Times New Roman"/>
        </w:rPr>
        <w:tab/>
      </w:r>
      <w:r>
        <w:rPr>
          <w:rFonts w:ascii="Times New Roman" w:eastAsia="Calibri" w:hAnsi="Times New Roman" w:cs="Times New Roman"/>
        </w:rPr>
        <w:tab/>
        <w:t>100</w:t>
      </w:r>
      <w:r>
        <w:rPr>
          <w:rFonts w:ascii="Times New Roman" w:eastAsia="Calibri" w:hAnsi="Times New Roman" w:cs="Times New Roman"/>
        </w:rPr>
        <w:tab/>
        <w:t xml:space="preserve">           13.0               p=0.0004</w:t>
      </w:r>
    </w:p>
    <w:p w:rsidR="003C4F12"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t>108</w:t>
      </w:r>
      <w:r>
        <w:rPr>
          <w:rFonts w:ascii="Times New Roman" w:eastAsia="Calibri" w:hAnsi="Times New Roman" w:cs="Times New Roman"/>
        </w:rPr>
        <w:tab/>
        <w:t xml:space="preserve">           13.9</w:t>
      </w:r>
    </w:p>
    <w:p w:rsidR="003C4F12"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t>105</w:t>
      </w:r>
      <w:r>
        <w:rPr>
          <w:rFonts w:ascii="Times New Roman" w:eastAsia="Calibri" w:hAnsi="Times New Roman" w:cs="Times New Roman"/>
        </w:rPr>
        <w:tab/>
        <w:t xml:space="preserve">           16.2</w:t>
      </w:r>
    </w:p>
    <w:p w:rsidR="003C4F12" w:rsidRPr="008E4B37"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sz w:val="10"/>
          <w:szCs w:val="10"/>
        </w:rPr>
      </w:pPr>
    </w:p>
    <w:p w:rsidR="003C4F12" w:rsidRPr="00E23140" w:rsidRDefault="003C4F12" w:rsidP="003C4F12">
      <w:pPr>
        <w:tabs>
          <w:tab w:val="left" w:pos="1560"/>
          <w:tab w:val="left" w:pos="2694"/>
          <w:tab w:val="left" w:pos="3686"/>
          <w:tab w:val="left" w:pos="4962"/>
          <w:tab w:val="left" w:pos="6096"/>
          <w:tab w:val="left" w:pos="7371"/>
          <w:tab w:val="left" w:pos="8080"/>
        </w:tabs>
        <w:spacing w:after="0" w:line="240" w:lineRule="auto"/>
        <w:rPr>
          <w:rFonts w:ascii="Times New Roman" w:eastAsia="Calibri" w:hAnsi="Times New Roman" w:cs="Times New Roman"/>
        </w:rPr>
      </w:pPr>
      <w:r>
        <w:rPr>
          <w:rFonts w:ascii="Times New Roman" w:eastAsia="Calibri" w:hAnsi="Times New Roman" w:cs="Times New Roman"/>
        </w:rPr>
        <w:t xml:space="preserve">RAN+L             </w:t>
      </w:r>
      <w:r w:rsidRPr="00E23140">
        <w:rPr>
          <w:rFonts w:ascii="Times New Roman" w:eastAsia="Calibri" w:hAnsi="Times New Roman" w:cs="Times New Roman"/>
        </w:rPr>
        <w:t>180</w:t>
      </w:r>
      <w:r w:rsidRPr="00E23140">
        <w:rPr>
          <w:rFonts w:ascii="Times New Roman" w:eastAsia="Calibri" w:hAnsi="Times New Roman" w:cs="Times New Roman"/>
        </w:rPr>
        <w:tab/>
        <w:t>100</w:t>
      </w:r>
      <w:r w:rsidRPr="00E23140">
        <w:rPr>
          <w:rFonts w:ascii="Times New Roman" w:eastAsia="Calibri" w:hAnsi="Times New Roman" w:cs="Times New Roman"/>
        </w:rPr>
        <w:tab/>
      </w:r>
      <w:r>
        <w:rPr>
          <w:rFonts w:ascii="Times New Roman" w:eastAsia="Calibri" w:hAnsi="Times New Roman" w:cs="Times New Roman"/>
        </w:rPr>
        <w:t xml:space="preserve">           20.0              19.8 ± 0.8* </w:t>
      </w:r>
    </w:p>
    <w:p w:rsidR="003C4F12" w:rsidRPr="00E23140"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 ECGU</w:t>
      </w:r>
      <w:r>
        <w:rPr>
          <w:rFonts w:ascii="Times New Roman" w:eastAsia="Calibri" w:hAnsi="Times New Roman" w:cs="Times New Roman"/>
        </w:rPr>
        <w:tab/>
      </w:r>
      <w:r w:rsidRPr="00E23140">
        <w:rPr>
          <w:rFonts w:ascii="Times New Roman" w:eastAsia="Calibri" w:hAnsi="Times New Roman" w:cs="Times New Roman"/>
        </w:rPr>
        <w:tab/>
        <w:t>107</w:t>
      </w:r>
      <w:r w:rsidRPr="00E23140">
        <w:rPr>
          <w:rFonts w:ascii="Times New Roman" w:eastAsia="Calibri" w:hAnsi="Times New Roman" w:cs="Times New Roman"/>
        </w:rPr>
        <w:tab/>
      </w:r>
      <w:r>
        <w:rPr>
          <w:rFonts w:ascii="Times New Roman" w:eastAsia="Calibri" w:hAnsi="Times New Roman" w:cs="Times New Roman"/>
        </w:rPr>
        <w:t xml:space="preserve">           20.6               p=0.0001</w:t>
      </w:r>
    </w:p>
    <w:p w:rsidR="003C4F12"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t>103</w:t>
      </w:r>
      <w:r w:rsidRPr="00E23140">
        <w:rPr>
          <w:rFonts w:ascii="Times New Roman" w:eastAsia="Calibri" w:hAnsi="Times New Roman" w:cs="Times New Roman"/>
        </w:rPr>
        <w:tab/>
      </w:r>
      <w:r>
        <w:rPr>
          <w:rFonts w:ascii="Times New Roman" w:eastAsia="Calibri" w:hAnsi="Times New Roman" w:cs="Times New Roman"/>
        </w:rPr>
        <w:t xml:space="preserve">           17.5</w:t>
      </w:r>
    </w:p>
    <w:p w:rsidR="003C4F12" w:rsidRDefault="003C4F12" w:rsidP="003C4F12">
      <w:pPr>
        <w:pBdr>
          <w:bottom w:val="single" w:sz="12" w:space="1" w:color="auto"/>
        </w:pBd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t>110</w:t>
      </w:r>
      <w:r>
        <w:rPr>
          <w:rFonts w:ascii="Times New Roman" w:eastAsia="Calibri" w:hAnsi="Times New Roman" w:cs="Times New Roman"/>
        </w:rPr>
        <w:tab/>
        <w:t xml:space="preserve">           20.9</w:t>
      </w:r>
    </w:p>
    <w:p w:rsidR="005C13A9" w:rsidRDefault="003C4F12"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r>
        <w:rPr>
          <w:rFonts w:ascii="Times New Roman" w:eastAsia="Calibri" w:hAnsi="Times New Roman" w:cs="Times New Roman"/>
        </w:rPr>
        <w:t xml:space="preserve">L=lime; PAS= premature anaphase separation;  *  </w:t>
      </w:r>
      <w:r w:rsidRPr="00BD22A6">
        <w:rPr>
          <w:rFonts w:ascii="Times New Roman" w:hAnsi="Times New Roman" w:cs="Times New Roman"/>
          <w:sz w:val="24"/>
          <w:szCs w:val="24"/>
        </w:rPr>
        <w:t>statistically significant in paired t-test; two-tailed p value was shown.</w:t>
      </w:r>
      <w:r>
        <w:rPr>
          <w:rFonts w:ascii="Times New Roman" w:eastAsia="Calibri" w:hAnsi="Times New Roman" w:cs="Times New Roman"/>
        </w:rPr>
        <w:t xml:space="preserve"> Each one shows a significant difference with the treatment of RAN+lime only in the matching treatment days. The RAN+lime data are shown in Table 2. </w:t>
      </w:r>
      <w:r w:rsidRPr="00BD22A6">
        <w:rPr>
          <w:rFonts w:ascii="Times New Roman" w:eastAsia="Calibri" w:hAnsi="Times New Roman" w:cs="Times New Roman"/>
        </w:rPr>
        <w:tab/>
      </w: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p w:rsidR="005C13A9" w:rsidRDefault="005C13A9" w:rsidP="003C4F12">
      <w:pPr>
        <w:tabs>
          <w:tab w:val="left" w:pos="1560"/>
          <w:tab w:val="left" w:pos="2694"/>
          <w:tab w:val="left" w:pos="2860"/>
          <w:tab w:val="left" w:pos="3686"/>
          <w:tab w:val="left" w:pos="4962"/>
          <w:tab w:val="left" w:pos="6096"/>
          <w:tab w:val="left" w:pos="6642"/>
          <w:tab w:val="left" w:pos="7371"/>
          <w:tab w:val="left" w:pos="7961"/>
          <w:tab w:val="left" w:pos="8080"/>
          <w:tab w:val="left" w:pos="8520"/>
        </w:tabs>
        <w:spacing w:after="0"/>
        <w:rPr>
          <w:rFonts w:ascii="Times New Roman" w:eastAsia="Calibri" w:hAnsi="Times New Roman" w:cs="Times New Roman"/>
        </w:rPr>
      </w:pPr>
    </w:p>
    <w:sectPr w:rsidR="005C13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C89" w:rsidRDefault="00D03C89">
      <w:pPr>
        <w:spacing w:after="0" w:line="240" w:lineRule="auto"/>
      </w:pPr>
      <w:r>
        <w:separator/>
      </w:r>
    </w:p>
  </w:endnote>
  <w:endnote w:type="continuationSeparator" w:id="0">
    <w:p w:rsidR="00D03C89" w:rsidRDefault="00D03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dvOT1ef757c0">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C89" w:rsidRDefault="00D03C89">
      <w:pPr>
        <w:spacing w:after="0" w:line="240" w:lineRule="auto"/>
      </w:pPr>
      <w:r>
        <w:separator/>
      </w:r>
    </w:p>
  </w:footnote>
  <w:footnote w:type="continuationSeparator" w:id="0">
    <w:p w:rsidR="00D03C89" w:rsidRDefault="00D03C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810344"/>
      <w:docPartObj>
        <w:docPartGallery w:val="Page Numbers (Top of Page)"/>
        <w:docPartUnique/>
      </w:docPartObj>
    </w:sdtPr>
    <w:sdtEndPr>
      <w:rPr>
        <w:noProof/>
      </w:rPr>
    </w:sdtEndPr>
    <w:sdtContent>
      <w:p w:rsidR="00C4745E" w:rsidRDefault="003C4F12">
        <w:pPr>
          <w:pStyle w:val="Header"/>
          <w:jc w:val="right"/>
        </w:pPr>
        <w:r>
          <w:fldChar w:fldCharType="begin"/>
        </w:r>
        <w:r>
          <w:instrText xml:space="preserve"> PAGE   \* MERGEFORMAT </w:instrText>
        </w:r>
        <w:r>
          <w:fldChar w:fldCharType="separate"/>
        </w:r>
        <w:r w:rsidR="0014518C">
          <w:rPr>
            <w:noProof/>
          </w:rPr>
          <w:t>1</w:t>
        </w:r>
        <w:r>
          <w:rPr>
            <w:noProof/>
          </w:rPr>
          <w:fldChar w:fldCharType="end"/>
        </w:r>
      </w:p>
    </w:sdtContent>
  </w:sdt>
  <w:p w:rsidR="00C4745E" w:rsidRDefault="00D03C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F12"/>
    <w:rsid w:val="00030DB1"/>
    <w:rsid w:val="000774CC"/>
    <w:rsid w:val="0014518C"/>
    <w:rsid w:val="00197EEA"/>
    <w:rsid w:val="001A1225"/>
    <w:rsid w:val="00260DBC"/>
    <w:rsid w:val="003C4F12"/>
    <w:rsid w:val="00415743"/>
    <w:rsid w:val="00480E8D"/>
    <w:rsid w:val="004C3B96"/>
    <w:rsid w:val="0052477C"/>
    <w:rsid w:val="005640C6"/>
    <w:rsid w:val="005A5DBA"/>
    <w:rsid w:val="005A7E40"/>
    <w:rsid w:val="005C13A9"/>
    <w:rsid w:val="005F7BAE"/>
    <w:rsid w:val="00634951"/>
    <w:rsid w:val="00721D27"/>
    <w:rsid w:val="00754823"/>
    <w:rsid w:val="0086380C"/>
    <w:rsid w:val="00D03C89"/>
    <w:rsid w:val="00D35218"/>
    <w:rsid w:val="00D95D47"/>
    <w:rsid w:val="00E351CD"/>
    <w:rsid w:val="00E528AB"/>
    <w:rsid w:val="00E76580"/>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40CFA-DB82-4EAC-AF6F-C188A4AA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4F12"/>
    <w:pPr>
      <w:spacing w:after="0" w:line="240" w:lineRule="auto"/>
    </w:pPr>
  </w:style>
  <w:style w:type="character" w:styleId="Emphasis">
    <w:name w:val="Emphasis"/>
    <w:basedOn w:val="DefaultParagraphFont"/>
    <w:uiPriority w:val="20"/>
    <w:qFormat/>
    <w:rsid w:val="003C4F12"/>
    <w:rPr>
      <w:i/>
      <w:iCs/>
    </w:rPr>
  </w:style>
  <w:style w:type="paragraph" w:customStyle="1" w:styleId="Default">
    <w:name w:val="Default"/>
    <w:rsid w:val="003C4F1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3C4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prof.A.chatterjee</dc:creator>
  <cp:keywords/>
  <dc:description/>
  <cp:lastModifiedBy>prof.A.chatterjee</cp:lastModifiedBy>
  <cp:revision>12</cp:revision>
  <dcterms:created xsi:type="dcterms:W3CDTF">2018-12-23T07:16:00Z</dcterms:created>
  <dcterms:modified xsi:type="dcterms:W3CDTF">2019-09-04T12:02:00Z</dcterms:modified>
</cp:coreProperties>
</file>