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827F9" w14:textId="09CF5DEA" w:rsidR="00456D85" w:rsidRPr="00187F72" w:rsidRDefault="008A7899" w:rsidP="00456D85">
      <w:pPr>
        <w:pStyle w:val="a7"/>
        <w:jc w:val="center"/>
        <w:rPr>
          <w:rFonts w:asciiTheme="minorHAnsi" w:hAnsiTheme="minorHAnsi" w:cstheme="minorHAnsi"/>
          <w:sz w:val="28"/>
        </w:rPr>
      </w:pPr>
      <w:r w:rsidRPr="008A7899">
        <w:rPr>
          <w:rFonts w:asciiTheme="minorHAnsi" w:hAnsiTheme="minorHAnsi" w:cstheme="minorHAnsi"/>
          <w:sz w:val="28"/>
        </w:rPr>
        <w:t>Spike-shape dependence of the spike-timing dependent synaptic plasticity in ferroelectric-tunnel-junction synapses</w:t>
      </w:r>
      <w:r w:rsidR="00456D85">
        <w:rPr>
          <w:rFonts w:asciiTheme="minorHAnsi" w:hAnsiTheme="minorHAnsi" w:cstheme="minorHAnsi"/>
          <w:sz w:val="28"/>
        </w:rPr>
        <w:br/>
        <w:t xml:space="preserve">- Supplementary Information - </w:t>
      </w:r>
    </w:p>
    <w:p w14:paraId="225269FA" w14:textId="77777777" w:rsidR="00456D85" w:rsidRPr="002D60F0" w:rsidRDefault="00456D85" w:rsidP="00456D85">
      <w:pPr>
        <w:spacing w:before="240" w:after="0"/>
        <w:jc w:val="center"/>
        <w:rPr>
          <w:i/>
        </w:rPr>
      </w:pPr>
      <w:r w:rsidRPr="002D60F0">
        <w:rPr>
          <w:i/>
        </w:rPr>
        <w:t>P. Stoliar*, H. Yamada, Y. Toyosaki, and A. Sawa</w:t>
      </w:r>
    </w:p>
    <w:p w14:paraId="4EB87296" w14:textId="02A77C41" w:rsidR="00456D85" w:rsidRDefault="00456D85" w:rsidP="00456D85">
      <w:pPr>
        <w:pStyle w:val="a6"/>
        <w:jc w:val="center"/>
      </w:pPr>
      <w:r w:rsidRPr="00C54053">
        <w:t xml:space="preserve">National Institute of Advanced Industrial Science and Technology (AIST), </w:t>
      </w:r>
      <w:r w:rsidRPr="00C54053">
        <w:br/>
        <w:t xml:space="preserve">AIST Tsukuba Central 5, 1-1-1 Higashi, Tsukuba, Ibaraki 305-8565, Japan </w:t>
      </w:r>
      <w:r w:rsidRPr="00C54053">
        <w:br/>
        <w:t xml:space="preserve">E-mail: </w:t>
      </w:r>
      <w:hyperlink r:id="rId4" w:history="1">
        <w:r w:rsidRPr="00282605">
          <w:rPr>
            <w:rStyle w:val="a4"/>
          </w:rPr>
          <w:t>p.stoliar@aist.go.jp</w:t>
        </w:r>
      </w:hyperlink>
      <w:r>
        <w:t xml:space="preserve"> </w:t>
      </w:r>
    </w:p>
    <w:p w14:paraId="6E567BF6" w14:textId="06DE8EF9" w:rsidR="00B406F1" w:rsidRDefault="00B406F1" w:rsidP="00B406F1"/>
    <w:p w14:paraId="5E327507" w14:textId="3DB5E645" w:rsidR="00445D29" w:rsidRDefault="00445D29" w:rsidP="00445D29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14:paraId="064FCC9F" w14:textId="4AAFD90F" w:rsidR="005E75E7" w:rsidRDefault="005E75E7" w:rsidP="00A50822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</w:rPr>
      </w:pPr>
      <w:r>
        <w:rPr>
          <w:noProof/>
        </w:rPr>
        <w:drawing>
          <wp:inline distT="0" distB="0" distL="0" distR="0" wp14:anchorId="2DCC45BE" wp14:editId="20A390FB">
            <wp:extent cx="5760720" cy="6483096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8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6E944" w14:textId="42B74837" w:rsidR="005E75E7" w:rsidRPr="00BB6F43" w:rsidRDefault="00BB6F43" w:rsidP="00445D29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rPr>
          <w:rFonts w:ascii="Calibri" w:eastAsia="Times New Roman" w:hAnsi="Calibri" w:cs="Calibri"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 xml:space="preserve">Figure S1. </w:t>
      </w:r>
      <w:r w:rsidRPr="00BB6F43">
        <w:rPr>
          <w:rFonts w:ascii="Calibri" w:eastAsia="Times New Roman" w:hAnsi="Calibri" w:cs="Calibri"/>
          <w:bCs/>
          <w:color w:val="000000"/>
        </w:rPr>
        <w:t xml:space="preserve">Typical STDP curves for </w:t>
      </w:r>
      <w:r w:rsidRPr="00BB6F43">
        <w:t>TT-type spike</w:t>
      </w:r>
      <w:r>
        <w:t>s</w:t>
      </w:r>
      <w:r w:rsidR="005249EE">
        <w:t xml:space="preserve"> with different </w:t>
      </w:r>
      <w:r w:rsidR="005249EE" w:rsidRPr="00A50822">
        <w:rPr>
          <w:i/>
          <w:iCs/>
        </w:rPr>
        <w:t>V</w:t>
      </w:r>
      <w:r w:rsidR="005249EE" w:rsidRPr="00A50822">
        <w:rPr>
          <w:vertAlign w:val="subscript"/>
        </w:rPr>
        <w:t>peak</w:t>
      </w:r>
      <w:r w:rsidR="005249EE">
        <w:t xml:space="preserve"> and </w:t>
      </w:r>
      <w:r w:rsidR="005249EE" w:rsidRPr="00A50822">
        <w:rPr>
          <w:i/>
          <w:iCs/>
        </w:rPr>
        <w:t>t</w:t>
      </w:r>
      <w:r w:rsidR="005249EE" w:rsidRPr="00A50822">
        <w:rPr>
          <w:vertAlign w:val="subscript"/>
        </w:rPr>
        <w:t>d</w:t>
      </w:r>
      <w:r>
        <w:t xml:space="preserve">. They correspond to </w:t>
      </w:r>
      <w:r w:rsidR="00A50822">
        <w:t>8</w:t>
      </w:r>
      <w:r>
        <w:t xml:space="preserve"> datapoints in</w:t>
      </w:r>
      <w:r w:rsidR="005249EE">
        <w:t xml:space="preserve"> F</w:t>
      </w:r>
      <w:r>
        <w:t>ig</w:t>
      </w:r>
      <w:r w:rsidR="005249EE">
        <w:t>s</w:t>
      </w:r>
      <w:r>
        <w:t>. 4a and 4c.</w:t>
      </w:r>
    </w:p>
    <w:p w14:paraId="70ED64C7" w14:textId="0404AC41" w:rsidR="005E75E7" w:rsidRDefault="005E75E7" w:rsidP="00445D29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14:paraId="4250EEBD" w14:textId="46C41CA9" w:rsidR="005E75E7" w:rsidRDefault="008142D6" w:rsidP="00A50822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noProof/>
          <w:color w:val="000000"/>
        </w:rPr>
        <w:lastRenderedPageBreak/>
        <w:drawing>
          <wp:inline distT="0" distB="0" distL="0" distR="0" wp14:anchorId="6C8C5975" wp14:editId="00FDAA41">
            <wp:extent cx="5760732" cy="8641098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864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DAE9" w14:textId="7AAE8B38" w:rsidR="005249EE" w:rsidRDefault="005249EE" w:rsidP="00445D29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</w:pPr>
      <w:r>
        <w:rPr>
          <w:rFonts w:ascii="Calibri" w:eastAsia="Times New Roman" w:hAnsi="Calibri" w:cs="Calibri"/>
          <w:b/>
          <w:bCs/>
          <w:color w:val="000000"/>
        </w:rPr>
        <w:t xml:space="preserve">Figure S2. </w:t>
      </w:r>
      <w:r w:rsidRPr="00BB6F43">
        <w:rPr>
          <w:rFonts w:ascii="Calibri" w:eastAsia="Times New Roman" w:hAnsi="Calibri" w:cs="Calibri"/>
          <w:bCs/>
          <w:color w:val="000000"/>
        </w:rPr>
        <w:t xml:space="preserve">Typical STDP curves for </w:t>
      </w:r>
      <w:r>
        <w:t>RT</w:t>
      </w:r>
      <w:r w:rsidRPr="00BB6F43">
        <w:t>-type spike</w:t>
      </w:r>
      <w:r>
        <w:t xml:space="preserve">s with different </w:t>
      </w:r>
      <w:r w:rsidRPr="00CA1D15">
        <w:rPr>
          <w:i/>
          <w:iCs/>
        </w:rPr>
        <w:t>V</w:t>
      </w:r>
      <w:r w:rsidRPr="00CA1D15">
        <w:rPr>
          <w:vertAlign w:val="subscript"/>
        </w:rPr>
        <w:t>peak</w:t>
      </w:r>
      <w:r>
        <w:t xml:space="preserve">, </w:t>
      </w:r>
      <w:r w:rsidRPr="00CA1D15">
        <w:rPr>
          <w:i/>
          <w:iCs/>
        </w:rPr>
        <w:t>t</w:t>
      </w:r>
      <w:r>
        <w:rPr>
          <w:vertAlign w:val="subscript"/>
        </w:rPr>
        <w:t>d</w:t>
      </w:r>
      <w:r>
        <w:t xml:space="preserve">, and </w:t>
      </w:r>
      <w:r w:rsidRPr="00CA1D15">
        <w:rPr>
          <w:i/>
          <w:iCs/>
        </w:rPr>
        <w:t>t</w:t>
      </w:r>
      <w:r>
        <w:rPr>
          <w:vertAlign w:val="subscript"/>
        </w:rPr>
        <w:t>p</w:t>
      </w:r>
      <w:r>
        <w:t xml:space="preserve">. They correspond to </w:t>
      </w:r>
      <w:r w:rsidR="00A50822">
        <w:t>9</w:t>
      </w:r>
      <w:r>
        <w:t xml:space="preserve"> datapoints in Figs. 4e and 4g.</w:t>
      </w:r>
    </w:p>
    <w:p w14:paraId="7623ABE7" w14:textId="5186BE3E" w:rsidR="005249EE" w:rsidRDefault="005249EE" w:rsidP="00445D29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14:paraId="393D3E25" w14:textId="7D85E150" w:rsidR="005249EE" w:rsidRDefault="005249EE" w:rsidP="00445D29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14:paraId="1421AC08" w14:textId="2C19BA7A" w:rsidR="005249EE" w:rsidRDefault="008142D6" w:rsidP="00A50822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noProof/>
          <w:color w:val="000000"/>
        </w:rPr>
        <w:lastRenderedPageBreak/>
        <w:drawing>
          <wp:inline distT="0" distB="0" distL="0" distR="0" wp14:anchorId="7213A270" wp14:editId="131C2076">
            <wp:extent cx="5760732" cy="8641098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864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9E24B" w14:textId="04213B55" w:rsidR="005249EE" w:rsidRPr="00CA1D15" w:rsidRDefault="005249EE" w:rsidP="005249EE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 xml:space="preserve">Figure S3. </w:t>
      </w:r>
      <w:r w:rsidRPr="00BB6F43">
        <w:rPr>
          <w:rFonts w:ascii="Calibri" w:eastAsia="Times New Roman" w:hAnsi="Calibri" w:cs="Calibri"/>
          <w:bCs/>
          <w:color w:val="000000"/>
        </w:rPr>
        <w:t xml:space="preserve">Typical STDP curves for </w:t>
      </w:r>
      <w:r>
        <w:t>RR</w:t>
      </w:r>
      <w:r w:rsidRPr="00BB6F43">
        <w:t>-type spike</w:t>
      </w:r>
      <w:r>
        <w:t xml:space="preserve">s with different </w:t>
      </w:r>
      <w:r w:rsidRPr="00CA1D15">
        <w:rPr>
          <w:i/>
          <w:iCs/>
        </w:rPr>
        <w:t>V</w:t>
      </w:r>
      <w:r w:rsidRPr="00CA1D15">
        <w:rPr>
          <w:vertAlign w:val="subscript"/>
        </w:rPr>
        <w:t>peak</w:t>
      </w:r>
      <w:r>
        <w:t xml:space="preserve">, </w:t>
      </w:r>
      <w:r w:rsidRPr="00CA1D15">
        <w:rPr>
          <w:i/>
          <w:iCs/>
        </w:rPr>
        <w:t>t</w:t>
      </w:r>
      <w:r>
        <w:rPr>
          <w:vertAlign w:val="subscript"/>
        </w:rPr>
        <w:t>d</w:t>
      </w:r>
      <w:r>
        <w:t xml:space="preserve">, and </w:t>
      </w:r>
      <w:r w:rsidRPr="00CA1D15">
        <w:rPr>
          <w:i/>
          <w:iCs/>
        </w:rPr>
        <w:t>t</w:t>
      </w:r>
      <w:r>
        <w:rPr>
          <w:vertAlign w:val="subscript"/>
        </w:rPr>
        <w:t>p</w:t>
      </w:r>
      <w:r>
        <w:t xml:space="preserve">. They correspond to </w:t>
      </w:r>
      <w:r w:rsidR="00A50822">
        <w:t>7</w:t>
      </w:r>
      <w:r>
        <w:t xml:space="preserve"> datapoints in Figs. 4i and 4k.</w:t>
      </w:r>
    </w:p>
    <w:p w14:paraId="2AC9FEE2" w14:textId="77777777" w:rsidR="00DB23B6" w:rsidRPr="00DB23B6" w:rsidRDefault="00DB23B6" w:rsidP="00DB23B6">
      <w:pPr>
        <w:rPr>
          <w:rFonts w:ascii="Calibri" w:hAnsi="Calibri" w:cs="Calibri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6"/>
        <w:gridCol w:w="4820"/>
      </w:tblGrid>
      <w:tr w:rsidR="00BB6F43" w14:paraId="39BA6D4F" w14:textId="77777777" w:rsidTr="00BB6F43">
        <w:tc>
          <w:tcPr>
            <w:tcW w:w="5228" w:type="dxa"/>
          </w:tcPr>
          <w:p w14:paraId="6E7DC592" w14:textId="77777777" w:rsidR="00BB6F43" w:rsidRDefault="00BB6F43" w:rsidP="00111651">
            <w:pPr>
              <w:tabs>
                <w:tab w:val="left" w:pos="736"/>
                <w:tab w:val="left" w:pos="1256"/>
                <w:tab w:val="left" w:pos="2587"/>
                <w:tab w:val="left" w:pos="3107"/>
                <w:tab w:val="left" w:pos="3627"/>
              </w:tabs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6F43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lastRenderedPageBreak/>
              <w:drawing>
                <wp:inline distT="0" distB="0" distL="0" distR="0" wp14:anchorId="40004591" wp14:editId="016F15EA">
                  <wp:extent cx="3448216" cy="9425123"/>
                  <wp:effectExtent l="0" t="0" r="0" b="508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216" cy="942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6A116E1E" w14:textId="1CFC18A3" w:rsidR="00BB6F43" w:rsidRPr="00A50822" w:rsidRDefault="00BB6F43" w:rsidP="00A50822">
            <w:pPr>
              <w:pStyle w:val="a6"/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Figure </w:t>
            </w:r>
            <w:r w:rsidR="005249EE">
              <w:rPr>
                <w:rFonts w:ascii="Calibri" w:eastAsia="Times New Roman" w:hAnsi="Calibri" w:cs="Calibri"/>
                <w:b/>
                <w:bCs/>
                <w:color w:val="000000"/>
              </w:rPr>
              <w:t>S4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. </w:t>
            </w:r>
            <w:r w:rsidRPr="00216027">
              <w:rPr>
                <w:i/>
              </w:rPr>
              <w:t>V</w:t>
            </w:r>
            <w:r w:rsidRPr="00216027">
              <w:rPr>
                <w:vertAlign w:val="subscript"/>
              </w:rPr>
              <w:t>peak</w:t>
            </w:r>
            <w:r w:rsidRPr="00216027">
              <w:t xml:space="preserve"> dependence of </w:t>
            </w:r>
            <w:r w:rsidRPr="00216027">
              <w:rPr>
                <w:rFonts w:ascii="Symbol" w:hAnsi="Symbol"/>
              </w:rPr>
              <w:t></w:t>
            </w:r>
            <w:r w:rsidRPr="00216027">
              <w:rPr>
                <w:vertAlign w:val="subscript"/>
              </w:rPr>
              <w:t>c</w:t>
            </w:r>
            <w:r>
              <w:t xml:space="preserve"> and </w:t>
            </w:r>
            <w:r w:rsidRPr="00084337">
              <w:rPr>
                <w:i/>
              </w:rPr>
              <w:t>t</w:t>
            </w:r>
            <w:r w:rsidRPr="00084337">
              <w:rPr>
                <w:vertAlign w:val="subscript"/>
              </w:rPr>
              <w:t>d</w:t>
            </w:r>
            <w:r w:rsidRPr="00084337">
              <w:t xml:space="preserve"> dependence of </w:t>
            </w:r>
            <w:r w:rsidRPr="00084337">
              <w:rPr>
                <w:rFonts w:ascii="Symbol" w:hAnsi="Symbol"/>
              </w:rPr>
              <w:t></w:t>
            </w:r>
            <w:r w:rsidRPr="00084337">
              <w:rPr>
                <w:i/>
              </w:rPr>
              <w:t>G</w:t>
            </w:r>
            <w:r w:rsidRPr="00084337">
              <w:rPr>
                <w:vertAlign w:val="subscript"/>
              </w:rPr>
              <w:t>max</w:t>
            </w:r>
            <w:r w:rsidRPr="00084337">
              <w:t xml:space="preserve"> </w:t>
            </w:r>
            <w:r w:rsidR="00462143">
              <w:t>for the TT-, RT</w:t>
            </w:r>
            <w:r w:rsidR="004D0311">
              <w:t>-</w:t>
            </w:r>
            <w:r w:rsidR="00462143">
              <w:t>, and RR-type spikes</w:t>
            </w:r>
            <w:r>
              <w:t xml:space="preserve">. </w:t>
            </w:r>
            <w:r w:rsidR="008B1872">
              <w:t xml:space="preserve">The </w:t>
            </w:r>
            <w:r w:rsidR="004D0311">
              <w:t xml:space="preserve">results are </w:t>
            </w:r>
            <w:r w:rsidR="004D0311" w:rsidRPr="004D0311">
              <w:t>longitudinally arranged</w:t>
            </w:r>
            <w:r w:rsidR="004D0311">
              <w:t xml:space="preserve"> in the order that the </w:t>
            </w:r>
            <w:r w:rsidR="009D6019">
              <w:t xml:space="preserve">measurements </w:t>
            </w:r>
            <w:r w:rsidR="008B1872">
              <w:t>were done</w:t>
            </w:r>
            <w:r w:rsidR="009D6019">
              <w:t>.</w:t>
            </w:r>
            <w:r w:rsidR="008B1872">
              <w:t xml:space="preserve"> </w:t>
            </w:r>
            <w:r w:rsidR="009D6019">
              <w:t xml:space="preserve">Note </w:t>
            </w:r>
            <w:r>
              <w:t>that the</w:t>
            </w:r>
            <w:r w:rsidR="009D6019">
              <w:t xml:space="preserve"> measurements </w:t>
            </w:r>
            <w:r>
              <w:t xml:space="preserve">for the </w:t>
            </w:r>
            <w:r w:rsidRPr="00BB6F43">
              <w:t>TT-type spike</w:t>
            </w:r>
            <w:r>
              <w:t xml:space="preserve">s were </w:t>
            </w:r>
            <w:r w:rsidR="009D6019">
              <w:t xml:space="preserve">carried out </w:t>
            </w:r>
            <w:r>
              <w:t>twice</w:t>
            </w:r>
            <w:r w:rsidR="009D6019">
              <w:t xml:space="preserve">: the </w:t>
            </w:r>
            <w:r w:rsidR="009D6019" w:rsidRPr="00A50822">
              <w:t>second</w:t>
            </w:r>
            <w:r w:rsidR="009D6019">
              <w:t xml:space="preserve"> measurement was carried out at the end of series of measurement in order to confirm the reproducibility of </w:t>
            </w:r>
            <w:r w:rsidR="00BB340B">
              <w:t xml:space="preserve">measured results. The result of the second measurement (bottom) is equivalent for that of the first measurement (top), </w:t>
            </w:r>
            <w:r>
              <w:t>confirm</w:t>
            </w:r>
            <w:r w:rsidR="00BB340B">
              <w:t>ing</w:t>
            </w:r>
            <w:r>
              <w:t xml:space="preserve"> that the degradation of the device during the experiments </w:t>
            </w:r>
            <w:r w:rsidR="00BB340B">
              <w:t xml:space="preserve">was </w:t>
            </w:r>
            <w:r>
              <w:t xml:space="preserve">negligible. </w:t>
            </w:r>
          </w:p>
        </w:tc>
      </w:tr>
    </w:tbl>
    <w:p w14:paraId="5D904DC7" w14:textId="7710CE06" w:rsidR="00DE5B0E" w:rsidRDefault="00DE5B0E" w:rsidP="00BB6F43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14:paraId="5ABCC3B9" w14:textId="77777777" w:rsidR="00DE5B0E" w:rsidRDefault="00DE5B0E">
      <w:pPr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br w:type="page"/>
      </w:r>
    </w:p>
    <w:p w14:paraId="7386023D" w14:textId="258FFA5A" w:rsidR="005E75E7" w:rsidRDefault="00F50D43" w:rsidP="00F50D43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noProof/>
          <w:color w:val="000000"/>
        </w:rPr>
        <w:lastRenderedPageBreak/>
        <w:drawing>
          <wp:inline distT="0" distB="0" distL="0" distR="0" wp14:anchorId="4ECA03FC" wp14:editId="3DF971CF">
            <wp:extent cx="4565526" cy="4199797"/>
            <wp:effectExtent l="0" t="0" r="698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SLs_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526" cy="419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C85CD2">
        <w:rPr>
          <w:rFonts w:ascii="Calibri" w:hAnsi="Calibri" w:cs="Calibri"/>
          <w:b/>
          <w:bCs/>
          <w:color w:val="000000"/>
        </w:rPr>
        <w:br w:type="textWrapping" w:clear="all"/>
      </w:r>
    </w:p>
    <w:p w14:paraId="3861932B" w14:textId="1257ACEB" w:rsidR="00DE5B0E" w:rsidRDefault="00DE5B0E" w:rsidP="00BB6F43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14:paraId="4891741C" w14:textId="165E65C3" w:rsidR="00DE5B0E" w:rsidRPr="00DE5B0E" w:rsidRDefault="00DE5B0E" w:rsidP="00BB6F43">
      <w:pPr>
        <w:tabs>
          <w:tab w:val="left" w:pos="736"/>
          <w:tab w:val="left" w:pos="1256"/>
          <w:tab w:val="left" w:pos="2587"/>
          <w:tab w:val="left" w:pos="3107"/>
          <w:tab w:val="left" w:pos="3627"/>
        </w:tabs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 w:hint="eastAsia"/>
          <w:b/>
          <w:bCs/>
          <w:color w:val="000000"/>
        </w:rPr>
        <w:t>Figure S4</w:t>
      </w:r>
      <w:r>
        <w:rPr>
          <w:rFonts w:ascii="Calibri" w:hAnsi="Calibri" w:cs="Calibri"/>
          <w:b/>
          <w:bCs/>
          <w:color w:val="000000"/>
        </w:rPr>
        <w:t xml:space="preserve">. </w:t>
      </w:r>
      <w:r>
        <w:rPr>
          <w:lang w:val="en-GB"/>
        </w:rPr>
        <w:t>H</w:t>
      </w:r>
      <w:r w:rsidRPr="004365C8">
        <w:rPr>
          <w:lang w:val="en-GB"/>
        </w:rPr>
        <w:t>ysteresis switching loop</w:t>
      </w:r>
      <w:r>
        <w:rPr>
          <w:lang w:val="en-GB"/>
        </w:rPr>
        <w:t>s</w:t>
      </w:r>
      <w:r w:rsidRPr="004365C8">
        <w:rPr>
          <w:lang w:val="en-GB"/>
        </w:rPr>
        <w:t xml:space="preserve"> (HSL</w:t>
      </w:r>
      <w:r>
        <w:rPr>
          <w:lang w:val="en-GB"/>
        </w:rPr>
        <w:t>s</w:t>
      </w:r>
      <w:r w:rsidRPr="004365C8">
        <w:rPr>
          <w:lang w:val="en-GB"/>
        </w:rPr>
        <w:t xml:space="preserve">) of </w:t>
      </w:r>
      <w:r>
        <w:rPr>
          <w:lang w:val="en-GB"/>
        </w:rPr>
        <w:t xml:space="preserve">the </w:t>
      </w:r>
      <w:r w:rsidRPr="004365C8">
        <w:rPr>
          <w:lang w:val="en-GB"/>
        </w:rPr>
        <w:t>FTJ measured by applying pulsed voltages</w:t>
      </w:r>
      <w:r>
        <w:rPr>
          <w:lang w:val="en-GB"/>
        </w:rPr>
        <w:t xml:space="preserve"> with </w:t>
      </w:r>
      <w:r w:rsidR="002C6A0E">
        <w:rPr>
          <w:lang w:val="en-GB"/>
        </w:rPr>
        <w:t xml:space="preserve">a </w:t>
      </w:r>
      <w:r>
        <w:rPr>
          <w:lang w:val="en-GB"/>
        </w:rPr>
        <w:t>pulse duration of 3 ms. The second measurement (</w:t>
      </w:r>
      <w:r w:rsidR="00C85CD2">
        <w:rPr>
          <w:lang w:val="en-GB"/>
        </w:rPr>
        <w:t xml:space="preserve">red </w:t>
      </w:r>
      <w:r>
        <w:rPr>
          <w:lang w:val="en-GB"/>
        </w:rPr>
        <w:t xml:space="preserve">dots) was carried out after </w:t>
      </w:r>
      <w:r w:rsidR="00C85CD2">
        <w:rPr>
          <w:lang w:val="en-GB"/>
        </w:rPr>
        <w:t>about 1 second</w:t>
      </w:r>
      <w:r>
        <w:rPr>
          <w:lang w:val="en-GB"/>
        </w:rPr>
        <w:t xml:space="preserve"> of the </w:t>
      </w:r>
      <w:r w:rsidR="00A5384D">
        <w:rPr>
          <w:lang w:val="en-GB"/>
        </w:rPr>
        <w:t>first measurement (</w:t>
      </w:r>
      <w:r w:rsidR="00C85CD2">
        <w:rPr>
          <w:lang w:val="en-GB"/>
        </w:rPr>
        <w:t>blue</w:t>
      </w:r>
      <w:r w:rsidR="00A5384D">
        <w:rPr>
          <w:lang w:val="en-GB"/>
        </w:rPr>
        <w:t xml:space="preserve"> dots)</w:t>
      </w:r>
      <w:r w:rsidR="00112C51">
        <w:rPr>
          <w:rFonts w:hint="eastAsia"/>
          <w:lang w:val="en-GB"/>
        </w:rPr>
        <w:t>.</w:t>
      </w:r>
      <w:r w:rsidR="00112C51">
        <w:rPr>
          <w:lang w:val="en-GB"/>
        </w:rPr>
        <w:t xml:space="preserve"> These HSLs confirms</w:t>
      </w:r>
      <w:r w:rsidR="00C85CD2">
        <w:rPr>
          <w:lang w:val="en-GB"/>
        </w:rPr>
        <w:t xml:space="preserve"> a reproducibility of HLS measurements</w:t>
      </w:r>
      <w:r w:rsidR="00A5384D">
        <w:rPr>
          <w:lang w:val="en-GB"/>
        </w:rPr>
        <w:t xml:space="preserve">. </w:t>
      </w:r>
      <w:r w:rsidR="00C85CD2">
        <w:rPr>
          <w:lang w:val="en-GB"/>
        </w:rPr>
        <w:t xml:space="preserve">The third measurement (black dots) was carried out after </w:t>
      </w:r>
      <w:r w:rsidR="00EB763A">
        <w:rPr>
          <w:lang w:val="en-GB"/>
        </w:rPr>
        <w:t xml:space="preserve">about </w:t>
      </w:r>
      <w:r w:rsidR="00C85CD2">
        <w:rPr>
          <w:lang w:val="en-GB"/>
        </w:rPr>
        <w:t xml:space="preserve">42 hours of the second measurement. </w:t>
      </w:r>
      <w:r w:rsidR="00A5384D">
        <w:rPr>
          <w:lang w:val="en-GB"/>
        </w:rPr>
        <w:t>The remnant current (I</w:t>
      </w:r>
      <w:r w:rsidR="00A5384D" w:rsidRPr="00A5384D">
        <w:rPr>
          <w:vertAlign w:val="subscript"/>
          <w:lang w:val="en-GB"/>
        </w:rPr>
        <w:t>rem</w:t>
      </w:r>
      <w:r w:rsidR="00A5384D">
        <w:rPr>
          <w:lang w:val="en-GB"/>
        </w:rPr>
        <w:t>) at the high resistance state (HRS) increased from 90 nA to 113 nA after 42 hours. The rate of I</w:t>
      </w:r>
      <w:r w:rsidR="00A5384D" w:rsidRPr="00A5384D">
        <w:rPr>
          <w:vertAlign w:val="subscript"/>
          <w:lang w:val="en-GB"/>
        </w:rPr>
        <w:t>rem</w:t>
      </w:r>
      <w:r w:rsidR="00A5384D">
        <w:rPr>
          <w:lang w:val="en-GB"/>
        </w:rPr>
        <w:t xml:space="preserve"> </w:t>
      </w:r>
      <w:r w:rsidR="00112C51">
        <w:rPr>
          <w:lang w:val="en-GB"/>
        </w:rPr>
        <w:t xml:space="preserve">change </w:t>
      </w:r>
      <w:r w:rsidR="00A5384D">
        <w:rPr>
          <w:lang w:val="en-GB"/>
        </w:rPr>
        <w:t>was about 0.6%/hour</w:t>
      </w:r>
      <w:r w:rsidR="002C6A0E">
        <w:rPr>
          <w:lang w:val="en-GB"/>
        </w:rPr>
        <w:t xml:space="preserve">, confirming that the FTJ shows practically nonvolatile resistive switching sufficient for STDP experiments. </w:t>
      </w:r>
    </w:p>
    <w:sectPr w:rsidR="00DE5B0E" w:rsidRPr="00DE5B0E" w:rsidSect="003C685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a0NDQzMzIxsDQxMTBS0lEKTi0uzszPAykwrQUAqU33sCwAAAA="/>
  </w:docVars>
  <w:rsids>
    <w:rsidRoot w:val="003C6855"/>
    <w:rsid w:val="000F33A1"/>
    <w:rsid w:val="00112C51"/>
    <w:rsid w:val="001D1141"/>
    <w:rsid w:val="002C6A0E"/>
    <w:rsid w:val="00337CDE"/>
    <w:rsid w:val="0036177A"/>
    <w:rsid w:val="003B6872"/>
    <w:rsid w:val="003C6855"/>
    <w:rsid w:val="00445D29"/>
    <w:rsid w:val="00456D85"/>
    <w:rsid w:val="00462143"/>
    <w:rsid w:val="00493D5E"/>
    <w:rsid w:val="004D0311"/>
    <w:rsid w:val="005249EE"/>
    <w:rsid w:val="005E75E7"/>
    <w:rsid w:val="00621EA4"/>
    <w:rsid w:val="00783082"/>
    <w:rsid w:val="008142D6"/>
    <w:rsid w:val="00834F90"/>
    <w:rsid w:val="008A3A60"/>
    <w:rsid w:val="008A7899"/>
    <w:rsid w:val="008B1872"/>
    <w:rsid w:val="00914A53"/>
    <w:rsid w:val="0096042D"/>
    <w:rsid w:val="009D6019"/>
    <w:rsid w:val="00A50822"/>
    <w:rsid w:val="00A5384D"/>
    <w:rsid w:val="00AE540E"/>
    <w:rsid w:val="00B406F1"/>
    <w:rsid w:val="00BB340B"/>
    <w:rsid w:val="00BB6F43"/>
    <w:rsid w:val="00C262E3"/>
    <w:rsid w:val="00C30903"/>
    <w:rsid w:val="00C85CD2"/>
    <w:rsid w:val="00DA28F6"/>
    <w:rsid w:val="00DB23B6"/>
    <w:rsid w:val="00DB249C"/>
    <w:rsid w:val="00DE5B0E"/>
    <w:rsid w:val="00EA7816"/>
    <w:rsid w:val="00EB763A"/>
    <w:rsid w:val="00EF2592"/>
    <w:rsid w:val="00F50D43"/>
    <w:rsid w:val="00F67E85"/>
    <w:rsid w:val="00F7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608A6F"/>
  <w15:chartTrackingRefBased/>
  <w15:docId w15:val="{935CF3E2-8393-49B5-BBA4-7FE0D293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3D5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3D5E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456D85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456D85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456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Balloon Text"/>
    <w:basedOn w:val="a"/>
    <w:link w:val="aa"/>
    <w:uiPriority w:val="99"/>
    <w:semiHidden/>
    <w:unhideWhenUsed/>
    <w:rsid w:val="0046214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21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p.stoliar@aist.go.jp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309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Stoliar</dc:creator>
  <cp:keywords/>
  <dc:description/>
  <cp:lastModifiedBy>澤彰仁</cp:lastModifiedBy>
  <cp:revision>6</cp:revision>
  <dcterms:created xsi:type="dcterms:W3CDTF">2019-10-17T11:48:00Z</dcterms:created>
  <dcterms:modified xsi:type="dcterms:W3CDTF">2019-10-17T14:43:00Z</dcterms:modified>
</cp:coreProperties>
</file>