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D5D" w:rsidRDefault="00842D5D" w:rsidP="00842D5D">
      <w:pPr>
        <w:spacing w:before="120" w:after="120" w:line="276" w:lineRule="auto"/>
        <w:jc w:val="center"/>
        <w:rPr>
          <w:b/>
        </w:rPr>
      </w:pPr>
      <w:r w:rsidRPr="00CC068E">
        <w:rPr>
          <w:b/>
        </w:rPr>
        <w:t>Effect of ultrapure lipopolysaccharides derived from diverse bacterial species on the modulation of platelet activation</w:t>
      </w:r>
    </w:p>
    <w:p w:rsidR="00842D5D" w:rsidRPr="00CC068E" w:rsidRDefault="00842D5D" w:rsidP="00842D5D">
      <w:pPr>
        <w:spacing w:before="120" w:after="120" w:line="276" w:lineRule="auto"/>
        <w:jc w:val="center"/>
        <w:rPr>
          <w:b/>
        </w:rPr>
      </w:pP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t>Thomas M. Vallance</w:t>
      </w:r>
      <w:r w:rsidRPr="00CC068E">
        <w:rPr>
          <w:vertAlign w:val="superscript"/>
        </w:rPr>
        <w:t>1</w:t>
      </w:r>
      <w:r w:rsidRPr="00CC068E">
        <w:t>, Divyashree Ravishankar</w:t>
      </w:r>
      <w:r w:rsidRPr="00CC068E">
        <w:rPr>
          <w:vertAlign w:val="superscript"/>
        </w:rPr>
        <w:t>1</w:t>
      </w:r>
      <w:r w:rsidRPr="00CC068E">
        <w:t>, Dina A. I. Albadawi</w:t>
      </w:r>
      <w:r w:rsidRPr="00CC068E">
        <w:rPr>
          <w:vertAlign w:val="superscript"/>
        </w:rPr>
        <w:t>1</w:t>
      </w:r>
      <w:r w:rsidRPr="00CC068E">
        <w:t>, Harry Layfield</w:t>
      </w:r>
      <w:r w:rsidRPr="00CC068E">
        <w:rPr>
          <w:vertAlign w:val="superscript"/>
        </w:rPr>
        <w:t>1</w:t>
      </w:r>
      <w:r w:rsidRPr="00CC068E">
        <w:t>, Jonathan Sheard</w:t>
      </w:r>
      <w:r w:rsidRPr="00CC068E">
        <w:rPr>
          <w:vertAlign w:val="superscript"/>
        </w:rPr>
        <w:t>2,3</w:t>
      </w:r>
      <w:r w:rsidRPr="00CC068E">
        <w:t>, Rajendran Vaiyapuri</w:t>
      </w:r>
      <w:r w:rsidRPr="00CC068E">
        <w:rPr>
          <w:vertAlign w:val="superscript"/>
        </w:rPr>
        <w:t>4</w:t>
      </w:r>
      <w:r w:rsidRPr="00CC068E">
        <w:t>, Philip Dash</w:t>
      </w:r>
      <w:r w:rsidRPr="00CC068E">
        <w:rPr>
          <w:vertAlign w:val="superscript"/>
        </w:rPr>
        <w:t>5</w:t>
      </w:r>
      <w:r w:rsidRPr="00CC068E">
        <w:t>, Ketan Patel</w:t>
      </w:r>
      <w:r w:rsidRPr="00CC068E">
        <w:rPr>
          <w:vertAlign w:val="superscript"/>
        </w:rPr>
        <w:t>5</w:t>
      </w:r>
      <w:r w:rsidRPr="00CC068E">
        <w:t>, Darius Widera</w:t>
      </w:r>
      <w:r w:rsidRPr="00CC068E">
        <w:rPr>
          <w:vertAlign w:val="superscript"/>
        </w:rPr>
        <w:t>2</w:t>
      </w:r>
      <w:r w:rsidRPr="00CC068E">
        <w:t xml:space="preserve"> and Sakthivel Vaiyapuri</w:t>
      </w:r>
      <w:r w:rsidRPr="00CC068E">
        <w:rPr>
          <w:vertAlign w:val="superscript"/>
        </w:rPr>
        <w:t>1</w:t>
      </w:r>
      <w:r w:rsidRPr="00CC068E">
        <w:t>*</w:t>
      </w: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rPr>
          <w:vertAlign w:val="superscript"/>
        </w:rPr>
        <w:t>1</w:t>
      </w:r>
      <w:r w:rsidRPr="00CC068E">
        <w:t>School of Pharmacy, University of Reading, Reading, RG6 6UB, United Kingdom</w:t>
      </w: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rPr>
          <w:vertAlign w:val="superscript"/>
        </w:rPr>
        <w:t>2</w:t>
      </w:r>
      <w:r w:rsidRPr="00CC068E">
        <w:t>Stem Cell Biology and Regenerative Medicine Group, School of Pharmacy, University of Reading, Reading, RG6 6UB, United Kingdom</w:t>
      </w: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rPr>
          <w:vertAlign w:val="superscript"/>
        </w:rPr>
        <w:t>3</w:t>
      </w:r>
      <w:r w:rsidRPr="00CC068E">
        <w:t xml:space="preserve">Sheard </w:t>
      </w:r>
      <w:proofErr w:type="spellStart"/>
      <w:r w:rsidRPr="00CC068E">
        <w:t>BioTech</w:t>
      </w:r>
      <w:proofErr w:type="spellEnd"/>
      <w:r w:rsidRPr="00CC068E">
        <w:t xml:space="preserve"> Ltd, 20-22, Wenlock Road, London N1 7GU, United Kingdom</w:t>
      </w:r>
    </w:p>
    <w:p w:rsidR="00842D5D" w:rsidRPr="00CC068E" w:rsidRDefault="00842D5D" w:rsidP="00842D5D">
      <w:pPr>
        <w:spacing w:before="120" w:after="120" w:line="276" w:lineRule="auto"/>
        <w:jc w:val="both"/>
        <w:outlineLvl w:val="0"/>
      </w:pPr>
      <w:r w:rsidRPr="00CC068E">
        <w:rPr>
          <w:vertAlign w:val="superscript"/>
        </w:rPr>
        <w:t>4</w:t>
      </w:r>
      <w:r w:rsidRPr="00CC068E">
        <w:t>School of Pharmacy, University of Reading Malaysia, Johor, Malaysia</w:t>
      </w: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rPr>
          <w:vertAlign w:val="superscript"/>
        </w:rPr>
        <w:t>5</w:t>
      </w:r>
      <w:r w:rsidRPr="00CC068E">
        <w:t>School of Biological Sciences, University of Reading, Reading, RG6 6UB, United Kingdom</w:t>
      </w:r>
    </w:p>
    <w:p w:rsidR="00842D5D" w:rsidRPr="00CC068E" w:rsidRDefault="00842D5D" w:rsidP="00842D5D">
      <w:pPr>
        <w:spacing w:before="120" w:after="120" w:line="276" w:lineRule="auto"/>
        <w:jc w:val="both"/>
      </w:pPr>
    </w:p>
    <w:p w:rsidR="00842D5D" w:rsidRPr="00CC068E" w:rsidRDefault="00842D5D" w:rsidP="00842D5D">
      <w:pPr>
        <w:spacing w:before="120" w:after="120" w:line="276" w:lineRule="auto"/>
        <w:jc w:val="both"/>
      </w:pPr>
      <w:r w:rsidRPr="00CC068E">
        <w:t>*</w:t>
      </w:r>
      <w:r w:rsidRPr="00CC068E">
        <w:rPr>
          <w:u w:val="single"/>
        </w:rPr>
        <w:t>Corresponding author</w:t>
      </w:r>
      <w:r w:rsidRPr="00CC068E">
        <w:t xml:space="preserve">: Dr Sakthivel Vaiyapuri, School of Pharmacy, University of Reading, Reading, RG6 6UB, United Kingdom. Email: </w:t>
      </w:r>
      <w:hyperlink r:id="rId5" w:history="1">
        <w:r w:rsidRPr="00AE43E1">
          <w:rPr>
            <w:rStyle w:val="Hyperlink"/>
          </w:rPr>
          <w:t>s.vaiyapuri@reading.ac.uk</w:t>
        </w:r>
      </w:hyperlink>
      <w:r w:rsidRPr="00CC068E">
        <w:t xml:space="preserve"> </w:t>
      </w:r>
    </w:p>
    <w:p w:rsidR="00842D5D" w:rsidRDefault="00842D5D" w:rsidP="00E47DEE">
      <w:pPr>
        <w:spacing w:before="120" w:after="120" w:line="276" w:lineRule="auto"/>
        <w:jc w:val="both"/>
        <w:outlineLvl w:val="0"/>
        <w:rPr>
          <w:b/>
        </w:rPr>
      </w:pPr>
    </w:p>
    <w:p w:rsidR="00842D5D" w:rsidRDefault="00842D5D" w:rsidP="00E47DEE">
      <w:pPr>
        <w:spacing w:before="120" w:after="120" w:line="276" w:lineRule="auto"/>
        <w:jc w:val="both"/>
        <w:outlineLvl w:val="0"/>
        <w:rPr>
          <w:b/>
        </w:rPr>
      </w:pPr>
    </w:p>
    <w:p w:rsidR="00E47DEE" w:rsidRDefault="00E47DEE" w:rsidP="00E47DEE">
      <w:pPr>
        <w:spacing w:before="120" w:after="120" w:line="276" w:lineRule="auto"/>
        <w:jc w:val="both"/>
        <w:outlineLvl w:val="0"/>
        <w:rPr>
          <w:b/>
        </w:rPr>
      </w:pPr>
      <w:r w:rsidRPr="00E47DEE">
        <w:rPr>
          <w:b/>
        </w:rPr>
        <w:t>Supplementary Information</w:t>
      </w:r>
    </w:p>
    <w:p w:rsidR="00E47DEE" w:rsidRPr="00E47DEE" w:rsidRDefault="007B2744" w:rsidP="00E47DEE">
      <w:pPr>
        <w:spacing w:before="120" w:after="120" w:line="276" w:lineRule="auto"/>
        <w:jc w:val="both"/>
        <w:outlineLvl w:val="0"/>
        <w:rPr>
          <w:b/>
        </w:rPr>
      </w:pPr>
      <w:r>
        <w:rPr>
          <w:b/>
          <w:noProof/>
        </w:rPr>
        <w:drawing>
          <wp:inline distT="0" distB="0" distL="0" distR="0">
            <wp:extent cx="2921591" cy="307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5231" cy="3077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EE" w:rsidRPr="00F6651C" w:rsidRDefault="00E47DEE" w:rsidP="00E47DEE">
      <w:pPr>
        <w:spacing w:before="120" w:after="120" w:line="276" w:lineRule="auto"/>
        <w:jc w:val="both"/>
        <w:outlineLvl w:val="0"/>
      </w:pPr>
      <w:r w:rsidRPr="00F6651C">
        <w:rPr>
          <w:u w:val="single"/>
        </w:rPr>
        <w:t>Figure S1:</w:t>
      </w:r>
      <w:r w:rsidRPr="00F6651C">
        <w:rPr>
          <w:b/>
        </w:rPr>
        <w:t xml:space="preserve"> </w:t>
      </w:r>
      <w:r w:rsidR="0058079A" w:rsidRPr="00F6651C">
        <w:rPr>
          <w:b/>
        </w:rPr>
        <w:t>TLR4 expression in platelets and control cells</w:t>
      </w:r>
      <w:r w:rsidRPr="00F6651C">
        <w:rPr>
          <w:b/>
          <w:i/>
        </w:rPr>
        <w:t xml:space="preserve">. </w:t>
      </w:r>
      <w:r w:rsidR="00BC04EB" w:rsidRPr="00F6651C">
        <w:rPr>
          <w:b/>
        </w:rPr>
        <w:t xml:space="preserve">(A) </w:t>
      </w:r>
      <w:r w:rsidRPr="00F6651C">
        <w:t xml:space="preserve">U251-NF-κB-GFP-Luc cell lysates (left) and HEK293 cell lysates (right) were used as positive and negative controls respectively to validate the anti-TLR4 antibody used. </w:t>
      </w:r>
      <w:r w:rsidR="00BC04EB" w:rsidRPr="00F6651C">
        <w:rPr>
          <w:b/>
        </w:rPr>
        <w:t>(B)</w:t>
      </w:r>
      <w:r w:rsidR="00BC04EB" w:rsidRPr="00F6651C">
        <w:t xml:space="preserve"> </w:t>
      </w:r>
      <w:r w:rsidR="0058079A" w:rsidRPr="00F6651C">
        <w:t>P</w:t>
      </w:r>
      <w:r w:rsidR="00BC04EB" w:rsidRPr="00F6651C">
        <w:t>latelet</w:t>
      </w:r>
      <w:r w:rsidR="0058079A" w:rsidRPr="00F6651C">
        <w:t xml:space="preserve"> lysates</w:t>
      </w:r>
      <w:r w:rsidR="00BC04EB" w:rsidRPr="00F6651C">
        <w:t xml:space="preserve"> stimulated with </w:t>
      </w:r>
      <w:r w:rsidR="002C1253" w:rsidRPr="00F6651C">
        <w:t>1</w:t>
      </w:r>
      <w:r w:rsidR="00BC04EB" w:rsidRPr="00F6651C">
        <w:t xml:space="preserve">μg/mL collagen and their resting equivalents were also </w:t>
      </w:r>
      <w:r w:rsidR="00BC04EB" w:rsidRPr="00F6651C">
        <w:lastRenderedPageBreak/>
        <w:t>probed for their TLR4 expression</w:t>
      </w:r>
      <w:r w:rsidR="00902DEB" w:rsidRPr="00F6651C">
        <w:t xml:space="preserve"> using the anti</w:t>
      </w:r>
      <w:r w:rsidR="0058079A" w:rsidRPr="00F6651C">
        <w:t>-TLR4 antibody</w:t>
      </w:r>
      <w:r w:rsidR="00BC04EB" w:rsidRPr="00F6651C">
        <w:t>.</w:t>
      </w:r>
      <w:r w:rsidR="0058079A" w:rsidRPr="00F6651C">
        <w:t xml:space="preserve"> The blot shown is representative of three separate experiments.</w:t>
      </w:r>
    </w:p>
    <w:p w:rsidR="00E47DEE" w:rsidRDefault="00E47DEE" w:rsidP="00E47DEE">
      <w:pPr>
        <w:spacing w:before="120" w:after="120" w:line="276" w:lineRule="auto"/>
        <w:jc w:val="both"/>
      </w:pPr>
    </w:p>
    <w:p w:rsidR="007240C5" w:rsidRPr="00CC068E" w:rsidRDefault="00CB11ED" w:rsidP="00E47DEE">
      <w:pPr>
        <w:spacing w:before="120" w:after="120" w:line="276" w:lineRule="auto"/>
        <w:jc w:val="both"/>
      </w:pPr>
      <w:r>
        <w:rPr>
          <w:noProof/>
        </w:rPr>
        <w:drawing>
          <wp:inline distT="0" distB="0" distL="0" distR="0">
            <wp:extent cx="2874839" cy="60007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5" cy="601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EE" w:rsidRPr="00F6651C" w:rsidRDefault="00E47DEE" w:rsidP="00E47DEE">
      <w:pPr>
        <w:spacing w:before="120" w:after="120" w:line="276" w:lineRule="auto"/>
        <w:jc w:val="both"/>
      </w:pPr>
      <w:r w:rsidRPr="00CC068E">
        <w:rPr>
          <w:u w:val="single"/>
        </w:rPr>
        <w:t>Figure S2:</w:t>
      </w:r>
      <w:r w:rsidRPr="00CC068E">
        <w:t xml:space="preserve"> </w:t>
      </w:r>
      <w:r w:rsidRPr="00CC068E">
        <w:rPr>
          <w:b/>
        </w:rPr>
        <w:t>Effect of LPS</w:t>
      </w:r>
      <w:r w:rsidRPr="00CC068E">
        <w:rPr>
          <w:b/>
          <w:vertAlign w:val="subscript"/>
        </w:rPr>
        <w:t>EC</w:t>
      </w:r>
      <w:r w:rsidRPr="00CC068E">
        <w:rPr>
          <w:b/>
        </w:rPr>
        <w:t xml:space="preserve"> on platelet activation.</w:t>
      </w:r>
      <w:r w:rsidRPr="00CC068E">
        <w:t xml:space="preserve"> </w:t>
      </w:r>
      <w:r w:rsidRPr="00F6651C">
        <w:t xml:space="preserve">The level of fibrinogen binding and P-selectin exposure in PRP was measured upon incubation with </w:t>
      </w:r>
      <w:r w:rsidR="003831C5" w:rsidRPr="00F6651C">
        <w:t xml:space="preserve">ultrapure </w:t>
      </w:r>
      <w:r w:rsidRPr="00F6651C">
        <w:t>LPS</w:t>
      </w:r>
      <w:r w:rsidRPr="00F6651C">
        <w:rPr>
          <w:vertAlign w:val="subscript"/>
        </w:rPr>
        <w:t>EC</w:t>
      </w:r>
      <w:r w:rsidRPr="00F6651C">
        <w:t xml:space="preserve"> for 25 minutes at room temperature</w:t>
      </w:r>
      <w:r w:rsidR="003831C5" w:rsidRPr="00F6651C">
        <w:t xml:space="preserve"> (</w:t>
      </w:r>
      <w:r w:rsidR="003831C5" w:rsidRPr="00F6651C">
        <w:rPr>
          <w:b/>
        </w:rPr>
        <w:t>A</w:t>
      </w:r>
      <w:r w:rsidR="003831C5" w:rsidRPr="00F6651C">
        <w:t xml:space="preserve">, </w:t>
      </w:r>
      <w:r w:rsidR="003831C5" w:rsidRPr="00F6651C">
        <w:rPr>
          <w:b/>
        </w:rPr>
        <w:t>B</w:t>
      </w:r>
      <w:r w:rsidR="003831C5" w:rsidRPr="00F6651C">
        <w:t>)</w:t>
      </w:r>
      <w:r w:rsidRPr="00F6651C">
        <w:t xml:space="preserve"> or 50 minutes at 37</w:t>
      </w:r>
      <w:r w:rsidRPr="00F6651C">
        <w:sym w:font="Symbol" w:char="F0B0"/>
      </w:r>
      <w:r w:rsidRPr="00F6651C">
        <w:t>C (n=5) (</w:t>
      </w:r>
      <w:r w:rsidRPr="00F6651C">
        <w:rPr>
          <w:b/>
        </w:rPr>
        <w:t>C</w:t>
      </w:r>
      <w:r w:rsidRPr="00F6651C">
        <w:t xml:space="preserve">, </w:t>
      </w:r>
      <w:r w:rsidRPr="00F6651C">
        <w:rPr>
          <w:b/>
        </w:rPr>
        <w:t>D</w:t>
      </w:r>
      <w:r w:rsidRPr="00F6651C">
        <w:t xml:space="preserve">). </w:t>
      </w:r>
      <w:r w:rsidR="00051FEE" w:rsidRPr="00F6651C">
        <w:t xml:space="preserve">Furthermore, the level of fibrinogen binding to platelets </w:t>
      </w:r>
      <w:r w:rsidR="003831C5" w:rsidRPr="00F6651C">
        <w:t>treated</w:t>
      </w:r>
      <w:r w:rsidR="00051FEE" w:rsidRPr="00F6651C">
        <w:t xml:space="preserve"> with a non-ultrapure version of LPS</w:t>
      </w:r>
      <w:r w:rsidR="00051FEE" w:rsidRPr="00F6651C">
        <w:rPr>
          <w:vertAlign w:val="subscript"/>
        </w:rPr>
        <w:t>EC</w:t>
      </w:r>
      <w:r w:rsidR="00051FEE" w:rsidRPr="00F6651C">
        <w:t xml:space="preserve"> following </w:t>
      </w:r>
      <w:r w:rsidR="003831C5" w:rsidRPr="00F6651C">
        <w:t>20</w:t>
      </w:r>
      <w:r w:rsidR="00051FEE" w:rsidRPr="00F6651C">
        <w:t xml:space="preserve"> minutes of incubation was determined (n=3) (</w:t>
      </w:r>
      <w:r w:rsidR="00051FEE" w:rsidRPr="00F6651C">
        <w:rPr>
          <w:b/>
        </w:rPr>
        <w:t>E</w:t>
      </w:r>
      <w:r w:rsidR="00051FEE" w:rsidRPr="00F6651C">
        <w:t xml:space="preserve">). </w:t>
      </w:r>
      <w:r w:rsidR="00CB11ED">
        <w:t>All data</w:t>
      </w:r>
      <w:r w:rsidRPr="00F6651C">
        <w:t xml:space="preserve"> were normalised to their resting control and analysed using one-way ANOVA and Dunnett’s post-hoc test</w:t>
      </w:r>
      <w:r w:rsidR="00CB11ED">
        <w:t xml:space="preserve"> (</w:t>
      </w:r>
      <w:r w:rsidR="00051FEE" w:rsidRPr="00F6651C">
        <w:t>*</w:t>
      </w:r>
      <w:r w:rsidR="00051FEE" w:rsidRPr="00F6651C">
        <w:rPr>
          <w:i/>
        </w:rPr>
        <w:t>p</w:t>
      </w:r>
      <w:r w:rsidR="00051FEE" w:rsidRPr="00F6651C">
        <w:t>&lt;0.05).</w:t>
      </w:r>
      <w:r w:rsidRPr="00F6651C">
        <w:t xml:space="preserve"> Data represent mean </w:t>
      </w:r>
      <w:r w:rsidRPr="00F6651C">
        <w:sym w:font="Symbol" w:char="F0B1"/>
      </w:r>
      <w:r w:rsidRPr="00F6651C">
        <w:t xml:space="preserve"> S.D.</w:t>
      </w:r>
      <w:bookmarkStart w:id="0" w:name="_GoBack"/>
      <w:bookmarkEnd w:id="0"/>
    </w:p>
    <w:p w:rsidR="00E47DEE" w:rsidRPr="00CC068E" w:rsidRDefault="00F210EC" w:rsidP="00E47DEE">
      <w:pPr>
        <w:spacing w:before="120" w:after="120" w:line="276" w:lineRule="auto"/>
        <w:jc w:val="both"/>
        <w:rPr>
          <w:u w:val="single"/>
        </w:rPr>
      </w:pPr>
      <w:r w:rsidRPr="00F210EC">
        <w:rPr>
          <w:noProof/>
        </w:rPr>
        <w:lastRenderedPageBreak/>
        <w:drawing>
          <wp:inline distT="0" distB="0" distL="0" distR="0">
            <wp:extent cx="5642875" cy="58681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540" b="24008"/>
                    <a:stretch/>
                  </pic:blipFill>
                  <pic:spPr bwMode="auto">
                    <a:xfrm>
                      <a:off x="0" y="0"/>
                      <a:ext cx="5649440" cy="5874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7DEE" w:rsidRPr="00F6651C" w:rsidRDefault="00E47DEE" w:rsidP="00E47DEE">
      <w:pPr>
        <w:spacing w:before="120" w:after="120" w:line="276" w:lineRule="auto"/>
        <w:jc w:val="both"/>
      </w:pPr>
      <w:r w:rsidRPr="00CC068E">
        <w:rPr>
          <w:u w:val="single"/>
        </w:rPr>
        <w:t>Figure S3:</w:t>
      </w:r>
      <w:r w:rsidRPr="00CC068E">
        <w:t xml:space="preserve"> </w:t>
      </w:r>
      <w:r w:rsidRPr="00CC068E">
        <w:rPr>
          <w:b/>
          <w:i/>
        </w:rPr>
        <w:t>Effect of LPS</w:t>
      </w:r>
      <w:r w:rsidRPr="00CC068E">
        <w:rPr>
          <w:b/>
          <w:i/>
          <w:vertAlign w:val="subscript"/>
        </w:rPr>
        <w:t>SM</w:t>
      </w:r>
      <w:r w:rsidRPr="00CC068E">
        <w:rPr>
          <w:b/>
          <w:i/>
        </w:rPr>
        <w:t xml:space="preserve"> on platelet activation</w:t>
      </w:r>
      <w:r w:rsidRPr="00CC068E">
        <w:t>. The level of fibrinogen binding and P-selectin exposure was measured in PRP in the presence of different concentrations of LPS</w:t>
      </w:r>
      <w:r w:rsidRPr="00CC068E">
        <w:rPr>
          <w:vertAlign w:val="subscript"/>
        </w:rPr>
        <w:t>SM</w:t>
      </w:r>
      <w:r w:rsidRPr="00CC068E">
        <w:t xml:space="preserve"> and 0.25</w:t>
      </w:r>
      <w:r w:rsidR="00910EB3">
        <w:t>μ</w:t>
      </w:r>
      <w:r w:rsidRPr="00CC068E">
        <w:t xml:space="preserve">g/mL CRP-XL after simultaneous incubation for 20 minutes at room </w:t>
      </w:r>
      <w:r w:rsidRPr="00F6651C">
        <w:t>temperature</w:t>
      </w:r>
      <w:r w:rsidR="003831C5" w:rsidRPr="00F6651C">
        <w:t xml:space="preserve"> (</w:t>
      </w:r>
      <w:r w:rsidR="003831C5" w:rsidRPr="00F6651C">
        <w:rPr>
          <w:b/>
        </w:rPr>
        <w:t>A</w:t>
      </w:r>
      <w:r w:rsidR="003831C5" w:rsidRPr="00F6651C">
        <w:t xml:space="preserve">, </w:t>
      </w:r>
      <w:r w:rsidR="003831C5" w:rsidRPr="00F6651C">
        <w:rPr>
          <w:b/>
        </w:rPr>
        <w:t>B</w:t>
      </w:r>
      <w:r w:rsidR="003831C5" w:rsidRPr="00F6651C">
        <w:t>)</w:t>
      </w:r>
      <w:r w:rsidRPr="00F6651C">
        <w:t xml:space="preserve"> (n=3) or preincubation with LPS</w:t>
      </w:r>
      <w:r w:rsidRPr="00F6651C">
        <w:rPr>
          <w:vertAlign w:val="subscript"/>
        </w:rPr>
        <w:t>SM</w:t>
      </w:r>
      <w:r w:rsidRPr="00F6651C">
        <w:t xml:space="preserve"> for 5 minutes followed by stimulation with 0.5</w:t>
      </w:r>
      <w:r w:rsidR="00910EB3" w:rsidRPr="00F6651C">
        <w:t>μ</w:t>
      </w:r>
      <w:r w:rsidRPr="00F6651C">
        <w:t>g/mL CRP-XL for 20 minutes at room temperature (n=5) (</w:t>
      </w:r>
      <w:r w:rsidRPr="00F6651C">
        <w:rPr>
          <w:b/>
        </w:rPr>
        <w:t>C</w:t>
      </w:r>
      <w:r w:rsidRPr="00F6651C">
        <w:t xml:space="preserve">, </w:t>
      </w:r>
      <w:r w:rsidRPr="00F6651C">
        <w:rPr>
          <w:b/>
        </w:rPr>
        <w:t>D</w:t>
      </w:r>
      <w:r w:rsidRPr="00F6651C">
        <w:t xml:space="preserve">). </w:t>
      </w:r>
      <w:r w:rsidR="00A0593B" w:rsidRPr="00F6651C">
        <w:t>Similarly, higher LPS</w:t>
      </w:r>
      <w:r w:rsidR="00A0593B" w:rsidRPr="00F6651C">
        <w:rPr>
          <w:vertAlign w:val="subscript"/>
        </w:rPr>
        <w:t>SM</w:t>
      </w:r>
      <w:r w:rsidR="00A0593B" w:rsidRPr="00F6651C">
        <w:rPr>
          <w:vertAlign w:val="subscript"/>
        </w:rPr>
        <w:softHyphen/>
      </w:r>
      <w:r w:rsidR="00A0593B" w:rsidRPr="00F6651C">
        <w:t xml:space="preserve"> concentrations were tested with 0.5μg/mL CRP-XL following 10 minutes of pre-incubation</w:t>
      </w:r>
      <w:r w:rsidR="00914312" w:rsidRPr="00F6651C">
        <w:t xml:space="preserve"> and the</w:t>
      </w:r>
      <w:r w:rsidR="00BA163F" w:rsidRPr="00F6651C">
        <w:t xml:space="preserve"> level of</w:t>
      </w:r>
      <w:r w:rsidR="00914312" w:rsidRPr="00F6651C">
        <w:t xml:space="preserve"> fibrinogen binding (</w:t>
      </w:r>
      <w:r w:rsidR="00914312" w:rsidRPr="00F6651C">
        <w:rPr>
          <w:b/>
        </w:rPr>
        <w:t>E</w:t>
      </w:r>
      <w:r w:rsidR="00914312" w:rsidRPr="00F6651C">
        <w:t>) and P-selectin exposure (</w:t>
      </w:r>
      <w:r w:rsidR="00914312" w:rsidRPr="00F6651C">
        <w:rPr>
          <w:b/>
        </w:rPr>
        <w:t>F</w:t>
      </w:r>
      <w:r w:rsidR="00914312" w:rsidRPr="00F6651C">
        <w:t>) was measured</w:t>
      </w:r>
      <w:r w:rsidR="00DE501A" w:rsidRPr="00F6651C">
        <w:t xml:space="preserve"> (n=7)</w:t>
      </w:r>
      <w:r w:rsidR="00914312" w:rsidRPr="00F6651C">
        <w:t>. This experimental set-up was repeated with 10μM TRAP-6 (</w:t>
      </w:r>
      <w:r w:rsidR="00914312" w:rsidRPr="00F6651C">
        <w:rPr>
          <w:b/>
        </w:rPr>
        <w:t>G</w:t>
      </w:r>
      <w:r w:rsidR="00914312" w:rsidRPr="00F6651C">
        <w:t xml:space="preserve"> and </w:t>
      </w:r>
      <w:r w:rsidR="00914312" w:rsidRPr="00F6651C">
        <w:rPr>
          <w:b/>
        </w:rPr>
        <w:t>H</w:t>
      </w:r>
      <w:r w:rsidR="00DE501A" w:rsidRPr="00F6651C">
        <w:t>; n=7</w:t>
      </w:r>
      <w:r w:rsidR="00914312" w:rsidRPr="00F6651C">
        <w:t>) and 10μM ADP as platelet agonists (</w:t>
      </w:r>
      <w:r w:rsidR="00914312" w:rsidRPr="00F6651C">
        <w:rPr>
          <w:b/>
        </w:rPr>
        <w:t>I</w:t>
      </w:r>
      <w:r w:rsidR="00914312" w:rsidRPr="00F6651C">
        <w:t xml:space="preserve"> and </w:t>
      </w:r>
      <w:r w:rsidR="00914312" w:rsidRPr="00F6651C">
        <w:rPr>
          <w:b/>
        </w:rPr>
        <w:t>J</w:t>
      </w:r>
      <w:r w:rsidR="00DE501A" w:rsidRPr="00F6651C">
        <w:t>; n=7</w:t>
      </w:r>
      <w:r w:rsidR="00914312" w:rsidRPr="00F6651C">
        <w:t>).</w:t>
      </w:r>
      <w:r w:rsidR="00A0593B" w:rsidRPr="00F6651C">
        <w:t xml:space="preserve"> </w:t>
      </w:r>
      <w:r w:rsidRPr="00F6651C">
        <w:t>The data were normalised to their 0.5</w:t>
      </w:r>
      <w:r w:rsidR="005D2413" w:rsidRPr="00F6651C">
        <w:t>μ</w:t>
      </w:r>
      <w:r w:rsidRPr="00F6651C">
        <w:t>g/mL CRP-XL</w:t>
      </w:r>
      <w:r w:rsidR="0012228D" w:rsidRPr="00F6651C">
        <w:t>, 10μM TRAP-6, or 10μM ADP</w:t>
      </w:r>
      <w:r w:rsidRPr="00F6651C">
        <w:t xml:space="preserve"> control</w:t>
      </w:r>
      <w:r w:rsidR="00BA163F" w:rsidRPr="00F6651C">
        <w:t>s</w:t>
      </w:r>
      <w:r w:rsidRPr="00F6651C">
        <w:t xml:space="preserve"> and analysed using one-way ANOVA and Dunnett’s post-hoc test</w:t>
      </w:r>
      <w:r w:rsidR="002C7830" w:rsidRPr="00F6651C">
        <w:t xml:space="preserve"> (*</w:t>
      </w:r>
      <w:r w:rsidR="002C7830" w:rsidRPr="00F6651C">
        <w:rPr>
          <w:i/>
        </w:rPr>
        <w:t>p</w:t>
      </w:r>
      <w:r w:rsidR="002C7830" w:rsidRPr="00F6651C">
        <w:t>&lt;0.05)</w:t>
      </w:r>
      <w:r w:rsidRPr="00F6651C">
        <w:t xml:space="preserve">. Data represent mean </w:t>
      </w:r>
      <w:r w:rsidRPr="00F6651C">
        <w:sym w:font="Symbol" w:char="F0B1"/>
      </w:r>
      <w:r w:rsidRPr="00F6651C">
        <w:t xml:space="preserve"> S.D. </w:t>
      </w:r>
    </w:p>
    <w:p w:rsidR="00E47DEE" w:rsidRDefault="00E47DEE" w:rsidP="00E47DEE">
      <w:pPr>
        <w:spacing w:before="120" w:after="120" w:line="276" w:lineRule="auto"/>
        <w:jc w:val="both"/>
      </w:pPr>
    </w:p>
    <w:p w:rsidR="007240C5" w:rsidRPr="00CC068E" w:rsidRDefault="00D60BA5" w:rsidP="00E47DEE">
      <w:pPr>
        <w:spacing w:before="120" w:after="120" w:line="276" w:lineRule="auto"/>
        <w:jc w:val="both"/>
      </w:pPr>
      <w:r>
        <w:rPr>
          <w:noProof/>
        </w:rPr>
        <w:lastRenderedPageBreak/>
        <w:drawing>
          <wp:inline distT="0" distB="0" distL="0" distR="0">
            <wp:extent cx="5731510" cy="7538085"/>
            <wp:effectExtent l="0" t="0" r="254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EE" w:rsidRPr="00F6651C" w:rsidRDefault="00E47DEE" w:rsidP="00E47DEE">
      <w:pPr>
        <w:spacing w:before="120" w:after="120" w:line="276" w:lineRule="auto"/>
        <w:jc w:val="both"/>
      </w:pPr>
      <w:r w:rsidRPr="00CC068E">
        <w:rPr>
          <w:u w:val="single"/>
        </w:rPr>
        <w:t>Figure S4:</w:t>
      </w:r>
      <w:r w:rsidRPr="00CC068E">
        <w:t xml:space="preserve"> </w:t>
      </w:r>
      <w:r w:rsidRPr="00CC068E">
        <w:rPr>
          <w:b/>
          <w:i/>
        </w:rPr>
        <w:t>Effect of LPS</w:t>
      </w:r>
      <w:r w:rsidRPr="00CC068E">
        <w:rPr>
          <w:b/>
          <w:i/>
          <w:vertAlign w:val="subscript"/>
        </w:rPr>
        <w:t>RS</w:t>
      </w:r>
      <w:r w:rsidRPr="00CC068E">
        <w:rPr>
          <w:b/>
          <w:i/>
        </w:rPr>
        <w:t xml:space="preserve"> on platelet activation.</w:t>
      </w:r>
      <w:r w:rsidRPr="00CC068E">
        <w:t xml:space="preserve"> The level of fibrinogen binding and P-selectin exposure was measured in PRP in the presence of different concentrations of LPS</w:t>
      </w:r>
      <w:r w:rsidRPr="00CC068E">
        <w:rPr>
          <w:vertAlign w:val="subscript"/>
        </w:rPr>
        <w:t>RS</w:t>
      </w:r>
      <w:r w:rsidRPr="00CC068E">
        <w:t xml:space="preserve"> and 0.25</w:t>
      </w:r>
      <w:r w:rsidR="00910EB3">
        <w:t>μ</w:t>
      </w:r>
      <w:r w:rsidRPr="00CC068E">
        <w:t xml:space="preserve">g/mL CRP-XL after incubation for 20 minutes at room temperature </w:t>
      </w:r>
      <w:r w:rsidR="00BA163F" w:rsidRPr="00F6651C">
        <w:t>(</w:t>
      </w:r>
      <w:r w:rsidR="00BA163F" w:rsidRPr="00F6651C">
        <w:rPr>
          <w:b/>
        </w:rPr>
        <w:t>A</w:t>
      </w:r>
      <w:r w:rsidR="00BA163F" w:rsidRPr="00F6651C">
        <w:t xml:space="preserve">, </w:t>
      </w:r>
      <w:r w:rsidR="00BA163F" w:rsidRPr="00F6651C">
        <w:rPr>
          <w:b/>
        </w:rPr>
        <w:t>B</w:t>
      </w:r>
      <w:r w:rsidR="00BA163F" w:rsidRPr="00F6651C">
        <w:t xml:space="preserve">) </w:t>
      </w:r>
      <w:r w:rsidRPr="00F6651C">
        <w:t>(n=4) or preincubation with LPS</w:t>
      </w:r>
      <w:r w:rsidRPr="00F6651C">
        <w:rPr>
          <w:vertAlign w:val="subscript"/>
        </w:rPr>
        <w:t>RS</w:t>
      </w:r>
      <w:r w:rsidRPr="00F6651C">
        <w:t xml:space="preserve"> for 5 minutes followed by stimulation with 0.5</w:t>
      </w:r>
      <w:r w:rsidR="00910EB3" w:rsidRPr="00F6651C">
        <w:t>μ</w:t>
      </w:r>
      <w:r w:rsidRPr="00F6651C">
        <w:t>g/mL CRP-XL for 20 minutes at room temperature (n=4) (</w:t>
      </w:r>
      <w:r w:rsidRPr="00F6651C">
        <w:rPr>
          <w:b/>
        </w:rPr>
        <w:t>C</w:t>
      </w:r>
      <w:r w:rsidRPr="00F6651C">
        <w:t xml:space="preserve">, </w:t>
      </w:r>
      <w:r w:rsidRPr="00F6651C">
        <w:rPr>
          <w:b/>
        </w:rPr>
        <w:t>D</w:t>
      </w:r>
      <w:r w:rsidRPr="00F6651C">
        <w:t>).</w:t>
      </w:r>
      <w:r w:rsidR="006A52F9" w:rsidRPr="00F6651C">
        <w:t xml:space="preserve"> Similarly, </w:t>
      </w:r>
      <w:r w:rsidR="00626194" w:rsidRPr="00F6651C">
        <w:t>ultrapure</w:t>
      </w:r>
      <w:r w:rsidR="006A52F9" w:rsidRPr="00F6651C">
        <w:t xml:space="preserve"> LPS</w:t>
      </w:r>
      <w:r w:rsidR="006A52F9" w:rsidRPr="00F6651C">
        <w:rPr>
          <w:vertAlign w:val="subscript"/>
        </w:rPr>
        <w:t>RS</w:t>
      </w:r>
      <w:r w:rsidR="006A52F9" w:rsidRPr="00F6651C">
        <w:rPr>
          <w:vertAlign w:val="subscript"/>
        </w:rPr>
        <w:softHyphen/>
      </w:r>
      <w:r w:rsidR="006A52F9" w:rsidRPr="00F6651C">
        <w:t xml:space="preserve"> concentrations were tested with 0.5μg/mL CRP-XL following 10 </w:t>
      </w:r>
      <w:r w:rsidR="006A52F9" w:rsidRPr="00F6651C">
        <w:lastRenderedPageBreak/>
        <w:t>minutes of pre-incubation and the</w:t>
      </w:r>
      <w:r w:rsidR="00BA163F" w:rsidRPr="00F6651C">
        <w:t xml:space="preserve"> level of</w:t>
      </w:r>
      <w:r w:rsidR="006A52F9" w:rsidRPr="00F6651C">
        <w:t xml:space="preserve"> fibrinogen binding (</w:t>
      </w:r>
      <w:r w:rsidR="006A52F9" w:rsidRPr="00F6651C">
        <w:rPr>
          <w:b/>
        </w:rPr>
        <w:t>E</w:t>
      </w:r>
      <w:r w:rsidR="006A52F9" w:rsidRPr="00F6651C">
        <w:t>) and P-selectin exposure (</w:t>
      </w:r>
      <w:r w:rsidR="006A52F9" w:rsidRPr="00F6651C">
        <w:rPr>
          <w:b/>
        </w:rPr>
        <w:t>F</w:t>
      </w:r>
      <w:r w:rsidR="006A52F9" w:rsidRPr="00F6651C">
        <w:t>) was measured</w:t>
      </w:r>
      <w:r w:rsidR="00DE501A" w:rsidRPr="00F6651C">
        <w:t xml:space="preserve"> (n=7)</w:t>
      </w:r>
      <w:r w:rsidR="006A52F9" w:rsidRPr="00F6651C">
        <w:t>. This experimental set-up was repeated with 10μM TRAP-6 (</w:t>
      </w:r>
      <w:r w:rsidR="006A52F9" w:rsidRPr="00F6651C">
        <w:rPr>
          <w:b/>
        </w:rPr>
        <w:t>G</w:t>
      </w:r>
      <w:r w:rsidR="006A52F9" w:rsidRPr="00F6651C">
        <w:t xml:space="preserve"> and </w:t>
      </w:r>
      <w:r w:rsidR="006A52F9" w:rsidRPr="00F6651C">
        <w:rPr>
          <w:b/>
        </w:rPr>
        <w:t>H</w:t>
      </w:r>
      <w:r w:rsidR="00DE501A" w:rsidRPr="00F6651C">
        <w:t>; n=7</w:t>
      </w:r>
      <w:r w:rsidR="006A52F9" w:rsidRPr="00F6651C">
        <w:t>) and 10μM ADP as platelet agonists (</w:t>
      </w:r>
      <w:r w:rsidR="006A52F9" w:rsidRPr="00F6651C">
        <w:rPr>
          <w:b/>
        </w:rPr>
        <w:t>I</w:t>
      </w:r>
      <w:r w:rsidR="006A52F9" w:rsidRPr="00F6651C">
        <w:t xml:space="preserve"> and </w:t>
      </w:r>
      <w:r w:rsidR="006A52F9" w:rsidRPr="00F6651C">
        <w:rPr>
          <w:b/>
        </w:rPr>
        <w:t>J</w:t>
      </w:r>
      <w:r w:rsidR="00DE501A" w:rsidRPr="00F6651C">
        <w:t>; n=7</w:t>
      </w:r>
      <w:r w:rsidR="006A52F9" w:rsidRPr="00F6651C">
        <w:t>).</w:t>
      </w:r>
      <w:r w:rsidR="006064C3" w:rsidRPr="00F6651C">
        <w:t xml:space="preserve"> Furthermore, non-ultrapure LPS</w:t>
      </w:r>
      <w:r w:rsidR="006064C3" w:rsidRPr="00F6651C">
        <w:rPr>
          <w:vertAlign w:val="subscript"/>
        </w:rPr>
        <w:t>SM</w:t>
      </w:r>
      <w:r w:rsidR="006064C3" w:rsidRPr="00F6651C">
        <w:rPr>
          <w:vertAlign w:val="subscript"/>
        </w:rPr>
        <w:softHyphen/>
      </w:r>
      <w:r w:rsidR="006064C3" w:rsidRPr="00F6651C">
        <w:t xml:space="preserve"> was also tested for its effect on fibrinogen binding and P-selectin exposure in response to 0.5μg/mL CRP-XL (</w:t>
      </w:r>
      <w:r w:rsidR="006064C3" w:rsidRPr="00F6651C">
        <w:rPr>
          <w:b/>
        </w:rPr>
        <w:t>K</w:t>
      </w:r>
      <w:r w:rsidR="006064C3" w:rsidRPr="00F6651C">
        <w:t xml:space="preserve"> and </w:t>
      </w:r>
      <w:r w:rsidR="006064C3" w:rsidRPr="00F6651C">
        <w:rPr>
          <w:b/>
        </w:rPr>
        <w:t>L</w:t>
      </w:r>
      <w:r w:rsidR="00DE501A" w:rsidRPr="00F6651C">
        <w:t>; n=9</w:t>
      </w:r>
      <w:r w:rsidR="006064C3" w:rsidRPr="00F6651C">
        <w:t>), 10μM TRAP-6 (</w:t>
      </w:r>
      <w:r w:rsidR="006064C3" w:rsidRPr="00F6651C">
        <w:rPr>
          <w:b/>
        </w:rPr>
        <w:t>M</w:t>
      </w:r>
      <w:r w:rsidR="006064C3" w:rsidRPr="00F6651C">
        <w:t xml:space="preserve"> and </w:t>
      </w:r>
      <w:r w:rsidR="006064C3" w:rsidRPr="00F6651C">
        <w:rPr>
          <w:b/>
        </w:rPr>
        <w:t>N</w:t>
      </w:r>
      <w:r w:rsidR="00DE501A" w:rsidRPr="00F6651C">
        <w:t>; n=10</w:t>
      </w:r>
      <w:r w:rsidR="006064C3" w:rsidRPr="00F6651C">
        <w:t>), and 10μM ADP (</w:t>
      </w:r>
      <w:r w:rsidR="006064C3" w:rsidRPr="00F6651C">
        <w:rPr>
          <w:b/>
        </w:rPr>
        <w:t>O</w:t>
      </w:r>
      <w:r w:rsidR="006064C3" w:rsidRPr="00F6651C">
        <w:t xml:space="preserve"> and </w:t>
      </w:r>
      <w:r w:rsidR="006064C3" w:rsidRPr="00F6651C">
        <w:rPr>
          <w:b/>
        </w:rPr>
        <w:t>P</w:t>
      </w:r>
      <w:r w:rsidR="00DE501A" w:rsidRPr="00F6651C">
        <w:t>; n=10</w:t>
      </w:r>
      <w:r w:rsidR="006064C3" w:rsidRPr="00F6651C">
        <w:t>) following 10 minutes of pre-incubation.</w:t>
      </w:r>
      <w:r w:rsidRPr="00F6651C">
        <w:t xml:space="preserve"> The data were normalised to their 0.5</w:t>
      </w:r>
      <w:r w:rsidR="00910EB3" w:rsidRPr="00F6651C">
        <w:t>μ</w:t>
      </w:r>
      <w:r w:rsidRPr="00F6651C">
        <w:t>g/mL CRP-XL</w:t>
      </w:r>
      <w:r w:rsidR="00626194" w:rsidRPr="00F6651C">
        <w:t>, 10μM TRAP-6, or 10μM ADP</w:t>
      </w:r>
      <w:r w:rsidRPr="00F6651C">
        <w:t xml:space="preserve"> control</w:t>
      </w:r>
      <w:r w:rsidR="00BA163F" w:rsidRPr="00F6651C">
        <w:t>s</w:t>
      </w:r>
      <w:r w:rsidRPr="00F6651C">
        <w:t xml:space="preserve"> and were analysed using a one-way ANOVA and Dunnett’s post-hoc test</w:t>
      </w:r>
      <w:r w:rsidR="002C7830" w:rsidRPr="00F6651C">
        <w:t xml:space="preserve"> (*</w:t>
      </w:r>
      <w:r w:rsidR="002C7830" w:rsidRPr="00F6651C">
        <w:rPr>
          <w:i/>
        </w:rPr>
        <w:t>p</w:t>
      </w:r>
      <w:r w:rsidR="002C7830" w:rsidRPr="00F6651C">
        <w:t>&lt;0.05)</w:t>
      </w:r>
      <w:r w:rsidRPr="00F6651C">
        <w:t>.</w:t>
      </w:r>
      <w:r w:rsidR="002C7830" w:rsidRPr="00F6651C">
        <w:t xml:space="preserve"> </w:t>
      </w:r>
      <w:r w:rsidRPr="00F6651C">
        <w:t xml:space="preserve">Data represent mean </w:t>
      </w:r>
      <w:r w:rsidRPr="00F6651C">
        <w:sym w:font="Symbol" w:char="F0B1"/>
      </w:r>
      <w:r w:rsidRPr="00F6651C">
        <w:t xml:space="preserve"> S.D. The samples treated in the absence of 0.5</w:t>
      </w:r>
      <w:r w:rsidR="00910EB3" w:rsidRPr="00F6651C">
        <w:t>μ</w:t>
      </w:r>
      <w:r w:rsidRPr="00F6651C">
        <w:t>g/mL CRP-XL are represented with empty bars.</w:t>
      </w:r>
    </w:p>
    <w:p w:rsidR="00E47DEE" w:rsidRDefault="00E47DEE" w:rsidP="00E47DEE">
      <w:pPr>
        <w:spacing w:before="120" w:after="120" w:line="276" w:lineRule="auto"/>
        <w:jc w:val="both"/>
        <w:rPr>
          <w:u w:val="single"/>
        </w:rPr>
      </w:pPr>
    </w:p>
    <w:p w:rsidR="001F6969" w:rsidRPr="00CC068E" w:rsidRDefault="001F6969" w:rsidP="00E47DEE">
      <w:pPr>
        <w:spacing w:before="120" w:after="120" w:line="276" w:lineRule="auto"/>
        <w:jc w:val="both"/>
        <w:rPr>
          <w:u w:val="single"/>
        </w:rPr>
      </w:pPr>
      <w:r w:rsidRPr="001F6969">
        <w:rPr>
          <w:noProof/>
        </w:rPr>
        <w:drawing>
          <wp:inline distT="0" distB="0" distL="0" distR="0">
            <wp:extent cx="2961835" cy="5969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918" cy="597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DEE" w:rsidRDefault="00E47DEE" w:rsidP="00E47DEE">
      <w:pPr>
        <w:spacing w:before="120" w:after="120" w:line="276" w:lineRule="auto"/>
        <w:jc w:val="both"/>
      </w:pPr>
      <w:r w:rsidRPr="00CC068E">
        <w:rPr>
          <w:u w:val="single"/>
        </w:rPr>
        <w:t>Figure S5:</w:t>
      </w:r>
      <w:r w:rsidRPr="00CC068E">
        <w:rPr>
          <w:b/>
        </w:rPr>
        <w:t xml:space="preserve"> </w:t>
      </w:r>
      <w:r w:rsidRPr="00CC068E">
        <w:rPr>
          <w:b/>
          <w:i/>
        </w:rPr>
        <w:t>Cytotoxic effects of LPS chemotypes in platelets.</w:t>
      </w:r>
      <w:r w:rsidRPr="00CC068E">
        <w:t xml:space="preserve"> The cytotoxic effects of LPS</w:t>
      </w:r>
      <w:r w:rsidRPr="00CC068E">
        <w:rPr>
          <w:vertAlign w:val="subscript"/>
        </w:rPr>
        <w:t>EC</w:t>
      </w:r>
      <w:r w:rsidRPr="00CC068E">
        <w:t xml:space="preserve"> (</w:t>
      </w:r>
      <w:r w:rsidRPr="00CC068E">
        <w:rPr>
          <w:b/>
        </w:rPr>
        <w:t>A</w:t>
      </w:r>
      <w:r w:rsidRPr="00CC068E">
        <w:t>), LPS</w:t>
      </w:r>
      <w:r w:rsidRPr="00CC068E">
        <w:softHyphen/>
      </w:r>
      <w:r w:rsidRPr="00CC068E">
        <w:rPr>
          <w:vertAlign w:val="subscript"/>
        </w:rPr>
        <w:t>SM</w:t>
      </w:r>
      <w:r w:rsidRPr="00CC068E">
        <w:t xml:space="preserve"> (</w:t>
      </w:r>
      <w:r w:rsidRPr="00CC068E">
        <w:rPr>
          <w:b/>
        </w:rPr>
        <w:t>B</w:t>
      </w:r>
      <w:r w:rsidRPr="00CC068E">
        <w:t>), and LPS</w:t>
      </w:r>
      <w:r w:rsidRPr="00CC068E">
        <w:rPr>
          <w:vertAlign w:val="subscript"/>
        </w:rPr>
        <w:t>RS</w:t>
      </w:r>
      <w:r w:rsidRPr="00CC068E">
        <w:t xml:space="preserve"> (</w:t>
      </w:r>
      <w:r w:rsidRPr="00CC068E">
        <w:rPr>
          <w:b/>
        </w:rPr>
        <w:t>C</w:t>
      </w:r>
      <w:r w:rsidRPr="00CC068E">
        <w:t xml:space="preserve">) in platelets were investigated using a lactate </w:t>
      </w:r>
      <w:r w:rsidRPr="00CC068E">
        <w:lastRenderedPageBreak/>
        <w:t xml:space="preserve">dehydrogenase (LDH) cytotoxicity assay. All the results were normalised to the positive control. Data represent mean </w:t>
      </w:r>
      <w:r w:rsidRPr="00CC068E">
        <w:sym w:font="Symbol" w:char="F0B1"/>
      </w:r>
      <w:r w:rsidRPr="00CC068E">
        <w:t xml:space="preserve"> S.D. (n=3) and analysed with one-way ANOVA with Dunnett’s post-hoc test.</w:t>
      </w:r>
    </w:p>
    <w:p w:rsidR="000D59E9" w:rsidRDefault="000D59E9" w:rsidP="00E47DEE">
      <w:pPr>
        <w:spacing w:before="120" w:after="120" w:line="276" w:lineRule="auto"/>
        <w:jc w:val="both"/>
      </w:pPr>
    </w:p>
    <w:p w:rsidR="00F04455" w:rsidRDefault="00D7716E" w:rsidP="00E47DEE">
      <w:pPr>
        <w:spacing w:before="120" w:after="120" w:line="276" w:lineRule="auto"/>
        <w:jc w:val="both"/>
      </w:pPr>
      <w:r>
        <w:rPr>
          <w:noProof/>
        </w:rPr>
        <w:drawing>
          <wp:inline distT="0" distB="0" distL="0" distR="0">
            <wp:extent cx="5731510" cy="253936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9E9" w:rsidRPr="00CC068E" w:rsidRDefault="000D59E9" w:rsidP="00E47DEE">
      <w:pPr>
        <w:spacing w:before="120" w:after="120" w:line="276" w:lineRule="auto"/>
        <w:jc w:val="both"/>
      </w:pPr>
      <w:r w:rsidRPr="00545FCD">
        <w:rPr>
          <w:u w:val="single"/>
        </w:rPr>
        <w:t>Figure S6:</w:t>
      </w:r>
      <w:r>
        <w:t xml:space="preserve"> </w:t>
      </w:r>
      <w:r w:rsidRPr="00545FCD">
        <w:rPr>
          <w:b/>
        </w:rPr>
        <w:t>Full length immunoblot</w:t>
      </w:r>
      <w:r w:rsidR="00F04455">
        <w:rPr>
          <w:b/>
        </w:rPr>
        <w:t>s</w:t>
      </w:r>
      <w:r w:rsidR="00A23E33" w:rsidRPr="00545FCD">
        <w:rPr>
          <w:b/>
        </w:rPr>
        <w:t xml:space="preserve"> of TLR4 and α-tubulin in whole platelet </w:t>
      </w:r>
      <w:r w:rsidR="00A23E33" w:rsidRPr="00F6651C">
        <w:rPr>
          <w:b/>
        </w:rPr>
        <w:t>lysates</w:t>
      </w:r>
      <w:r w:rsidR="009E40A9" w:rsidRPr="00F6651C">
        <w:rPr>
          <w:b/>
        </w:rPr>
        <w:t xml:space="preserve"> </w:t>
      </w:r>
      <w:r w:rsidR="00BA163F" w:rsidRPr="00F6651C">
        <w:rPr>
          <w:b/>
        </w:rPr>
        <w:t>shown in</w:t>
      </w:r>
      <w:r w:rsidR="009E40A9" w:rsidRPr="00F6651C">
        <w:rPr>
          <w:b/>
        </w:rPr>
        <w:t xml:space="preserve"> Figure </w:t>
      </w:r>
      <w:r w:rsidR="009E40A9">
        <w:rPr>
          <w:b/>
        </w:rPr>
        <w:t>2</w:t>
      </w:r>
      <w:r w:rsidR="00A23E33" w:rsidRPr="00545FCD">
        <w:rPr>
          <w:b/>
        </w:rPr>
        <w:t>.</w:t>
      </w:r>
      <w:r w:rsidR="00A23E33">
        <w:t xml:space="preserve"> </w:t>
      </w:r>
      <w:r w:rsidR="009E40A9" w:rsidRPr="00CC068E">
        <w:t>Resting (-) and CRP-XL (0.5</w:t>
      </w:r>
      <w:r w:rsidR="00910EB3">
        <w:t>μ</w:t>
      </w:r>
      <w:r w:rsidR="009E40A9" w:rsidRPr="00CC068E">
        <w:t xml:space="preserve">g/mL) activated (+) platelets were examined for the presence of TLR4 via immunoblotting. The level of </w:t>
      </w:r>
      <w:r w:rsidR="009E40A9" w:rsidRPr="00CC068E">
        <w:sym w:font="Symbol" w:char="F061"/>
      </w:r>
      <w:r w:rsidR="009E40A9" w:rsidRPr="00CC068E">
        <w:t>-tubulin was detected as a loading control.</w:t>
      </w:r>
    </w:p>
    <w:p w:rsidR="001A591A" w:rsidRDefault="00CB11ED"/>
    <w:sectPr w:rsidR="001A5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EE"/>
    <w:rsid w:val="00051FEE"/>
    <w:rsid w:val="000D59E9"/>
    <w:rsid w:val="0012228D"/>
    <w:rsid w:val="001F6969"/>
    <w:rsid w:val="002C1253"/>
    <w:rsid w:val="002C7830"/>
    <w:rsid w:val="003831C5"/>
    <w:rsid w:val="004C3F0F"/>
    <w:rsid w:val="004C62E8"/>
    <w:rsid w:val="00545FCD"/>
    <w:rsid w:val="0058079A"/>
    <w:rsid w:val="005D2413"/>
    <w:rsid w:val="006064C3"/>
    <w:rsid w:val="00626194"/>
    <w:rsid w:val="006868E4"/>
    <w:rsid w:val="006A52F9"/>
    <w:rsid w:val="007240C5"/>
    <w:rsid w:val="00785007"/>
    <w:rsid w:val="007B2744"/>
    <w:rsid w:val="00842D5D"/>
    <w:rsid w:val="008F6875"/>
    <w:rsid w:val="00902DEB"/>
    <w:rsid w:val="00910EB3"/>
    <w:rsid w:val="00914312"/>
    <w:rsid w:val="00966EE3"/>
    <w:rsid w:val="009D20BB"/>
    <w:rsid w:val="009E40A9"/>
    <w:rsid w:val="00A0593B"/>
    <w:rsid w:val="00A23E33"/>
    <w:rsid w:val="00BA163F"/>
    <w:rsid w:val="00BC04EB"/>
    <w:rsid w:val="00BE7A15"/>
    <w:rsid w:val="00CB11ED"/>
    <w:rsid w:val="00D038CD"/>
    <w:rsid w:val="00D25997"/>
    <w:rsid w:val="00D60BA5"/>
    <w:rsid w:val="00D7716E"/>
    <w:rsid w:val="00DE501A"/>
    <w:rsid w:val="00E47DEE"/>
    <w:rsid w:val="00ED3D39"/>
    <w:rsid w:val="00F04455"/>
    <w:rsid w:val="00F11404"/>
    <w:rsid w:val="00F210EC"/>
    <w:rsid w:val="00F6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86CC2"/>
  <w15:chartTrackingRefBased/>
  <w15:docId w15:val="{C93A75F3-148B-4011-8E20-9D25863F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DEE"/>
    <w:pPr>
      <w:spacing w:after="0" w:line="240" w:lineRule="auto"/>
    </w:pPr>
    <w:rPr>
      <w:rFonts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42D5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4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.vaiyapuri@reading.ac.u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02C01-E192-4CD3-9883-962B7AE05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Vallance</dc:creator>
  <cp:keywords/>
  <dc:description/>
  <cp:lastModifiedBy>Thomas Vallance</cp:lastModifiedBy>
  <cp:revision>3</cp:revision>
  <dcterms:created xsi:type="dcterms:W3CDTF">2019-11-11T11:33:00Z</dcterms:created>
  <dcterms:modified xsi:type="dcterms:W3CDTF">2019-11-11T11:42:00Z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http://www.zotero.org/styles/international-journal-of-molecular-sciences</vt:lpwstr>
  </property>
  <property fmtid="{D5CDD505-2E9C-101B-9397-08002B2CF9AE}" pid="15" name="Mendeley Recent Style Name 6_1">
    <vt:lpwstr>International Journal of Molecular Sciences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