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EE7B8" w14:textId="77777777" w:rsidR="005B306C" w:rsidRPr="00974CBA" w:rsidRDefault="005B306C" w:rsidP="005B306C">
      <w:pPr>
        <w:spacing w:line="360" w:lineRule="auto"/>
        <w:rPr>
          <w:rFonts w:ascii="Arial" w:hAnsi="Arial" w:cs="Arial"/>
          <w:u w:val="single"/>
        </w:rPr>
      </w:pPr>
      <w:r w:rsidRPr="00974CBA">
        <w:rPr>
          <w:rFonts w:ascii="Arial" w:hAnsi="Arial" w:cs="Arial"/>
          <w:u w:val="single"/>
        </w:rPr>
        <w:t>Supplementary Information for</w:t>
      </w:r>
    </w:p>
    <w:p w14:paraId="68C7D058" w14:textId="09B365A4" w:rsidR="005B306C" w:rsidRPr="00974CBA" w:rsidRDefault="005B306C" w:rsidP="005B306C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974CBA">
        <w:rPr>
          <w:rFonts w:ascii="Arial" w:hAnsi="Arial" w:cs="Arial"/>
          <w:b/>
          <w:bCs/>
          <w:sz w:val="22"/>
          <w:szCs w:val="22"/>
        </w:rPr>
        <w:t>Suppressing aberrant phospholipase D1 signaling in 3xTg Alzheimer’s disease mouse model promotes synaptic resilience</w:t>
      </w:r>
    </w:p>
    <w:p w14:paraId="5490B54E" w14:textId="77777777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</w:p>
    <w:p w14:paraId="4E885C68" w14:textId="77777777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  <w:r w:rsidRPr="00974CBA">
        <w:rPr>
          <w:rFonts w:ascii="Arial" w:hAnsi="Arial" w:cs="Arial"/>
          <w:b/>
          <w:iCs/>
          <w:sz w:val="22"/>
          <w:szCs w:val="22"/>
        </w:rPr>
        <w:t>Authors:</w:t>
      </w:r>
      <w:r w:rsidRPr="00974CB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4CBA">
        <w:rPr>
          <w:rFonts w:ascii="Arial" w:hAnsi="Arial" w:cs="Arial"/>
          <w:sz w:val="22"/>
          <w:szCs w:val="22"/>
        </w:rPr>
        <w:t>Krystyn</w:t>
      </w:r>
      <w:proofErr w:type="spellEnd"/>
      <w:r w:rsidRPr="00974CBA">
        <w:rPr>
          <w:rFonts w:ascii="Arial" w:hAnsi="Arial" w:cs="Arial"/>
          <w:sz w:val="22"/>
          <w:szCs w:val="22"/>
        </w:rPr>
        <w:t xml:space="preserve"> Z. Bourne</w:t>
      </w:r>
      <w:r w:rsidRPr="00974CBA">
        <w:rPr>
          <w:rFonts w:ascii="Arial" w:hAnsi="Arial" w:cs="Arial"/>
          <w:sz w:val="22"/>
          <w:szCs w:val="22"/>
          <w:vertAlign w:val="superscript"/>
        </w:rPr>
        <w:t>1</w:t>
      </w:r>
      <w:r w:rsidRPr="00974CB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74CBA">
        <w:rPr>
          <w:rFonts w:ascii="Arial" w:hAnsi="Arial" w:cs="Arial"/>
          <w:sz w:val="22"/>
          <w:szCs w:val="22"/>
        </w:rPr>
        <w:t>Chandramouli</w:t>
      </w:r>
      <w:proofErr w:type="spellEnd"/>
      <w:r w:rsidRPr="00974CBA">
        <w:rPr>
          <w:rFonts w:ascii="Arial" w:hAnsi="Arial" w:cs="Arial"/>
          <w:sz w:val="22"/>
          <w:szCs w:val="22"/>
        </w:rPr>
        <w:t xml:space="preserve"> Natarajan</w:t>
      </w:r>
      <w:r w:rsidRPr="00974CBA">
        <w:rPr>
          <w:rFonts w:ascii="Arial" w:hAnsi="Arial" w:cs="Arial"/>
          <w:sz w:val="22"/>
          <w:szCs w:val="22"/>
          <w:vertAlign w:val="superscript"/>
        </w:rPr>
        <w:t>1</w:t>
      </w:r>
      <w:r w:rsidRPr="00974CBA">
        <w:rPr>
          <w:rFonts w:ascii="Arial" w:hAnsi="Arial" w:cs="Arial"/>
          <w:sz w:val="22"/>
          <w:szCs w:val="22"/>
        </w:rPr>
        <w:t>, Carlos X. Medina Perez</w:t>
      </w:r>
      <w:r w:rsidRPr="00974CBA">
        <w:rPr>
          <w:rFonts w:ascii="Arial" w:hAnsi="Arial" w:cs="Arial"/>
          <w:sz w:val="22"/>
          <w:szCs w:val="22"/>
          <w:vertAlign w:val="superscript"/>
        </w:rPr>
        <w:t>2</w:t>
      </w:r>
      <w:r w:rsidRPr="00974CB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74CBA">
        <w:rPr>
          <w:rFonts w:ascii="Arial" w:hAnsi="Arial" w:cs="Arial"/>
          <w:sz w:val="22"/>
          <w:szCs w:val="22"/>
        </w:rPr>
        <w:t>Batbayar</w:t>
      </w:r>
      <w:proofErr w:type="spellEnd"/>
      <w:r w:rsidRPr="00974CBA">
        <w:rPr>
          <w:rFonts w:ascii="Arial" w:hAnsi="Arial" w:cs="Arial"/>
          <w:sz w:val="22"/>
          <w:szCs w:val="22"/>
        </w:rPr>
        <w:t xml:space="preserve"> Tumurbaatar</w:t>
      </w:r>
      <w:r w:rsidRPr="00974CBA">
        <w:rPr>
          <w:rFonts w:ascii="Arial" w:hAnsi="Arial" w:cs="Arial"/>
          <w:sz w:val="22"/>
          <w:szCs w:val="22"/>
          <w:vertAlign w:val="superscript"/>
        </w:rPr>
        <w:t>1</w:t>
      </w:r>
      <w:r w:rsidRPr="00974CBA">
        <w:rPr>
          <w:rFonts w:ascii="Arial" w:hAnsi="Arial" w:cs="Arial"/>
          <w:sz w:val="22"/>
          <w:szCs w:val="22"/>
        </w:rPr>
        <w:t>, Giulio Taglialatela</w:t>
      </w:r>
      <w:r w:rsidRPr="00974CBA">
        <w:rPr>
          <w:rFonts w:ascii="Arial" w:hAnsi="Arial" w:cs="Arial"/>
          <w:sz w:val="22"/>
          <w:szCs w:val="22"/>
          <w:vertAlign w:val="superscript"/>
        </w:rPr>
        <w:t>1</w:t>
      </w:r>
      <w:r w:rsidRPr="00974CBA">
        <w:rPr>
          <w:rFonts w:ascii="Arial" w:hAnsi="Arial" w:cs="Arial"/>
          <w:sz w:val="22"/>
          <w:szCs w:val="22"/>
        </w:rPr>
        <w:t xml:space="preserve"> and Balaji Krishnan</w:t>
      </w:r>
      <w:r w:rsidRPr="00974CBA">
        <w:rPr>
          <w:rFonts w:ascii="Arial" w:hAnsi="Arial" w:cs="Arial"/>
          <w:sz w:val="22"/>
          <w:szCs w:val="22"/>
          <w:vertAlign w:val="superscript"/>
        </w:rPr>
        <w:t>1</w:t>
      </w:r>
    </w:p>
    <w:p w14:paraId="604DF146" w14:textId="77777777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</w:p>
    <w:p w14:paraId="292DEF0F" w14:textId="77777777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  <w:r w:rsidRPr="00974CBA">
        <w:rPr>
          <w:rFonts w:ascii="Arial" w:hAnsi="Arial" w:cs="Arial"/>
          <w:bCs/>
          <w:iCs/>
          <w:sz w:val="22"/>
          <w:szCs w:val="22"/>
          <w:vertAlign w:val="superscript"/>
        </w:rPr>
        <w:t>1</w:t>
      </w:r>
      <w:r w:rsidRPr="00974CBA">
        <w:rPr>
          <w:rFonts w:ascii="Arial" w:hAnsi="Arial" w:cs="Arial"/>
          <w:bCs/>
          <w:iCs/>
          <w:sz w:val="22"/>
          <w:szCs w:val="22"/>
        </w:rPr>
        <w:t>Mitchell Center for Neurodegenerative Diseases, Department of Neurology, University of Texas Medical Branch, Galveston, Texas, USA, 77555</w:t>
      </w:r>
    </w:p>
    <w:p w14:paraId="6238EA1D" w14:textId="2010B7AC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  <w:r w:rsidRPr="00974CBA">
        <w:rPr>
          <w:rFonts w:ascii="Arial" w:hAnsi="Arial" w:cs="Arial"/>
          <w:bCs/>
          <w:iCs/>
          <w:sz w:val="22"/>
          <w:szCs w:val="22"/>
          <w:vertAlign w:val="superscript"/>
        </w:rPr>
        <w:t>2</w:t>
      </w:r>
      <w:r w:rsidRPr="00974CBA">
        <w:rPr>
          <w:rFonts w:ascii="Arial" w:hAnsi="Arial" w:cs="Arial"/>
          <w:bCs/>
          <w:iCs/>
          <w:sz w:val="22"/>
          <w:szCs w:val="22"/>
        </w:rPr>
        <w:t>Neuroscience Summer Undergraduate Program, University of Texas Medical Branch, Galveston, Texas, USA, 77555</w:t>
      </w:r>
    </w:p>
    <w:p w14:paraId="3C630DB0" w14:textId="77777777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</w:p>
    <w:p w14:paraId="237379B4" w14:textId="77777777" w:rsidR="005B306C" w:rsidRPr="00974CBA" w:rsidRDefault="005B306C" w:rsidP="005B306C">
      <w:pPr>
        <w:spacing w:line="360" w:lineRule="auto"/>
        <w:rPr>
          <w:rFonts w:ascii="Arial" w:hAnsi="Arial" w:cs="Arial"/>
          <w:bCs/>
          <w:iCs/>
          <w:sz w:val="22"/>
          <w:szCs w:val="22"/>
        </w:rPr>
      </w:pPr>
      <w:r w:rsidRPr="00974CBA">
        <w:rPr>
          <w:rFonts w:ascii="Arial" w:hAnsi="Arial" w:cs="Arial"/>
          <w:b/>
          <w:bCs/>
          <w:sz w:val="22"/>
          <w:szCs w:val="22"/>
        </w:rPr>
        <w:t>*Corresponding Author:</w:t>
      </w:r>
      <w:r w:rsidRPr="00974CBA">
        <w:rPr>
          <w:rFonts w:ascii="Arial" w:hAnsi="Arial" w:cs="Arial"/>
          <w:sz w:val="22"/>
          <w:szCs w:val="22"/>
        </w:rPr>
        <w:t xml:space="preserve"> Balaji Krishnan.</w:t>
      </w:r>
      <w:r w:rsidRPr="00974CBA">
        <w:rPr>
          <w:rFonts w:ascii="Arial" w:hAnsi="Arial" w:cs="Arial"/>
          <w:bCs/>
          <w:iCs/>
          <w:sz w:val="22"/>
          <w:szCs w:val="22"/>
        </w:rPr>
        <w:t xml:space="preserve"> Email: bakrishn@utmb.edu.</w:t>
      </w:r>
      <w:r w:rsidRPr="00974CBA">
        <w:rPr>
          <w:rFonts w:ascii="Arial" w:hAnsi="Arial" w:cs="Arial"/>
          <w:sz w:val="22"/>
          <w:szCs w:val="22"/>
        </w:rPr>
        <w:t xml:space="preserve"> Address: 301 University Blvd. Galveston, TX 77555-1045. Phone No: (409) 772-8069. Fax No. (409) 772-0015</w:t>
      </w:r>
    </w:p>
    <w:p w14:paraId="6FB42C62" w14:textId="3F10E85D" w:rsidR="005B306C" w:rsidRPr="00974CBA" w:rsidRDefault="005B306C">
      <w:pPr>
        <w:rPr>
          <w:rFonts w:ascii="Arial" w:hAnsi="Arial" w:cs="Arial"/>
          <w:sz w:val="22"/>
          <w:szCs w:val="22"/>
        </w:rPr>
      </w:pPr>
      <w:r w:rsidRPr="00974CBA">
        <w:rPr>
          <w:rFonts w:ascii="Arial" w:hAnsi="Arial" w:cs="Arial"/>
          <w:sz w:val="22"/>
          <w:szCs w:val="22"/>
        </w:rPr>
        <w:br w:type="page"/>
      </w:r>
    </w:p>
    <w:p w14:paraId="06AEFFF2" w14:textId="4EE163AF" w:rsidR="005B306C" w:rsidRPr="00974CBA" w:rsidRDefault="00B941B1" w:rsidP="005B306C">
      <w:pPr>
        <w:spacing w:line="360" w:lineRule="auto"/>
        <w:rPr>
          <w:rFonts w:ascii="Arial" w:hAnsi="Arial" w:cs="Arial"/>
          <w:sz w:val="22"/>
          <w:szCs w:val="22"/>
        </w:rPr>
      </w:pPr>
      <w:r w:rsidRPr="00B941B1">
        <w:rPr>
          <w:rFonts w:ascii="Arial" w:hAnsi="Arial" w:cs="Arial"/>
          <w:sz w:val="22"/>
          <w:szCs w:val="22"/>
        </w:rPr>
        <w:lastRenderedPageBreak/>
        <w:drawing>
          <wp:inline distT="0" distB="0" distL="0" distR="0" wp14:anchorId="37BA2217" wp14:editId="176FAD9C">
            <wp:extent cx="8229600" cy="53435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46D53" w14:textId="4951A88D" w:rsidR="005B306C" w:rsidRPr="00E42CC9" w:rsidRDefault="005B306C" w:rsidP="005B306C">
      <w:pPr>
        <w:spacing w:line="360" w:lineRule="auto"/>
        <w:rPr>
          <w:rFonts w:ascii="Arial" w:hAnsi="Arial" w:cs="Arial"/>
          <w:sz w:val="22"/>
          <w:szCs w:val="22"/>
        </w:rPr>
      </w:pPr>
      <w:r w:rsidRPr="00974CBA">
        <w:rPr>
          <w:rFonts w:ascii="Arial" w:hAnsi="Arial" w:cs="Arial"/>
          <w:sz w:val="22"/>
          <w:szCs w:val="22"/>
        </w:rPr>
        <w:t xml:space="preserve">(464 words) </w:t>
      </w:r>
      <w:r w:rsidRPr="00974CBA">
        <w:rPr>
          <w:rFonts w:ascii="Arial" w:hAnsi="Arial" w:cs="Arial"/>
          <w:sz w:val="22"/>
          <w:szCs w:val="22"/>
          <w:u w:val="single"/>
        </w:rPr>
        <w:t xml:space="preserve">Supplementary Figure 1: </w:t>
      </w:r>
      <w:r w:rsidRPr="00974CBA">
        <w:rPr>
          <w:rFonts w:ascii="Arial" w:hAnsi="Arial" w:cs="Arial"/>
          <w:sz w:val="22"/>
          <w:szCs w:val="22"/>
        </w:rPr>
        <w:t>PLD1 inhibition does not alter fear conditioned behavior in 3-month old C57Bl/6 mice. A) Male 3xTg-AD mice were injected (</w:t>
      </w:r>
      <w:proofErr w:type="spellStart"/>
      <w:r w:rsidRPr="00974CBA">
        <w:rPr>
          <w:rFonts w:ascii="Arial" w:hAnsi="Arial" w:cs="Arial"/>
          <w:sz w:val="22"/>
          <w:szCs w:val="22"/>
        </w:rPr>
        <w:t>i.p.</w:t>
      </w:r>
      <w:proofErr w:type="spellEnd"/>
      <w:r w:rsidRPr="00974CBA">
        <w:rPr>
          <w:rFonts w:ascii="Arial" w:hAnsi="Arial" w:cs="Arial"/>
          <w:sz w:val="22"/>
          <w:szCs w:val="22"/>
        </w:rPr>
        <w:t xml:space="preserve">) with either none (dummy – just needle poke) or 1, 3, 10, 30 mg/kg VU01 or vehicle alone (0.9% </w:t>
      </w:r>
      <w:r w:rsidRPr="00974CBA">
        <w:rPr>
          <w:rFonts w:ascii="Arial" w:hAnsi="Arial" w:cs="Arial"/>
          <w:sz w:val="22"/>
          <w:szCs w:val="22"/>
        </w:rPr>
        <w:lastRenderedPageBreak/>
        <w:t xml:space="preserve">saline) one hour before conducting fear conditioning studies. We used n=6 mice for the dummy injections, while 11 mice were used for each of the other experimental groups. </w:t>
      </w:r>
      <w:r w:rsidRPr="00B933BE">
        <w:rPr>
          <w:rFonts w:ascii="Arial" w:hAnsi="Arial" w:cs="Arial"/>
          <w:sz w:val="22"/>
          <w:szCs w:val="22"/>
        </w:rPr>
        <w:t>B</w:t>
      </w:r>
      <w:r w:rsidRPr="00974CBA">
        <w:rPr>
          <w:rFonts w:ascii="Arial" w:hAnsi="Arial" w:cs="Arial"/>
          <w:sz w:val="22"/>
          <w:szCs w:val="22"/>
        </w:rPr>
        <w:t>) The schematic depicts the regimen of the protocol, also described in the methods section. In all the graphs</w:t>
      </w:r>
      <w:r w:rsidR="00E16520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974CBA">
        <w:rPr>
          <w:rFonts w:ascii="Arial" w:hAnsi="Arial" w:cs="Arial"/>
          <w:sz w:val="22"/>
          <w:szCs w:val="22"/>
        </w:rPr>
        <w:t xml:space="preserve">(C, D, E), the following color schematic has been used  - Dummy (D, black), Vehicle or Saline (S, blue), 1 mg/kg (1, brown), 3 mg/kg (3, green), 10 mg/kg (10, dark blue), 30 mg/kg (30, pink). Each dot represents a single animal. C) In the contextual memory test, all groups demonstrated robust freezing response to the environment used for the shock training (D: 62.540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1.808; S: 72.200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3.542; 1: 73.240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2.350; 3: 68.140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3.634; 10: 65.850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5.188; 30: 73.600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3.381), but there was no significant difference between the groups. D) In the cued memory test, all groups showed minimal freezing to the new environment (pre-cue depicted in clear circles - D: 1.235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0.515; S: 0.497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0.265; 1: 2.055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1.260; 3: 3.272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1.757; 10: 3.196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1.573; 30: 3.566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1.050), with no significant difference between any of the groups. Upon sound cue, (post-cue depicted in filled circles – D: 64.010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5.221; S: 54.960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9.674; 1: 68.010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4.642; 3: 61.470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7.377; 10: 61.810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8.404; 30: 71.350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6.830), all groups showed significantly greater freezing compared to their respective pre-cue responses (</w:t>
      </w:r>
      <w:r w:rsidRPr="00974CBA">
        <w:rPr>
          <w:rFonts w:ascii="Arial" w:hAnsi="Arial" w:cs="Arial"/>
          <w:i/>
          <w:iCs/>
          <w:sz w:val="22"/>
          <w:szCs w:val="22"/>
        </w:rPr>
        <w:t>*p</w:t>
      </w:r>
      <w:r w:rsidRPr="00974CBA">
        <w:rPr>
          <w:rFonts w:ascii="Arial" w:hAnsi="Arial" w:cs="Arial"/>
          <w:sz w:val="22"/>
          <w:szCs w:val="22"/>
        </w:rPr>
        <w:t xml:space="preserve">&lt;0.05; Kruskal-Wallis one-way ANOVA). However, the post-cued memory at any of the inhibitor concentrations was not significantly different from the saline or dummy-treated group. E) During training, all groups showed minimal freezing response to the environment before the shock (pre-shock depicted in clear circles – D: 1.383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0.570; S: 2.148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0.516; 1: 2.010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0.864; 3: 2.567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0.674; 10: 2.821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0.625; 30: 4.884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0.977). While the post-shock (depicted in filled circles: D: 15.200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4.058; S: 16.060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3.771; 1: 15.140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3.322; 3: 19.370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3.223; 10: 14.600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2.685; 30: 23.75 </w:t>
      </w:r>
      <w:r w:rsidRPr="00974CBA">
        <w:rPr>
          <w:rFonts w:ascii="Arial" w:hAnsi="Arial" w:cs="Arial"/>
          <w:sz w:val="22"/>
          <w:szCs w:val="22"/>
        </w:rPr>
        <w:sym w:font="Symbol" w:char="F0B1"/>
      </w:r>
      <w:r w:rsidRPr="00974CBA">
        <w:rPr>
          <w:rFonts w:ascii="Arial" w:hAnsi="Arial" w:cs="Arial"/>
          <w:sz w:val="22"/>
          <w:szCs w:val="22"/>
        </w:rPr>
        <w:t xml:space="preserve"> 3.588) were significantly different (</w:t>
      </w:r>
      <w:r w:rsidRPr="00974CBA">
        <w:rPr>
          <w:rFonts w:ascii="Arial" w:hAnsi="Arial" w:cs="Arial"/>
          <w:i/>
          <w:iCs/>
          <w:sz w:val="22"/>
          <w:szCs w:val="22"/>
        </w:rPr>
        <w:t>*p</w:t>
      </w:r>
      <w:r w:rsidRPr="00974CBA">
        <w:rPr>
          <w:rFonts w:ascii="Arial" w:hAnsi="Arial" w:cs="Arial"/>
          <w:sz w:val="22"/>
          <w:szCs w:val="22"/>
        </w:rPr>
        <w:t>&lt;0.05; Kruskal-Wallis one-way ANOVA) compared to their respective pre-shock responses, there was no significant difference between the groups in extent of post-shock freezing. Collectively, these observations provide a clear indication that the PLD inhibitor does not affect behavioral responses to fear conditioned memory or novel object memory (see our recently published study</w:t>
      </w:r>
      <w:r w:rsidRPr="00974CBA">
        <w:rPr>
          <w:rFonts w:ascii="Arial" w:hAnsi="Arial" w:cs="Arial"/>
          <w:sz w:val="22"/>
          <w:szCs w:val="22"/>
        </w:rPr>
        <w:fldChar w:fldCharType="begin"/>
      </w:r>
      <w:r w:rsidRPr="00974CBA">
        <w:rPr>
          <w:rFonts w:ascii="Arial" w:hAnsi="Arial" w:cs="Arial"/>
          <w:sz w:val="22"/>
          <w:szCs w:val="22"/>
        </w:rPr>
        <w:instrText xml:space="preserve"> ADDIN EN.CITE &lt;EndNote&gt;&lt;Cite&gt;&lt;Author&gt;Krishnan&lt;/Author&gt;&lt;Year&gt;2018&lt;/Year&gt;&lt;RecNum&gt;2995&lt;/RecNum&gt;&lt;DisplayText&gt;&lt;style face="superscript"&gt;18&lt;/style&gt;&lt;/DisplayText&gt;&lt;record&gt;&lt;rec-number&gt;2995&lt;/rec-number&gt;&lt;foreign-keys&gt;&lt;key app="EN" db-id="w992e52ses95ege95wh5ddfsdeep9ssr2t5f" timestamp="1569594600"&gt;2995&lt;/key&gt;&lt;/foreign-keys&gt;&lt;ref-type name="Journal Article"&gt;17&lt;/ref-type&gt;&lt;contributors&gt;&lt;authors&gt;&lt;author&gt;Krishnan, B.&lt;/author&gt;&lt;author&gt;Kayed, R.&lt;/author&gt;&lt;author&gt;Taglialatela, G.&lt;/author&gt;&lt;/authors&gt;&lt;/contributors&gt;&lt;auth-address&gt;UTMB Mitchell Center for Neurodegenerative Diseases, Department of Neurology, University of Texas Medical Branch, Galveston, TX, USA.&lt;/auth-address&gt;&lt;titles&gt;&lt;title&gt;Elevated phospholipase D isoform 1 in Alzheimer&amp;apos;s disease patients&amp;apos; hippocampus: Relevance to synaptic dysfunction and memory deficits&lt;/title&gt;&lt;secondary-title&gt;Alzheimers Dement (N Y)&lt;/secondary-title&gt;&lt;/titles&gt;&lt;pages&gt;89-102&lt;/pages&gt;&lt;volume&gt;4&lt;/volume&gt;&lt;edition&gt;2018/03/22&lt;/edition&gt;&lt;keywords&gt;&lt;keyword&gt;Alzheimer&amp;apos;s disease&lt;/keyword&gt;&lt;keyword&gt;Abeta&lt;/keyword&gt;&lt;keyword&gt;Electrophysiology&lt;/keyword&gt;&lt;keyword&gt;Hippocampus&lt;/keyword&gt;&lt;keyword&gt;Memory&lt;/keyword&gt;&lt;keyword&gt;Novel object recognition&lt;/keyword&gt;&lt;keyword&gt;Phospholipase D&lt;/keyword&gt;&lt;keyword&gt;Synaptic&lt;/keyword&gt;&lt;keyword&gt;Tau&lt;/keyword&gt;&lt;/keywords&gt;&lt;dates&gt;&lt;year&gt;2018&lt;/year&gt;&lt;/dates&gt;&lt;isbn&gt;2352-8737 (Electronic)&amp;#xD;2352-8737 (Linking)&lt;/isbn&gt;&lt;accession-num&gt;29560412&lt;/accession-num&gt;&lt;urls&gt;&lt;related-urls&gt;&lt;url&gt;https://www.ncbi.nlm.nih.gov/pubmed/29560412&lt;/url&gt;&lt;/related-urls&gt;&lt;/urls&gt;&lt;custom2&gt;PMC5857521&lt;/custom2&gt;&lt;electronic-resource-num&gt;10.1016/j.trci.2018.01.002&lt;/electronic-resource-num&gt;&lt;/record&gt;&lt;/Cite&gt;&lt;/EndNote&gt;</w:instrText>
      </w:r>
      <w:r w:rsidRPr="00974CBA">
        <w:rPr>
          <w:rFonts w:ascii="Arial" w:hAnsi="Arial" w:cs="Arial"/>
          <w:sz w:val="22"/>
          <w:szCs w:val="22"/>
        </w:rPr>
        <w:fldChar w:fldCharType="separate"/>
      </w:r>
      <w:r w:rsidRPr="00974CBA">
        <w:rPr>
          <w:rFonts w:ascii="Arial" w:hAnsi="Arial" w:cs="Arial"/>
          <w:noProof/>
          <w:sz w:val="22"/>
          <w:szCs w:val="22"/>
          <w:vertAlign w:val="superscript"/>
        </w:rPr>
        <w:t>18</w:t>
      </w:r>
      <w:r w:rsidRPr="00974CBA">
        <w:rPr>
          <w:rFonts w:ascii="Arial" w:hAnsi="Arial" w:cs="Arial"/>
          <w:sz w:val="22"/>
          <w:szCs w:val="22"/>
        </w:rPr>
        <w:fldChar w:fldCharType="end"/>
      </w:r>
      <w:r w:rsidRPr="00974CBA">
        <w:rPr>
          <w:rFonts w:ascii="Arial" w:hAnsi="Arial" w:cs="Arial"/>
          <w:sz w:val="22"/>
          <w:szCs w:val="22"/>
        </w:rPr>
        <w:t>). As a result, we decided to use age-matched 3xTg-AD siblings injected with saline as the appropriate controls to test the therapeutic potential of PLD1 inhibitor in the current study.</w:t>
      </w:r>
    </w:p>
    <w:p w14:paraId="621C5E76" w14:textId="77777777" w:rsidR="00EC0137" w:rsidRDefault="00EC0137"/>
    <w:sectPr w:rsidR="00EC0137" w:rsidSect="005B306C">
      <w:footerReference w:type="even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30DBBE" w14:textId="77777777" w:rsidR="009B7C81" w:rsidRDefault="009B7C81">
      <w:r>
        <w:separator/>
      </w:r>
    </w:p>
  </w:endnote>
  <w:endnote w:type="continuationSeparator" w:id="0">
    <w:p w14:paraId="0A800802" w14:textId="77777777" w:rsidR="009B7C81" w:rsidRDefault="009B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0028582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F2C698" w14:textId="77777777" w:rsidR="00A729C6" w:rsidRDefault="005B306C" w:rsidP="00FB52F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B98CF6" w14:textId="77777777" w:rsidR="00A729C6" w:rsidRDefault="009B7C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Arial" w:hAnsi="Arial" w:cs="Arial"/>
      </w:rPr>
      <w:id w:val="-936303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A15DB6" w14:textId="77777777" w:rsidR="00A729C6" w:rsidRPr="00FF0BD2" w:rsidRDefault="005B306C" w:rsidP="00FB52FC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</w:rPr>
        </w:pPr>
        <w:r w:rsidRPr="00FF0BD2">
          <w:rPr>
            <w:rStyle w:val="PageNumber"/>
            <w:rFonts w:ascii="Arial" w:hAnsi="Arial" w:cs="Arial"/>
          </w:rPr>
          <w:fldChar w:fldCharType="begin"/>
        </w:r>
        <w:r w:rsidRPr="00FF0BD2">
          <w:rPr>
            <w:rStyle w:val="PageNumber"/>
            <w:rFonts w:ascii="Arial" w:hAnsi="Arial" w:cs="Arial"/>
          </w:rPr>
          <w:instrText xml:space="preserve"> PAGE </w:instrText>
        </w:r>
        <w:r w:rsidRPr="00FF0BD2">
          <w:rPr>
            <w:rStyle w:val="PageNumber"/>
            <w:rFonts w:ascii="Arial" w:hAnsi="Arial" w:cs="Arial"/>
          </w:rPr>
          <w:fldChar w:fldCharType="separate"/>
        </w:r>
        <w:r w:rsidRPr="00FF0BD2">
          <w:rPr>
            <w:rStyle w:val="PageNumber"/>
            <w:rFonts w:ascii="Arial" w:hAnsi="Arial" w:cs="Arial"/>
            <w:noProof/>
          </w:rPr>
          <w:t>1</w:t>
        </w:r>
        <w:r w:rsidRPr="00FF0BD2">
          <w:rPr>
            <w:rStyle w:val="PageNumber"/>
            <w:rFonts w:ascii="Arial" w:hAnsi="Arial" w:cs="Arial"/>
          </w:rPr>
          <w:fldChar w:fldCharType="end"/>
        </w:r>
      </w:p>
    </w:sdtContent>
  </w:sdt>
  <w:p w14:paraId="4B94F937" w14:textId="77777777" w:rsidR="00A729C6" w:rsidRDefault="009B7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719D4E" w14:textId="77777777" w:rsidR="009B7C81" w:rsidRDefault="009B7C81">
      <w:r>
        <w:separator/>
      </w:r>
    </w:p>
  </w:footnote>
  <w:footnote w:type="continuationSeparator" w:id="0">
    <w:p w14:paraId="1F63905F" w14:textId="77777777" w:rsidR="009B7C81" w:rsidRDefault="009B7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6C"/>
    <w:rsid w:val="00031B35"/>
    <w:rsid w:val="00110AD8"/>
    <w:rsid w:val="0014199F"/>
    <w:rsid w:val="00284B64"/>
    <w:rsid w:val="002D31B6"/>
    <w:rsid w:val="00364E9D"/>
    <w:rsid w:val="003E20E7"/>
    <w:rsid w:val="003F4B1C"/>
    <w:rsid w:val="0041670F"/>
    <w:rsid w:val="00444C5F"/>
    <w:rsid w:val="00461CD4"/>
    <w:rsid w:val="00522B3B"/>
    <w:rsid w:val="00546143"/>
    <w:rsid w:val="005B306C"/>
    <w:rsid w:val="005D35E3"/>
    <w:rsid w:val="00626097"/>
    <w:rsid w:val="0064007D"/>
    <w:rsid w:val="00671B36"/>
    <w:rsid w:val="00683EC8"/>
    <w:rsid w:val="006C7724"/>
    <w:rsid w:val="00710501"/>
    <w:rsid w:val="00720A91"/>
    <w:rsid w:val="00736DFD"/>
    <w:rsid w:val="00741337"/>
    <w:rsid w:val="0075552F"/>
    <w:rsid w:val="007638CD"/>
    <w:rsid w:val="007C6364"/>
    <w:rsid w:val="007D37FE"/>
    <w:rsid w:val="00814116"/>
    <w:rsid w:val="008232A3"/>
    <w:rsid w:val="00830D18"/>
    <w:rsid w:val="008D6898"/>
    <w:rsid w:val="00957916"/>
    <w:rsid w:val="00974CBA"/>
    <w:rsid w:val="0098604E"/>
    <w:rsid w:val="009B7C81"/>
    <w:rsid w:val="009D5168"/>
    <w:rsid w:val="009E0959"/>
    <w:rsid w:val="009F612D"/>
    <w:rsid w:val="00A051D8"/>
    <w:rsid w:val="00A43443"/>
    <w:rsid w:val="00A53B97"/>
    <w:rsid w:val="00A839A0"/>
    <w:rsid w:val="00A86C71"/>
    <w:rsid w:val="00AA567E"/>
    <w:rsid w:val="00AF016C"/>
    <w:rsid w:val="00B347C4"/>
    <w:rsid w:val="00B52B98"/>
    <w:rsid w:val="00B53561"/>
    <w:rsid w:val="00B63345"/>
    <w:rsid w:val="00B84076"/>
    <w:rsid w:val="00B933BE"/>
    <w:rsid w:val="00B941B1"/>
    <w:rsid w:val="00BF19B3"/>
    <w:rsid w:val="00C25E6D"/>
    <w:rsid w:val="00C73095"/>
    <w:rsid w:val="00D232BF"/>
    <w:rsid w:val="00D566DB"/>
    <w:rsid w:val="00D82D7F"/>
    <w:rsid w:val="00DA0AF7"/>
    <w:rsid w:val="00DA65A6"/>
    <w:rsid w:val="00DB2654"/>
    <w:rsid w:val="00DC451D"/>
    <w:rsid w:val="00DF0DE7"/>
    <w:rsid w:val="00E12928"/>
    <w:rsid w:val="00E16520"/>
    <w:rsid w:val="00E23D47"/>
    <w:rsid w:val="00E42CC9"/>
    <w:rsid w:val="00E61E97"/>
    <w:rsid w:val="00E62645"/>
    <w:rsid w:val="00E6759C"/>
    <w:rsid w:val="00E77AC8"/>
    <w:rsid w:val="00EA160A"/>
    <w:rsid w:val="00EC0137"/>
    <w:rsid w:val="00EC4392"/>
    <w:rsid w:val="00F47C0B"/>
    <w:rsid w:val="00F62336"/>
    <w:rsid w:val="00F637BB"/>
    <w:rsid w:val="00F743C7"/>
    <w:rsid w:val="00F75FBC"/>
    <w:rsid w:val="00FB33D3"/>
    <w:rsid w:val="00FC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19FA"/>
  <w15:chartTrackingRefBased/>
  <w15:docId w15:val="{61F07B88-5CB0-844E-B9F1-FEECE791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0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30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06C"/>
  </w:style>
  <w:style w:type="character" w:styleId="PageNumber">
    <w:name w:val="page number"/>
    <w:basedOn w:val="DefaultParagraphFont"/>
    <w:uiPriority w:val="99"/>
    <w:semiHidden/>
    <w:unhideWhenUsed/>
    <w:rsid w:val="005B306C"/>
  </w:style>
  <w:style w:type="character" w:styleId="Hyperlink">
    <w:name w:val="Hyperlink"/>
    <w:basedOn w:val="DefaultParagraphFont"/>
    <w:uiPriority w:val="99"/>
    <w:unhideWhenUsed/>
    <w:rsid w:val="00B933B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33B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CC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86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86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Krishnan, Balaji</dc:creator>
  <cp:keywords/>
  <dc:description/>
  <cp:lastModifiedBy>Krishnan, Balaji</cp:lastModifiedBy>
  <cp:revision>5</cp:revision>
  <dcterms:created xsi:type="dcterms:W3CDTF">2019-10-25T14:08:00Z</dcterms:created>
  <dcterms:modified xsi:type="dcterms:W3CDTF">2019-10-25T14:49:00Z</dcterms:modified>
</cp:coreProperties>
</file>