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BAFF4" w14:textId="2B6E0F02" w:rsidR="00EF559E" w:rsidRDefault="00EF559E"/>
    <w:p w14:paraId="48D0EF62" w14:textId="6223051F" w:rsidR="00E01A95" w:rsidRDefault="001B5FE4" w:rsidP="00EF559E">
      <w:r w:rsidRPr="00981319">
        <w:t>Supplementary information</w:t>
      </w:r>
      <w:r w:rsidR="00EF559E">
        <w:t xml:space="preserve"> to “</w:t>
      </w:r>
      <w:r w:rsidR="00F550A5" w:rsidRPr="00F550A5">
        <w:t>Unmixing noisy co-registered spectrum images of multicomponent nanostructures</w:t>
      </w:r>
      <w:r w:rsidR="00EF559E">
        <w:t xml:space="preserve">” </w:t>
      </w:r>
    </w:p>
    <w:p w14:paraId="549EC5E6" w14:textId="77777777" w:rsidR="00E9150C" w:rsidRDefault="00E9150C" w:rsidP="00EF559E">
      <w:pPr>
        <w:rPr>
          <w:b/>
          <w:i/>
        </w:rPr>
      </w:pPr>
    </w:p>
    <w:p w14:paraId="73779E62" w14:textId="6A1AE6E3" w:rsidR="00EF559E" w:rsidRPr="00E9150C" w:rsidRDefault="00EF559E" w:rsidP="00EF559E">
      <w:pPr>
        <w:rPr>
          <w:b/>
          <w:vertAlign w:val="superscript"/>
        </w:rPr>
      </w:pPr>
      <w:r w:rsidRPr="00E9150C">
        <w:rPr>
          <w:b/>
        </w:rPr>
        <w:t>Nadi Braidy</w:t>
      </w:r>
      <w:r w:rsidR="00E9150C">
        <w:rPr>
          <w:b/>
        </w:rPr>
        <w:t>*</w:t>
      </w:r>
      <w:r w:rsidRPr="00E9150C">
        <w:rPr>
          <w:b/>
        </w:rPr>
        <w:t>, Ryan Gosselin</w:t>
      </w:r>
    </w:p>
    <w:p w14:paraId="2DC57A5D" w14:textId="6B0D11D0" w:rsidR="00EF559E" w:rsidRPr="00F550A5" w:rsidRDefault="00EF559E" w:rsidP="00EF559E">
      <w:pPr>
        <w:rPr>
          <w:lang w:val="fr-CA"/>
        </w:rPr>
      </w:pPr>
      <w:r w:rsidRPr="00F550A5">
        <w:t xml:space="preserve">Department of Chemical Engineering and Biotechnological Engineering, Université de Sherbrooke. </w:t>
      </w:r>
      <w:r w:rsidRPr="00F550A5">
        <w:rPr>
          <w:lang w:val="fr-CA"/>
        </w:rPr>
        <w:t xml:space="preserve">2500 Boul. de l’Université. Sherbrooke, </w:t>
      </w:r>
      <w:r w:rsidR="00FD3E2B" w:rsidRPr="00F550A5">
        <w:rPr>
          <w:lang w:val="fr-CA"/>
        </w:rPr>
        <w:t>PQ J1K 2R1</w:t>
      </w:r>
      <w:r w:rsidRPr="00F550A5">
        <w:rPr>
          <w:lang w:val="fr-CA"/>
        </w:rPr>
        <w:t xml:space="preserve">, Canada </w:t>
      </w:r>
    </w:p>
    <w:p w14:paraId="084D3EE9" w14:textId="5D11E327" w:rsidR="00EF559E" w:rsidRPr="00F550A5" w:rsidRDefault="00EF559E" w:rsidP="00EF559E">
      <w:pPr>
        <w:rPr>
          <w:lang w:val="fr-CA"/>
        </w:rPr>
      </w:pPr>
      <w:r w:rsidRPr="00F550A5">
        <w:rPr>
          <w:lang w:val="fr-CA"/>
        </w:rPr>
        <w:t>Institut Interdisciplinaire d'Innovation Technologique (3IT), Sherbrooke PQ J1K 0A5, Canada</w:t>
      </w:r>
    </w:p>
    <w:p w14:paraId="0853FB96" w14:textId="479FC2CA" w:rsidR="001B5FE4" w:rsidRPr="00F550A5" w:rsidRDefault="001B5FE4">
      <w:pPr>
        <w:rPr>
          <w:lang w:val="fr-CA"/>
        </w:rPr>
      </w:pPr>
    </w:p>
    <w:p w14:paraId="57008B0F" w14:textId="7FA1FF45" w:rsidR="001B5FE4" w:rsidRDefault="001B5FE4">
      <w:r w:rsidRPr="00F550A5">
        <w:t>The data contained</w:t>
      </w:r>
      <w:r w:rsidRPr="001B5FE4">
        <w:t xml:space="preserve"> in this Supplementary information </w:t>
      </w:r>
      <w:r>
        <w:t xml:space="preserve">supports the discussion of paper entitled </w:t>
      </w:r>
      <w:r w:rsidR="00981319">
        <w:t>“</w:t>
      </w:r>
      <w:r w:rsidR="00981319" w:rsidRPr="00981319">
        <w:t>Enhanced interpretability of nanostructure spectrum images using novel multivariate methods</w:t>
      </w:r>
      <w:r w:rsidR="00981319">
        <w:t>”. The following present</w:t>
      </w:r>
      <w:r w:rsidR="00FD3E2B">
        <w:t>s</w:t>
      </w:r>
      <w:r w:rsidR="00981319">
        <w:t xml:space="preserve"> results of “traditional” data analyses (background-subtracted windowing</w:t>
      </w:r>
      <w:r w:rsidR="00FD3E2B">
        <w:t>, S1,</w:t>
      </w:r>
      <w:r w:rsidR="00981319">
        <w:t xml:space="preserve"> and </w:t>
      </w:r>
      <w:r w:rsidR="00FD3E2B">
        <w:t xml:space="preserve">linear </w:t>
      </w:r>
      <w:r w:rsidR="00981319">
        <w:t>least-square fitting</w:t>
      </w:r>
      <w:r w:rsidR="00FD3E2B">
        <w:t>, S2</w:t>
      </w:r>
      <w:r w:rsidR="00981319">
        <w:t xml:space="preserve">) together with </w:t>
      </w:r>
      <w:r w:rsidR="006A7FA3">
        <w:t xml:space="preserve">the results of </w:t>
      </w:r>
      <w:r w:rsidR="00981319">
        <w:t xml:space="preserve">various other latent variable algorithms: </w:t>
      </w:r>
      <w:r w:rsidR="006A7FA3">
        <w:t>I</w:t>
      </w:r>
      <w:r w:rsidR="00FD3E2B">
        <w:t xml:space="preserve">ndependent component analysis (ICA, S3) </w:t>
      </w:r>
      <w:r w:rsidR="006A7FA3">
        <w:t>N</w:t>
      </w:r>
      <w:r w:rsidR="00981319">
        <w:t>on-negative matrix factorization (NMF</w:t>
      </w:r>
      <w:r w:rsidR="00FD3E2B">
        <w:t>, S4</w:t>
      </w:r>
      <w:r w:rsidR="00981319">
        <w:t xml:space="preserve">), and </w:t>
      </w:r>
      <w:proofErr w:type="spellStart"/>
      <w:r w:rsidR="00981319">
        <w:t>Baysian</w:t>
      </w:r>
      <w:proofErr w:type="spellEnd"/>
      <w:r w:rsidR="00981319">
        <w:t xml:space="preserve"> linear unmixing (BLU</w:t>
      </w:r>
      <w:r w:rsidR="00FD3E2B">
        <w:t>, S5</w:t>
      </w:r>
      <w:r w:rsidR="00981319">
        <w:t>).</w:t>
      </w:r>
    </w:p>
    <w:p w14:paraId="04CB01C4" w14:textId="77777777" w:rsidR="006A7FA3" w:rsidRDefault="006A7FA3"/>
    <w:p w14:paraId="7F95BDAC" w14:textId="77777777" w:rsidR="000A3BF0" w:rsidRDefault="000A3BF0">
      <w:pPr>
        <w:widowControl/>
        <w:spacing w:after="160" w:line="259" w:lineRule="auto"/>
        <w:jc w:val="left"/>
        <w:rPr>
          <w:b/>
          <w:color w:val="000000" w:themeColor="text1"/>
          <w:sz w:val="28"/>
        </w:rPr>
      </w:pPr>
      <w:r>
        <w:br w:type="page"/>
      </w:r>
    </w:p>
    <w:p w14:paraId="000918C6" w14:textId="2ED013D6" w:rsidR="00B164FE" w:rsidRDefault="00FB6EB4" w:rsidP="001B3312">
      <w:pPr>
        <w:pStyle w:val="SI"/>
      </w:pPr>
      <w:r>
        <w:lastRenderedPageBreak/>
        <w:t xml:space="preserve"> </w:t>
      </w:r>
      <w:r w:rsidR="00981319">
        <w:t>Background subtracted windowing</w:t>
      </w:r>
    </w:p>
    <w:p w14:paraId="757B7136" w14:textId="6F4F7271" w:rsidR="00D10022" w:rsidRDefault="00B164FE" w:rsidP="00EF2FC7">
      <w:pPr>
        <w:pStyle w:val="SI"/>
        <w:numPr>
          <w:ilvl w:val="0"/>
          <w:numId w:val="0"/>
        </w:numPr>
        <w:ind w:left="360"/>
        <w:jc w:val="left"/>
      </w:pPr>
      <w:r w:rsidRPr="00B164FE">
        <w:rPr>
          <w:noProof/>
          <w:lang w:val="fr-CA" w:eastAsia="fr-CA"/>
        </w:rPr>
        <w:drawing>
          <wp:inline distT="0" distB="0" distL="0" distR="0" wp14:anchorId="3E85D3DF" wp14:editId="4BB09D52">
            <wp:extent cx="5931243" cy="351529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6458" cy="3518389"/>
                    </a:xfrm>
                    <a:prstGeom prst="rect">
                      <a:avLst/>
                    </a:prstGeom>
                    <a:noFill/>
                    <a:ln>
                      <a:noFill/>
                    </a:ln>
                  </pic:spPr>
                </pic:pic>
              </a:graphicData>
            </a:graphic>
          </wp:inline>
        </w:drawing>
      </w:r>
    </w:p>
    <w:p w14:paraId="6158E73F" w14:textId="010C9688" w:rsidR="00AE1C90" w:rsidRPr="00AE1C90" w:rsidRDefault="00D10022" w:rsidP="00AE1C90">
      <w:pPr>
        <w:pStyle w:val="Caption"/>
      </w:pPr>
      <w:r>
        <w:t>Figure S</w:t>
      </w:r>
      <w:r>
        <w:fldChar w:fldCharType="begin"/>
      </w:r>
      <w:r>
        <w:instrText xml:space="preserve"> SEQ Figure \* ARABIC </w:instrText>
      </w:r>
      <w:r>
        <w:fldChar w:fldCharType="separate"/>
      </w:r>
      <w:r w:rsidR="00807A00">
        <w:rPr>
          <w:noProof/>
        </w:rPr>
        <w:t>1</w:t>
      </w:r>
      <w:r>
        <w:fldChar w:fldCharType="end"/>
      </w:r>
      <w:r>
        <w:t>. E</w:t>
      </w:r>
      <w:r w:rsidR="00AE1C90">
        <w:t>xcerpts of one EDX (a) and EEL (b) spectra showing the high signal</w:t>
      </w:r>
      <w:r w:rsidR="00FD3E2B">
        <w:t>-</w:t>
      </w:r>
      <w:r w:rsidR="00AE1C90">
        <w:t>to</w:t>
      </w:r>
      <w:r w:rsidR="00FD3E2B">
        <w:t>-</w:t>
      </w:r>
      <w:r w:rsidR="00AE1C90">
        <w:t xml:space="preserve">noise ratio with the overlapping characteristic features. EDX (c) and EELS (d) </w:t>
      </w:r>
      <w:r w:rsidR="00BE5874">
        <w:t xml:space="preserve">profiles </w:t>
      </w:r>
      <w:r w:rsidR="00AE1C90">
        <w:t>of the background-subtracted signal.</w:t>
      </w:r>
    </w:p>
    <w:p w14:paraId="3AFE9029" w14:textId="77777777" w:rsidR="00AE1C90" w:rsidRDefault="00AE1C90" w:rsidP="008A7D70"/>
    <w:p w14:paraId="38A499F2" w14:textId="695E8707" w:rsidR="00123660" w:rsidRDefault="00F75B46" w:rsidP="008A7D70">
      <w:r>
        <w:t>Figure</w:t>
      </w:r>
      <w:r w:rsidR="00123660">
        <w:t xml:space="preserve"> S1 shows the line profiles of the background</w:t>
      </w:r>
      <w:r w:rsidR="00FD3E2B">
        <w:t>-</w:t>
      </w:r>
      <w:r w:rsidR="00123660">
        <w:t>subtracted analysis typically carried out by commercial software. Fig</w:t>
      </w:r>
      <w:r>
        <w:t>ure</w:t>
      </w:r>
      <w:r w:rsidR="00FD3E2B">
        <w:t>s</w:t>
      </w:r>
      <w:r w:rsidR="00123660">
        <w:t xml:space="preserve"> S1</w:t>
      </w:r>
      <w:r w:rsidR="00FD3E2B">
        <w:t>a and S1b</w:t>
      </w:r>
      <w:r w:rsidR="00123660">
        <w:t xml:space="preserve"> show the difficulties associated to those methods when dealing with low signal-to-noise ratio </w:t>
      </w:r>
      <w:r w:rsidR="006A7FA3">
        <w:t xml:space="preserve">(SNR) </w:t>
      </w:r>
      <w:r w:rsidR="00123660">
        <w:t>and overlapping features in a) EDX and b) EELS data. With sparse data, the slope of the linear EDX background varies significantly depending on the number of pixels used for the extrapolation (Fig</w:t>
      </w:r>
      <w:r w:rsidR="006B178B">
        <w:t>ure</w:t>
      </w:r>
      <w:r w:rsidR="00123660">
        <w:t xml:space="preserve"> S1a). For EELS, the number of pixels used for the background extrapolation is limited by the</w:t>
      </w:r>
      <w:r w:rsidR="00BE5874">
        <w:t xml:space="preserve"> energy-loss near edge structure (ELNES) </w:t>
      </w:r>
      <w:r w:rsidR="00123660">
        <w:t xml:space="preserve">of the previous </w:t>
      </w:r>
      <w:r w:rsidR="00FD3E2B">
        <w:t xml:space="preserve">edge </w:t>
      </w:r>
      <w:r w:rsidR="006B178B">
        <w:t>(Figure</w:t>
      </w:r>
      <w:r w:rsidR="00123660">
        <w:t xml:space="preserve"> S1b). In both cases, the </w:t>
      </w:r>
      <w:r w:rsidR="00FB6EB4">
        <w:t xml:space="preserve">imprecise background extrapolation and the </w:t>
      </w:r>
      <w:r w:rsidR="006E0C48">
        <w:t>limited number of counts cause</w:t>
      </w:r>
      <w:r w:rsidR="00123660">
        <w:t xml:space="preserve"> a large uncertainty on the background-subtracted signal.</w:t>
      </w:r>
      <w:r w:rsidR="008A7D70">
        <w:t xml:space="preserve"> In addition, </w:t>
      </w:r>
      <w:r w:rsidR="006A7FA3">
        <w:t>conventional</w:t>
      </w:r>
      <w:r w:rsidR="008A7D70" w:rsidRPr="008A7D70">
        <w:t xml:space="preserve"> methods are user-dependent and contain several arbitrary choices</w:t>
      </w:r>
      <w:r w:rsidR="008A7D70">
        <w:t xml:space="preserve"> </w:t>
      </w:r>
      <w:r w:rsidR="008A7D70" w:rsidRPr="008A7D70">
        <w:t>that are based on experience</w:t>
      </w:r>
      <w:r w:rsidR="008A7D70">
        <w:t xml:space="preserve">, </w:t>
      </w:r>
      <w:r w:rsidR="00781C4C">
        <w:t>although</w:t>
      </w:r>
      <w:r w:rsidR="008A7D70">
        <w:t xml:space="preserve"> </w:t>
      </w:r>
      <w:r w:rsidR="008A7D70" w:rsidRPr="008A7D70">
        <w:t xml:space="preserve">software to optimize </w:t>
      </w:r>
      <w:r w:rsidR="008A7D70">
        <w:t>the parameters are available</w:t>
      </w:r>
      <w:r w:rsidR="00BE5874">
        <w:t xml:space="preserve"> (e.g. “EELS </w:t>
      </w:r>
      <w:r w:rsidR="00BC3900">
        <w:t xml:space="preserve">Advisor”, available as a package in </w:t>
      </w:r>
      <w:proofErr w:type="spellStart"/>
      <w:r w:rsidR="00BC3900">
        <w:t>Gatan</w:t>
      </w:r>
      <w:proofErr w:type="spellEnd"/>
      <w:r w:rsidR="00BC3900">
        <w:t xml:space="preserve"> Microscopy Suite Software, Digital Micrograph, </w:t>
      </w:r>
      <w:r w:rsidR="00BE5874">
        <w:t xml:space="preserve">from </w:t>
      </w:r>
      <w:proofErr w:type="spellStart"/>
      <w:r w:rsidR="00BE5874">
        <w:t>Gatan</w:t>
      </w:r>
      <w:proofErr w:type="spellEnd"/>
      <w:r w:rsidR="00BC3900">
        <w:t>, Inc)</w:t>
      </w:r>
      <w:r w:rsidR="008A7D70">
        <w:t>. For instance, the user decides the c</w:t>
      </w:r>
      <w:r w:rsidR="008A7D70" w:rsidRPr="008A7D70">
        <w:t xml:space="preserve">hoice of edges </w:t>
      </w:r>
      <w:r w:rsidR="008A7D70">
        <w:t xml:space="preserve">or the peaks </w:t>
      </w:r>
      <w:r w:rsidR="008A7D70" w:rsidRPr="008A7D70">
        <w:t>to extract</w:t>
      </w:r>
      <w:r w:rsidR="00FD3E2B">
        <w:t>,</w:t>
      </w:r>
      <w:r w:rsidR="008A7D70">
        <w:t xml:space="preserve"> the p</w:t>
      </w:r>
      <w:r w:rsidR="008A7D70" w:rsidRPr="008A7D70">
        <w:t>osition and</w:t>
      </w:r>
      <w:r w:rsidR="008A7D70">
        <w:t xml:space="preserve"> the</w:t>
      </w:r>
      <w:r w:rsidR="008A7D70" w:rsidRPr="008A7D70">
        <w:t xml:space="preserve"> width of background and </w:t>
      </w:r>
      <w:r w:rsidR="008A7D70">
        <w:t xml:space="preserve">the </w:t>
      </w:r>
      <w:r w:rsidR="008A7D70" w:rsidRPr="008A7D70">
        <w:t>signal</w:t>
      </w:r>
      <w:r w:rsidR="00FD3E2B">
        <w:t xml:space="preserve"> integration window</w:t>
      </w:r>
      <w:r w:rsidR="008A7D70">
        <w:t xml:space="preserve">. </w:t>
      </w:r>
    </w:p>
    <w:p w14:paraId="4EA957CF" w14:textId="491FFABD" w:rsidR="00FB6EB4" w:rsidRDefault="00FB6EB4">
      <w:r>
        <w:t>The processed EDX and EELS signals using this background-subtracted method are shown in Fig</w:t>
      </w:r>
      <w:r w:rsidR="00DE4C56">
        <w:t>ures</w:t>
      </w:r>
      <w:r>
        <w:t xml:space="preserve"> S1c and S1d, respectively. </w:t>
      </w:r>
      <w:r w:rsidR="008A7D70">
        <w:t xml:space="preserve">From these </w:t>
      </w:r>
      <w:r w:rsidR="006A7FA3">
        <w:t>profiles</w:t>
      </w:r>
      <w:r w:rsidR="008A7D70">
        <w:t xml:space="preserve">, several artefacts become apparent and result from the low </w:t>
      </w:r>
      <w:r w:rsidR="006A7FA3">
        <w:t>SNR</w:t>
      </w:r>
      <w:r w:rsidR="008A7D70">
        <w:t xml:space="preserve"> and the </w:t>
      </w:r>
      <w:r w:rsidR="006A7FA3">
        <w:t>signal overlap</w:t>
      </w:r>
      <w:r w:rsidR="008A7D70">
        <w:t xml:space="preserve">. All </w:t>
      </w:r>
      <w:r w:rsidR="006A7FA3">
        <w:t>profiles</w:t>
      </w:r>
      <w:r w:rsidR="008A7D70">
        <w:t xml:space="preserve"> are noisy and include negative</w:t>
      </w:r>
      <w:r w:rsidR="00781C4C">
        <w:t xml:space="preserve"> counts resulting from the extrapolated background being locally larger than the signal. </w:t>
      </w:r>
      <w:r w:rsidR="008A7D70">
        <w:t xml:space="preserve">Of note, confusion arise between </w:t>
      </w:r>
      <w:r w:rsidR="0011317D">
        <w:t>(</w:t>
      </w:r>
      <w:r>
        <w:t>Si</w:t>
      </w:r>
      <w:r w:rsidR="0011317D">
        <w:t>, SiO</w:t>
      </w:r>
      <w:r w:rsidR="0011317D">
        <w:rPr>
          <w:vertAlign w:val="subscript"/>
        </w:rPr>
        <w:t>2</w:t>
      </w:r>
      <w:r w:rsidR="0011317D">
        <w:t>)</w:t>
      </w:r>
      <w:r>
        <w:t xml:space="preserve"> </w:t>
      </w:r>
      <w:r w:rsidR="008A7D70">
        <w:t>and W</w:t>
      </w:r>
      <w:r w:rsidR="00FD3E2B">
        <w:t xml:space="preserve"> </w:t>
      </w:r>
      <w:r>
        <w:t xml:space="preserve">for both EELS and EDX </w:t>
      </w:r>
      <w:r w:rsidR="008A7D70">
        <w:t xml:space="preserve">because of </w:t>
      </w:r>
      <w:r w:rsidR="006A7FA3">
        <w:t xml:space="preserve">the </w:t>
      </w:r>
      <w:r w:rsidR="008A7D70">
        <w:t>overlapping features of these two peaks.</w:t>
      </w:r>
      <w:r w:rsidR="00781C4C">
        <w:t xml:space="preserve"> The same phenomena </w:t>
      </w:r>
      <w:r w:rsidR="00B97E5C">
        <w:t>is responsible of the apparent</w:t>
      </w:r>
      <w:r w:rsidR="006A7FA3">
        <w:t xml:space="preserve"> presence</w:t>
      </w:r>
      <w:r w:rsidR="00B97E5C">
        <w:t xml:space="preserve"> of</w:t>
      </w:r>
      <w:r w:rsidR="00781C4C">
        <w:t xml:space="preserve"> Ta within the Hf-rich layer.</w:t>
      </w:r>
      <w:r w:rsidR="00FD3E2B" w:rsidRPr="00FD3E2B">
        <w:t xml:space="preserve"> </w:t>
      </w:r>
      <w:r w:rsidR="00FD3E2B">
        <w:t>The relevant integration ranges of the characteristic EDX and EELS used to generate Fig</w:t>
      </w:r>
      <w:r w:rsidR="00DE4C56">
        <w:t>ure</w:t>
      </w:r>
      <w:r w:rsidR="00FD3E2B">
        <w:t>s S1c and S1d profiles are reported in Table S1.</w:t>
      </w:r>
    </w:p>
    <w:p w14:paraId="73CD2128" w14:textId="77777777" w:rsidR="00AE1C90" w:rsidRDefault="00AE1C90"/>
    <w:p w14:paraId="6A76431A" w14:textId="4977DF8E" w:rsidR="00D10022" w:rsidRDefault="00D10022" w:rsidP="00D10022">
      <w:pPr>
        <w:pStyle w:val="Caption"/>
        <w:keepNext/>
      </w:pPr>
      <w:r>
        <w:t>Table S</w:t>
      </w:r>
      <w:r>
        <w:fldChar w:fldCharType="begin"/>
      </w:r>
      <w:r>
        <w:instrText xml:space="preserve"> SEQ Table \* ARABIC </w:instrText>
      </w:r>
      <w:r>
        <w:fldChar w:fldCharType="separate"/>
      </w:r>
      <w:r w:rsidR="00807A00">
        <w:rPr>
          <w:noProof/>
        </w:rPr>
        <w:t>1</w:t>
      </w:r>
      <w:r>
        <w:fldChar w:fldCharType="end"/>
      </w:r>
      <w:r>
        <w:t xml:space="preserve">. </w:t>
      </w:r>
      <w:r w:rsidR="00FD3E2B">
        <w:t>Background-subtracted i</w:t>
      </w:r>
      <w:r>
        <w:t>ntegration range</w:t>
      </w:r>
      <w:r w:rsidR="00B97E5C">
        <w:t>s</w:t>
      </w:r>
      <w:r>
        <w:t xml:space="preserve"> used to generate the EDX and EELS </w:t>
      </w:r>
      <w:r w:rsidR="00BE5874">
        <w:t>profiles</w:t>
      </w:r>
      <w:r>
        <w:t xml:space="preserve"> in Figs. S1c) and S1d).</w:t>
      </w:r>
    </w:p>
    <w:tbl>
      <w:tblPr>
        <w:tblStyle w:val="GridTable5Dark-Accent3"/>
        <w:tblW w:w="0" w:type="auto"/>
        <w:tblLook w:val="04A0" w:firstRow="1" w:lastRow="0" w:firstColumn="1" w:lastColumn="0" w:noHBand="0" w:noVBand="1"/>
      </w:tblPr>
      <w:tblGrid>
        <w:gridCol w:w="1041"/>
        <w:gridCol w:w="2914"/>
        <w:gridCol w:w="2430"/>
      </w:tblGrid>
      <w:tr w:rsidR="00D10022" w:rsidRPr="00BF0723" w14:paraId="2AF991BF" w14:textId="77777777" w:rsidTr="00AE1C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vAlign w:val="center"/>
          </w:tcPr>
          <w:p w14:paraId="2B51C352" w14:textId="1FC9A7AA" w:rsidR="00D10022" w:rsidRPr="009C3D67" w:rsidRDefault="00D10022" w:rsidP="00AE1C90">
            <w:pPr>
              <w:jc w:val="left"/>
              <w:rPr>
                <w:sz w:val="22"/>
              </w:rPr>
            </w:pPr>
            <w:r w:rsidRPr="009C3D67">
              <w:rPr>
                <w:sz w:val="22"/>
              </w:rPr>
              <w:t>Element</w:t>
            </w:r>
          </w:p>
        </w:tc>
        <w:tc>
          <w:tcPr>
            <w:tcW w:w="2914" w:type="dxa"/>
            <w:vAlign w:val="center"/>
          </w:tcPr>
          <w:p w14:paraId="7ABEED4A" w14:textId="19CC5DE9" w:rsidR="00D10022" w:rsidRPr="009C3D67" w:rsidRDefault="00AE1C90" w:rsidP="00AE1C90">
            <w:pPr>
              <w:jc w:val="center"/>
              <w:cnfStyle w:val="100000000000" w:firstRow="1" w:lastRow="0" w:firstColumn="0" w:lastColumn="0" w:oddVBand="0" w:evenVBand="0" w:oddHBand="0" w:evenHBand="0" w:firstRowFirstColumn="0" w:firstRowLastColumn="0" w:lastRowFirstColumn="0" w:lastRowLastColumn="0"/>
              <w:rPr>
                <w:sz w:val="22"/>
              </w:rPr>
            </w:pPr>
            <w:r w:rsidRPr="009C3D67">
              <w:rPr>
                <w:sz w:val="22"/>
              </w:rPr>
              <w:t>EDX</w:t>
            </w:r>
          </w:p>
        </w:tc>
        <w:tc>
          <w:tcPr>
            <w:tcW w:w="2430" w:type="dxa"/>
            <w:vAlign w:val="center"/>
          </w:tcPr>
          <w:p w14:paraId="09A21B2F" w14:textId="32A66545" w:rsidR="00D10022" w:rsidRPr="009C3D67" w:rsidRDefault="00AE1C90" w:rsidP="00AE1C90">
            <w:pPr>
              <w:jc w:val="center"/>
              <w:cnfStyle w:val="100000000000" w:firstRow="1" w:lastRow="0" w:firstColumn="0" w:lastColumn="0" w:oddVBand="0" w:evenVBand="0" w:oddHBand="0" w:evenHBand="0" w:firstRowFirstColumn="0" w:firstRowLastColumn="0" w:lastRowFirstColumn="0" w:lastRowLastColumn="0"/>
              <w:rPr>
                <w:b w:val="0"/>
                <w:sz w:val="22"/>
              </w:rPr>
            </w:pPr>
            <w:r w:rsidRPr="009C3D67">
              <w:rPr>
                <w:sz w:val="22"/>
              </w:rPr>
              <w:t>EELS</w:t>
            </w:r>
          </w:p>
        </w:tc>
      </w:tr>
      <w:tr w:rsidR="00D10022" w:rsidRPr="00BF0723" w14:paraId="05ADB874" w14:textId="77777777" w:rsidTr="00AE1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vAlign w:val="center"/>
          </w:tcPr>
          <w:p w14:paraId="6FDF8D8B" w14:textId="4D1E091D" w:rsidR="00D10022" w:rsidRPr="009C3D67" w:rsidRDefault="00D10022" w:rsidP="00AE1C90">
            <w:pPr>
              <w:jc w:val="left"/>
              <w:rPr>
                <w:sz w:val="22"/>
              </w:rPr>
            </w:pPr>
            <w:r w:rsidRPr="009C3D67">
              <w:rPr>
                <w:sz w:val="22"/>
              </w:rPr>
              <w:t>Al</w:t>
            </w:r>
          </w:p>
        </w:tc>
        <w:tc>
          <w:tcPr>
            <w:tcW w:w="2914" w:type="dxa"/>
            <w:vAlign w:val="center"/>
          </w:tcPr>
          <w:p w14:paraId="6E460EF9" w14:textId="0E4B533F" w:rsidR="00D10022" w:rsidRPr="009C3D67" w:rsidRDefault="009C3D67" w:rsidP="00AE1C90">
            <w:pPr>
              <w:jc w:val="left"/>
              <w:cnfStyle w:val="000000100000" w:firstRow="0" w:lastRow="0" w:firstColumn="0" w:lastColumn="0" w:oddVBand="0" w:evenVBand="0" w:oddHBand="1"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K</m:t>
                  </m:r>
                </m:e>
                <m:sub>
                  <m:r>
                    <m:rPr>
                      <m:sty m:val="p"/>
                    </m:rPr>
                    <w:rPr>
                      <w:rFonts w:ascii="Cambria Math" w:hAnsi="Cambria Math"/>
                      <w:sz w:val="22"/>
                    </w:rPr>
                    <m:t>α+β</m:t>
                  </m:r>
                </m:sub>
              </m:sSub>
            </m:oMath>
            <w:r w:rsidR="00D10022" w:rsidRPr="009C3D67">
              <w:rPr>
                <w:sz w:val="22"/>
              </w:rPr>
              <w:t>: 1450-1550 eV</w:t>
            </w:r>
          </w:p>
        </w:tc>
        <w:tc>
          <w:tcPr>
            <w:tcW w:w="2430" w:type="dxa"/>
            <w:vAlign w:val="center"/>
          </w:tcPr>
          <w:p w14:paraId="30A1D5CD" w14:textId="3630E384" w:rsidR="00D10022" w:rsidRPr="009C3D67" w:rsidRDefault="00D10022" w:rsidP="00AE1C90">
            <w:pPr>
              <w:jc w:val="left"/>
              <w:cnfStyle w:val="000000100000" w:firstRow="0" w:lastRow="0" w:firstColumn="0" w:lastColumn="0" w:oddVBand="0" w:evenVBand="0" w:oddHBand="1" w:evenHBand="0" w:firstRowFirstColumn="0" w:firstRowLastColumn="0" w:lastRowFirstColumn="0" w:lastRowLastColumn="0"/>
              <w:rPr>
                <w:sz w:val="22"/>
              </w:rPr>
            </w:pPr>
            <m:oMath>
              <m:r>
                <m:rPr>
                  <m:sty m:val="p"/>
                </m:rPr>
                <w:rPr>
                  <w:rFonts w:ascii="Cambria Math" w:hAnsi="Cambria Math"/>
                  <w:sz w:val="22"/>
                </w:rPr>
                <m:t>K</m:t>
              </m:r>
            </m:oMath>
            <w:r w:rsidRPr="009C3D67">
              <w:rPr>
                <w:sz w:val="22"/>
              </w:rPr>
              <w:t xml:space="preserve"> : 1571.0-1611.0 eV</w:t>
            </w:r>
          </w:p>
        </w:tc>
      </w:tr>
      <w:tr w:rsidR="00D10022" w:rsidRPr="00BF0723" w14:paraId="02AEF9B6" w14:textId="77777777" w:rsidTr="00AE1C90">
        <w:tc>
          <w:tcPr>
            <w:cnfStyle w:val="001000000000" w:firstRow="0" w:lastRow="0" w:firstColumn="1" w:lastColumn="0" w:oddVBand="0" w:evenVBand="0" w:oddHBand="0" w:evenHBand="0" w:firstRowFirstColumn="0" w:firstRowLastColumn="0" w:lastRowFirstColumn="0" w:lastRowLastColumn="0"/>
            <w:tcW w:w="1041" w:type="dxa"/>
            <w:vAlign w:val="center"/>
          </w:tcPr>
          <w:p w14:paraId="57AFE209" w14:textId="75D31D09" w:rsidR="00D10022" w:rsidRPr="009C3D67" w:rsidRDefault="00D10022" w:rsidP="00AE1C90">
            <w:pPr>
              <w:jc w:val="left"/>
              <w:rPr>
                <w:sz w:val="22"/>
              </w:rPr>
            </w:pPr>
            <w:r w:rsidRPr="009C3D67">
              <w:rPr>
                <w:sz w:val="22"/>
              </w:rPr>
              <w:t>Si</w:t>
            </w:r>
          </w:p>
        </w:tc>
        <w:tc>
          <w:tcPr>
            <w:tcW w:w="2914" w:type="dxa"/>
            <w:vAlign w:val="center"/>
          </w:tcPr>
          <w:p w14:paraId="117F6756" w14:textId="49599F91" w:rsidR="00D10022" w:rsidRPr="009C3D67" w:rsidRDefault="009C3D67" w:rsidP="00AE1C90">
            <w:pPr>
              <w:jc w:val="left"/>
              <w:cnfStyle w:val="000000000000" w:firstRow="0" w:lastRow="0" w:firstColumn="0" w:lastColumn="0" w:oddVBand="0" w:evenVBand="0" w:oddHBand="0"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K</m:t>
                  </m:r>
                </m:e>
                <m:sub>
                  <m:r>
                    <m:rPr>
                      <m:sty m:val="p"/>
                    </m:rPr>
                    <w:rPr>
                      <w:rFonts w:ascii="Cambria Math" w:hAnsi="Cambria Math"/>
                      <w:sz w:val="22"/>
                    </w:rPr>
                    <m:t>α+β</m:t>
                  </m:r>
                </m:sub>
              </m:sSub>
            </m:oMath>
            <w:r w:rsidR="00D10022" w:rsidRPr="009C3D67">
              <w:rPr>
                <w:sz w:val="22"/>
              </w:rPr>
              <w:t>: 1590-1905 eV</w:t>
            </w:r>
          </w:p>
        </w:tc>
        <w:tc>
          <w:tcPr>
            <w:tcW w:w="2430" w:type="dxa"/>
            <w:vAlign w:val="center"/>
          </w:tcPr>
          <w:p w14:paraId="66DE8997" w14:textId="68BD0334" w:rsidR="00D10022" w:rsidRPr="009C3D67" w:rsidRDefault="00D10022" w:rsidP="00AE1C90">
            <w:pPr>
              <w:jc w:val="left"/>
              <w:cnfStyle w:val="000000000000" w:firstRow="0" w:lastRow="0" w:firstColumn="0" w:lastColumn="0" w:oddVBand="0" w:evenVBand="0" w:oddHBand="0" w:evenHBand="0" w:firstRowFirstColumn="0" w:firstRowLastColumn="0" w:lastRowFirstColumn="0" w:lastRowLastColumn="0"/>
              <w:rPr>
                <w:sz w:val="22"/>
              </w:rPr>
            </w:pPr>
            <m:oMath>
              <m:r>
                <m:rPr>
                  <m:sty m:val="p"/>
                </m:rPr>
                <w:rPr>
                  <w:rFonts w:ascii="Cambria Math" w:hAnsi="Cambria Math"/>
                  <w:sz w:val="22"/>
                </w:rPr>
                <m:t>K</m:t>
              </m:r>
            </m:oMath>
            <w:r w:rsidRPr="009C3D67">
              <w:rPr>
                <w:sz w:val="22"/>
              </w:rPr>
              <w:t xml:space="preserve"> : 1853.0-1880.5 eV</w:t>
            </w:r>
          </w:p>
        </w:tc>
      </w:tr>
      <w:tr w:rsidR="00D10022" w:rsidRPr="00BF0723" w14:paraId="2511C322" w14:textId="77777777" w:rsidTr="00AE1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vAlign w:val="center"/>
          </w:tcPr>
          <w:p w14:paraId="76725DAC" w14:textId="0A979311" w:rsidR="00D10022" w:rsidRPr="009C3D67" w:rsidRDefault="00D10022" w:rsidP="00AE1C90">
            <w:pPr>
              <w:jc w:val="left"/>
              <w:rPr>
                <w:sz w:val="22"/>
              </w:rPr>
            </w:pPr>
            <w:proofErr w:type="spellStart"/>
            <w:r w:rsidRPr="009C3D67">
              <w:rPr>
                <w:sz w:val="22"/>
              </w:rPr>
              <w:t>Ti</w:t>
            </w:r>
            <w:proofErr w:type="spellEnd"/>
          </w:p>
        </w:tc>
        <w:tc>
          <w:tcPr>
            <w:tcW w:w="2914" w:type="dxa"/>
            <w:vAlign w:val="center"/>
          </w:tcPr>
          <w:p w14:paraId="1C80978E" w14:textId="006723C0" w:rsidR="00D10022" w:rsidRPr="009C3D67" w:rsidRDefault="009C3D67" w:rsidP="00AE1C90">
            <w:pPr>
              <w:jc w:val="left"/>
              <w:cnfStyle w:val="000000100000" w:firstRow="0" w:lastRow="0" w:firstColumn="0" w:lastColumn="0" w:oddVBand="0" w:evenVBand="0" w:oddHBand="1"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K</m:t>
                  </m:r>
                </m:e>
                <m:sub>
                  <m:r>
                    <m:rPr>
                      <m:sty m:val="p"/>
                    </m:rPr>
                    <w:rPr>
                      <w:rFonts w:ascii="Cambria Math" w:hAnsi="Cambria Math"/>
                      <w:sz w:val="22"/>
                    </w:rPr>
                    <m:t>α+β</m:t>
                  </m:r>
                </m:sub>
              </m:sSub>
            </m:oMath>
            <w:r w:rsidR="00D10022" w:rsidRPr="009C3D67">
              <w:rPr>
                <w:sz w:val="22"/>
              </w:rPr>
              <w:t>: 4345-5115 eV</w:t>
            </w:r>
          </w:p>
        </w:tc>
        <w:tc>
          <w:tcPr>
            <w:tcW w:w="2430" w:type="dxa"/>
            <w:vAlign w:val="center"/>
          </w:tcPr>
          <w:p w14:paraId="000BBC96" w14:textId="318E2401" w:rsidR="00D10022" w:rsidRPr="009C3D67" w:rsidRDefault="00D10022" w:rsidP="00AE1C90">
            <w:pPr>
              <w:jc w:val="left"/>
              <w:cnfStyle w:val="000000100000" w:firstRow="0" w:lastRow="0" w:firstColumn="0" w:lastColumn="0" w:oddVBand="0" w:evenVBand="0" w:oddHBand="1" w:evenHBand="0" w:firstRowFirstColumn="0" w:firstRowLastColumn="0" w:lastRowFirstColumn="0" w:lastRowLastColumn="0"/>
              <w:rPr>
                <w:sz w:val="22"/>
              </w:rPr>
            </w:pPr>
            <w:r w:rsidRPr="009C3D67">
              <w:rPr>
                <w:sz w:val="22"/>
              </w:rPr>
              <w:t>N/A</w:t>
            </w:r>
          </w:p>
        </w:tc>
      </w:tr>
      <w:tr w:rsidR="00D10022" w:rsidRPr="00BF0723" w14:paraId="2B6C43BE" w14:textId="77777777" w:rsidTr="00AE1C90">
        <w:tc>
          <w:tcPr>
            <w:cnfStyle w:val="001000000000" w:firstRow="0" w:lastRow="0" w:firstColumn="1" w:lastColumn="0" w:oddVBand="0" w:evenVBand="0" w:oddHBand="0" w:evenHBand="0" w:firstRowFirstColumn="0" w:firstRowLastColumn="0" w:lastRowFirstColumn="0" w:lastRowLastColumn="0"/>
            <w:tcW w:w="1041" w:type="dxa"/>
            <w:vAlign w:val="center"/>
          </w:tcPr>
          <w:p w14:paraId="5ADAAF62" w14:textId="57EBCC09" w:rsidR="00D10022" w:rsidRPr="009C3D67" w:rsidRDefault="00D10022" w:rsidP="00AE1C90">
            <w:pPr>
              <w:jc w:val="left"/>
              <w:rPr>
                <w:sz w:val="22"/>
              </w:rPr>
            </w:pPr>
            <w:r w:rsidRPr="009C3D67">
              <w:rPr>
                <w:sz w:val="22"/>
              </w:rPr>
              <w:t>Hf</w:t>
            </w:r>
          </w:p>
        </w:tc>
        <w:tc>
          <w:tcPr>
            <w:tcW w:w="2914" w:type="dxa"/>
            <w:vAlign w:val="center"/>
          </w:tcPr>
          <w:p w14:paraId="0BFF5136" w14:textId="306BEC26" w:rsidR="00D10022" w:rsidRPr="009C3D67" w:rsidRDefault="009C3D67" w:rsidP="00AE1C90">
            <w:pPr>
              <w:jc w:val="left"/>
              <w:cnfStyle w:val="000000000000" w:firstRow="0" w:lastRow="0" w:firstColumn="0" w:lastColumn="0" w:oddVBand="0" w:evenVBand="0" w:oddHBand="0"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α</m:t>
                  </m:r>
                </m:sub>
              </m:sSub>
            </m:oMath>
            <w:r w:rsidR="00D10022" w:rsidRPr="009C3D67">
              <w:rPr>
                <w:sz w:val="22"/>
              </w:rPr>
              <w:t>: 7850-7950 eV</w:t>
            </w:r>
            <w:r w:rsidR="00AE1C90" w:rsidRPr="009C3D67">
              <w:rPr>
                <w:sz w:val="22"/>
              </w:rPr>
              <w:t xml:space="preserve"> and</w:t>
            </w:r>
          </w:p>
          <w:p w14:paraId="12872A01" w14:textId="5471A8EC" w:rsidR="00D10022" w:rsidRPr="009C3D67" w:rsidRDefault="009C3D67" w:rsidP="00AE1C90">
            <w:pPr>
              <w:jc w:val="left"/>
              <w:cnfStyle w:val="000000000000" w:firstRow="0" w:lastRow="0" w:firstColumn="0" w:lastColumn="0" w:oddVBand="0" w:evenVBand="0" w:oddHBand="0"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β</m:t>
                  </m:r>
                </m:sub>
              </m:sSub>
            </m:oMath>
            <w:r w:rsidR="00D10022" w:rsidRPr="009C3D67">
              <w:rPr>
                <w:sz w:val="22"/>
              </w:rPr>
              <w:t>: 8855-9115 eV</w:t>
            </w:r>
          </w:p>
        </w:tc>
        <w:tc>
          <w:tcPr>
            <w:tcW w:w="2430" w:type="dxa"/>
            <w:vAlign w:val="center"/>
          </w:tcPr>
          <w:p w14:paraId="07012CCF" w14:textId="63FA3505" w:rsidR="00D10022" w:rsidRPr="009C3D67" w:rsidRDefault="00D10022" w:rsidP="00AE1C90">
            <w:pPr>
              <w:jc w:val="left"/>
              <w:cnfStyle w:val="000000000000" w:firstRow="0" w:lastRow="0" w:firstColumn="0" w:lastColumn="0" w:oddVBand="0" w:evenVBand="0" w:oddHBand="0" w:evenHBand="0" w:firstRowFirstColumn="0" w:firstRowLastColumn="0" w:lastRowFirstColumn="0" w:lastRowLastColumn="0"/>
              <w:rPr>
                <w:sz w:val="22"/>
              </w:rPr>
            </w:pPr>
            <m:oMath>
              <m:r>
                <m:rPr>
                  <m:sty m:val="p"/>
                </m:rPr>
                <w:rPr>
                  <w:rFonts w:ascii="Cambria Math" w:hAnsi="Cambria Math"/>
                  <w:sz w:val="22"/>
                </w:rPr>
                <m:t>M</m:t>
              </m:r>
            </m:oMath>
            <w:r w:rsidRPr="009C3D67">
              <w:rPr>
                <w:sz w:val="22"/>
              </w:rPr>
              <w:t xml:space="preserve"> :1696.5-1736.5 eV</w:t>
            </w:r>
          </w:p>
        </w:tc>
      </w:tr>
      <w:tr w:rsidR="00D10022" w:rsidRPr="00BF0723" w14:paraId="078B15AF" w14:textId="77777777" w:rsidTr="00AE1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vAlign w:val="center"/>
          </w:tcPr>
          <w:p w14:paraId="6B4E1682" w14:textId="6048EACC" w:rsidR="00D10022" w:rsidRPr="009C3D67" w:rsidRDefault="00D10022" w:rsidP="00AE1C90">
            <w:pPr>
              <w:jc w:val="left"/>
              <w:rPr>
                <w:sz w:val="22"/>
              </w:rPr>
            </w:pPr>
            <w:r w:rsidRPr="009C3D67">
              <w:rPr>
                <w:sz w:val="22"/>
              </w:rPr>
              <w:t>Ta</w:t>
            </w:r>
          </w:p>
        </w:tc>
        <w:tc>
          <w:tcPr>
            <w:tcW w:w="2914" w:type="dxa"/>
            <w:vAlign w:val="center"/>
          </w:tcPr>
          <w:p w14:paraId="68646CD3" w14:textId="7EA2165C" w:rsidR="00D10022" w:rsidRPr="009C3D67" w:rsidRDefault="009C3D67" w:rsidP="00AE1C90">
            <w:pPr>
              <w:jc w:val="left"/>
              <w:cnfStyle w:val="000000100000" w:firstRow="0" w:lastRow="0" w:firstColumn="0" w:lastColumn="0" w:oddVBand="0" w:evenVBand="0" w:oddHBand="1"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α</m:t>
                  </m:r>
                </m:sub>
              </m:sSub>
            </m:oMath>
            <w:r w:rsidR="00D10022" w:rsidRPr="009C3D67">
              <w:rPr>
                <w:sz w:val="22"/>
              </w:rPr>
              <w:t>: 8060-8120 eV</w:t>
            </w:r>
            <w:r w:rsidR="00AE1C90" w:rsidRPr="009C3D67">
              <w:rPr>
                <w:sz w:val="22"/>
              </w:rPr>
              <w:t xml:space="preserve"> and</w:t>
            </w:r>
          </w:p>
          <w:p w14:paraId="2DC25F94" w14:textId="5B987FB8" w:rsidR="00D10022" w:rsidRPr="009C3D67" w:rsidRDefault="009C3D67" w:rsidP="00AE1C90">
            <w:pPr>
              <w:jc w:val="left"/>
              <w:cnfStyle w:val="000000100000" w:firstRow="0" w:lastRow="0" w:firstColumn="0" w:lastColumn="0" w:oddVBand="0" w:evenVBand="0" w:oddHBand="1"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β</m:t>
                  </m:r>
                </m:sub>
              </m:sSub>
            </m:oMath>
            <w:r w:rsidR="00D10022" w:rsidRPr="009C3D67">
              <w:rPr>
                <w:sz w:val="22"/>
              </w:rPr>
              <w:t>: 9255-9435 eV</w:t>
            </w:r>
          </w:p>
        </w:tc>
        <w:tc>
          <w:tcPr>
            <w:tcW w:w="2430" w:type="dxa"/>
            <w:vAlign w:val="center"/>
          </w:tcPr>
          <w:p w14:paraId="795F25B3" w14:textId="68D50757" w:rsidR="00D10022" w:rsidRPr="009C3D67" w:rsidRDefault="00D10022" w:rsidP="00AE1C90">
            <w:pPr>
              <w:jc w:val="left"/>
              <w:cnfStyle w:val="000000100000" w:firstRow="0" w:lastRow="0" w:firstColumn="0" w:lastColumn="0" w:oddVBand="0" w:evenVBand="0" w:oddHBand="1" w:evenHBand="0" w:firstRowFirstColumn="0" w:firstRowLastColumn="0" w:lastRowFirstColumn="0" w:lastRowLastColumn="0"/>
              <w:rPr>
                <w:sz w:val="22"/>
              </w:rPr>
            </w:pPr>
            <m:oMath>
              <m:r>
                <m:rPr>
                  <m:sty m:val="p"/>
                </m:rPr>
                <w:rPr>
                  <w:rFonts w:ascii="Cambria Math" w:hAnsi="Cambria Math"/>
                  <w:sz w:val="22"/>
                </w:rPr>
                <m:t>M</m:t>
              </m:r>
            </m:oMath>
            <w:r w:rsidRPr="009C3D67">
              <w:rPr>
                <w:sz w:val="22"/>
              </w:rPr>
              <w:t xml:space="preserve"> :1768.0-1808.0 eV</w:t>
            </w:r>
          </w:p>
        </w:tc>
      </w:tr>
      <w:tr w:rsidR="00D10022" w:rsidRPr="00BF0723" w14:paraId="11B44FE6" w14:textId="77777777" w:rsidTr="00AE1C90">
        <w:tc>
          <w:tcPr>
            <w:cnfStyle w:val="001000000000" w:firstRow="0" w:lastRow="0" w:firstColumn="1" w:lastColumn="0" w:oddVBand="0" w:evenVBand="0" w:oddHBand="0" w:evenHBand="0" w:firstRowFirstColumn="0" w:firstRowLastColumn="0" w:lastRowFirstColumn="0" w:lastRowLastColumn="0"/>
            <w:tcW w:w="1041" w:type="dxa"/>
            <w:vAlign w:val="center"/>
          </w:tcPr>
          <w:p w14:paraId="6F4DB141" w14:textId="4D69EC6B" w:rsidR="00D10022" w:rsidRPr="009C3D67" w:rsidRDefault="00D10022" w:rsidP="00AE1C90">
            <w:pPr>
              <w:jc w:val="left"/>
              <w:rPr>
                <w:sz w:val="22"/>
              </w:rPr>
            </w:pPr>
            <w:r w:rsidRPr="009C3D67">
              <w:rPr>
                <w:sz w:val="22"/>
              </w:rPr>
              <w:t>W</w:t>
            </w:r>
          </w:p>
        </w:tc>
        <w:tc>
          <w:tcPr>
            <w:tcW w:w="2914" w:type="dxa"/>
            <w:vAlign w:val="center"/>
          </w:tcPr>
          <w:p w14:paraId="6888F8C3" w14:textId="2B40D39D" w:rsidR="00D10022" w:rsidRPr="009C3D67" w:rsidRDefault="009C3D67" w:rsidP="00AE1C90">
            <w:pPr>
              <w:jc w:val="left"/>
              <w:cnfStyle w:val="000000000000" w:firstRow="0" w:lastRow="0" w:firstColumn="0" w:lastColumn="0" w:oddVBand="0" w:evenVBand="0" w:oddHBand="0"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α</m:t>
                  </m:r>
                </m:sub>
              </m:sSub>
            </m:oMath>
            <w:r w:rsidR="00D10022" w:rsidRPr="009C3D67">
              <w:rPr>
                <w:sz w:val="22"/>
              </w:rPr>
              <w:t>: 9565-9765 eV</w:t>
            </w:r>
            <w:r w:rsidR="00AE1C90" w:rsidRPr="009C3D67">
              <w:rPr>
                <w:sz w:val="22"/>
              </w:rPr>
              <w:t>,</w:t>
            </w:r>
          </w:p>
          <w:p w14:paraId="7C851CFA" w14:textId="796F82F8" w:rsidR="00D10022" w:rsidRPr="009C3D67" w:rsidRDefault="009C3D67" w:rsidP="00AE1C90">
            <w:pPr>
              <w:jc w:val="left"/>
              <w:cnfStyle w:val="000000000000" w:firstRow="0" w:lastRow="0" w:firstColumn="0" w:lastColumn="0" w:oddVBand="0" w:evenVBand="0" w:oddHBand="0"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β</m:t>
                  </m:r>
                </m:sub>
              </m:sSub>
            </m:oMath>
            <w:r w:rsidR="00D10022" w:rsidRPr="009C3D67">
              <w:rPr>
                <w:sz w:val="22"/>
              </w:rPr>
              <w:t>: 9605-9785 eV</w:t>
            </w:r>
            <w:r w:rsidR="00AE1C90" w:rsidRPr="009C3D67">
              <w:rPr>
                <w:sz w:val="22"/>
              </w:rPr>
              <w:t xml:space="preserve"> and</w:t>
            </w:r>
          </w:p>
          <w:p w14:paraId="1295FDDB" w14:textId="389696DA" w:rsidR="00D10022" w:rsidRPr="009C3D67" w:rsidRDefault="009C3D67" w:rsidP="00AE1C90">
            <w:pPr>
              <w:jc w:val="left"/>
              <w:cnfStyle w:val="000000000000" w:firstRow="0" w:lastRow="0" w:firstColumn="0" w:lastColumn="0" w:oddVBand="0" w:evenVBand="0" w:oddHBand="0" w:evenHBand="0" w:firstRowFirstColumn="0" w:firstRowLastColumn="0" w:lastRowFirstColumn="0" w:lastRowLastColumn="0"/>
              <w:rPr>
                <w:sz w:val="22"/>
              </w:rPr>
            </w:pPr>
            <m:oMath>
              <m:sSub>
                <m:sSubPr>
                  <m:ctrlPr>
                    <w:rPr>
                      <w:rFonts w:ascii="Cambria Math" w:hAnsi="Cambria Math"/>
                      <w:i/>
                      <w:sz w:val="22"/>
                    </w:rPr>
                  </m:ctrlPr>
                </m:sSubPr>
                <m:e>
                  <m:r>
                    <m:rPr>
                      <m:sty m:val="p"/>
                    </m:rPr>
                    <w:rPr>
                      <w:rFonts w:ascii="Cambria Math" w:hAnsi="Cambria Math"/>
                      <w:sz w:val="22"/>
                    </w:rPr>
                    <m:t>L</m:t>
                  </m:r>
                </m:e>
                <m:sub>
                  <m:r>
                    <m:rPr>
                      <m:sty m:val="p"/>
                    </m:rPr>
                    <w:rPr>
                      <w:rFonts w:ascii="Cambria Math" w:hAnsi="Cambria Math"/>
                      <w:sz w:val="22"/>
                    </w:rPr>
                    <m:t>γ</m:t>
                  </m:r>
                </m:sub>
              </m:sSub>
            </m:oMath>
            <w:r w:rsidR="00D10022" w:rsidRPr="009C3D67">
              <w:rPr>
                <w:sz w:val="22"/>
              </w:rPr>
              <w:t>: 11125-11385 eV</w:t>
            </w:r>
          </w:p>
        </w:tc>
        <w:tc>
          <w:tcPr>
            <w:tcW w:w="2430" w:type="dxa"/>
            <w:vAlign w:val="center"/>
          </w:tcPr>
          <w:p w14:paraId="54FE88A1" w14:textId="4F877DBB" w:rsidR="00D10022" w:rsidRPr="009C3D67" w:rsidRDefault="00D10022" w:rsidP="00AE1C90">
            <w:pPr>
              <w:jc w:val="left"/>
              <w:cnfStyle w:val="000000000000" w:firstRow="0" w:lastRow="0" w:firstColumn="0" w:lastColumn="0" w:oddVBand="0" w:evenVBand="0" w:oddHBand="0" w:evenHBand="0" w:firstRowFirstColumn="0" w:firstRowLastColumn="0" w:lastRowFirstColumn="0" w:lastRowLastColumn="0"/>
              <w:rPr>
                <w:sz w:val="22"/>
              </w:rPr>
            </w:pPr>
            <m:oMath>
              <m:r>
                <m:rPr>
                  <m:sty m:val="p"/>
                </m:rPr>
                <w:rPr>
                  <w:rFonts w:ascii="Cambria Math" w:hAnsi="Cambria Math"/>
                  <w:sz w:val="22"/>
                </w:rPr>
                <m:t>M</m:t>
              </m:r>
            </m:oMath>
            <w:r w:rsidRPr="009C3D67">
              <w:rPr>
                <w:sz w:val="22"/>
              </w:rPr>
              <w:t xml:space="preserve"> :1867.5-1907.5 eV</w:t>
            </w:r>
          </w:p>
        </w:tc>
      </w:tr>
    </w:tbl>
    <w:p w14:paraId="3BECF6DD" w14:textId="77777777" w:rsidR="000A3BF0" w:rsidRDefault="000A3BF0" w:rsidP="000A3BF0">
      <w:pPr>
        <w:pStyle w:val="SI"/>
        <w:numPr>
          <w:ilvl w:val="0"/>
          <w:numId w:val="0"/>
        </w:numPr>
        <w:ind w:left="360"/>
      </w:pPr>
    </w:p>
    <w:p w14:paraId="550F2901" w14:textId="77777777" w:rsidR="000A3BF0" w:rsidRDefault="000A3BF0">
      <w:pPr>
        <w:widowControl/>
        <w:spacing w:after="160" w:line="259" w:lineRule="auto"/>
        <w:jc w:val="left"/>
        <w:rPr>
          <w:b/>
          <w:color w:val="000000" w:themeColor="text1"/>
          <w:sz w:val="28"/>
        </w:rPr>
      </w:pPr>
      <w:r>
        <w:br w:type="page"/>
      </w:r>
    </w:p>
    <w:p w14:paraId="5419EA85" w14:textId="0CC74E2F" w:rsidR="00981319" w:rsidRDefault="00981319" w:rsidP="00FB6EB4">
      <w:pPr>
        <w:pStyle w:val="SI"/>
      </w:pPr>
      <w:r>
        <w:lastRenderedPageBreak/>
        <w:t>Linear least-square fitting</w:t>
      </w:r>
    </w:p>
    <w:p w14:paraId="16A34B68" w14:textId="244B9028" w:rsidR="00F42ACB" w:rsidRDefault="005B2CAA" w:rsidP="00402448">
      <w:r>
        <w:t xml:space="preserve">EDX and </w:t>
      </w:r>
      <w:r w:rsidR="0074532E">
        <w:t>EELS i</w:t>
      </w:r>
      <w:r w:rsidR="00402448">
        <w:t xml:space="preserve">nternal references </w:t>
      </w:r>
      <w:r w:rsidR="0074532E">
        <w:t xml:space="preserve">were generated from the sum of three neighboring pixels </w:t>
      </w:r>
      <w:r w:rsidR="00402448">
        <w:t xml:space="preserve">from </w:t>
      </w:r>
      <w:r w:rsidR="00C41C51">
        <w:t>each of the seven distinct regions of the Ivy Bridge Tri-Gate</w:t>
      </w:r>
      <w:r w:rsidR="00402448">
        <w:t xml:space="preserve">. Each EDX and EELS spectrum was </w:t>
      </w:r>
      <w:r w:rsidR="0074532E">
        <w:t xml:space="preserve">then </w:t>
      </w:r>
      <w:r w:rsidR="00402448">
        <w:t xml:space="preserve">linearly fit </w:t>
      </w:r>
      <w:r w:rsidR="00B97E5C">
        <w:t xml:space="preserve">to the references </w:t>
      </w:r>
      <w:r w:rsidR="00402448">
        <w:t>to extract a coefficient</w:t>
      </w:r>
      <w:r w:rsidR="00B97E5C">
        <w:t xml:space="preserve">. The coefficients were </w:t>
      </w:r>
      <w:r>
        <w:t xml:space="preserve">normalized </w:t>
      </w:r>
      <w:r w:rsidR="00B97E5C">
        <w:t xml:space="preserve">to unity </w:t>
      </w:r>
      <w:r>
        <w:t xml:space="preserve">and </w:t>
      </w:r>
      <w:r w:rsidR="00C41C51">
        <w:t>plotted against the position</w:t>
      </w:r>
      <w:r w:rsidR="0074532E">
        <w:t xml:space="preserve"> to generate </w:t>
      </w:r>
      <w:r w:rsidR="006A7FA3">
        <w:t>profiles of</w:t>
      </w:r>
      <w:r w:rsidR="00B97E5C">
        <w:t xml:space="preserve"> abundance </w:t>
      </w:r>
      <w:r w:rsidR="0074532E">
        <w:t>(Fig</w:t>
      </w:r>
      <w:r w:rsidR="00353AA9">
        <w:t>ure</w:t>
      </w:r>
      <w:r w:rsidR="0074532E">
        <w:t xml:space="preserve"> S2)</w:t>
      </w:r>
      <w:r w:rsidR="00C41C51">
        <w:t>.</w:t>
      </w:r>
    </w:p>
    <w:p w14:paraId="29F150AB" w14:textId="51909517" w:rsidR="00F42ACB" w:rsidRDefault="00D824E6" w:rsidP="00F42ACB">
      <w:pPr>
        <w:keepNext/>
      </w:pPr>
      <w:r w:rsidRPr="00D824E6">
        <w:rPr>
          <w:noProof/>
          <w:lang w:val="fr-CA" w:eastAsia="fr-CA"/>
        </w:rPr>
        <w:drawing>
          <wp:inline distT="0" distB="0" distL="0" distR="0" wp14:anchorId="45A908AE" wp14:editId="1F8DFE21">
            <wp:extent cx="5394449" cy="26572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7149" cy="2658589"/>
                    </a:xfrm>
                    <a:prstGeom prst="rect">
                      <a:avLst/>
                    </a:prstGeom>
                    <a:noFill/>
                    <a:ln>
                      <a:noFill/>
                    </a:ln>
                  </pic:spPr>
                </pic:pic>
              </a:graphicData>
            </a:graphic>
          </wp:inline>
        </w:drawing>
      </w:r>
    </w:p>
    <w:p w14:paraId="29B06ED6" w14:textId="1B820718" w:rsidR="00F42ACB" w:rsidRDefault="00F42ACB" w:rsidP="00F42ACB">
      <w:pPr>
        <w:pStyle w:val="Caption"/>
      </w:pPr>
      <w:r>
        <w:t>Figure S</w:t>
      </w:r>
      <w:r>
        <w:fldChar w:fldCharType="begin"/>
      </w:r>
      <w:r>
        <w:instrText xml:space="preserve"> SEQ Figure \* ARABIC </w:instrText>
      </w:r>
      <w:r>
        <w:fldChar w:fldCharType="separate"/>
      </w:r>
      <w:r w:rsidR="00807A00">
        <w:rPr>
          <w:noProof/>
        </w:rPr>
        <w:t>2</w:t>
      </w:r>
      <w:r>
        <w:fldChar w:fldCharType="end"/>
      </w:r>
      <w:r>
        <w:t xml:space="preserve">. Linear least square </w:t>
      </w:r>
      <w:r w:rsidR="003368FA">
        <w:t xml:space="preserve">(LSQ) </w:t>
      </w:r>
      <w:r>
        <w:t xml:space="preserve">fit of </w:t>
      </w:r>
      <w:r w:rsidR="00B4727E">
        <w:t>(a) EDX and (b) EELS dataset with the corresponding chi square statistic (bottom panel).</w:t>
      </w:r>
      <w:r>
        <w:t xml:space="preserve"> </w:t>
      </w:r>
    </w:p>
    <w:p w14:paraId="48638AE8" w14:textId="3671922F" w:rsidR="00402448" w:rsidRDefault="00402448" w:rsidP="00402448"/>
    <w:p w14:paraId="3E01EB78" w14:textId="776D92E2" w:rsidR="005B2CAA" w:rsidRDefault="003F4833" w:rsidP="00402448">
      <w:r>
        <w:t xml:space="preserve">The EDX </w:t>
      </w:r>
      <w:r w:rsidR="006A7FA3">
        <w:t>profiles are</w:t>
      </w:r>
      <w:r>
        <w:t xml:space="preserve"> noisier than the EELS because of its</w:t>
      </w:r>
      <w:r w:rsidR="006A7FA3">
        <w:t xml:space="preserve"> lower SNR</w:t>
      </w:r>
      <w:r w:rsidR="005B2CAA">
        <w:t xml:space="preserve">. Both signals contain regions of negative relative </w:t>
      </w:r>
      <w:r w:rsidR="006A7FA3">
        <w:t>abundance</w:t>
      </w:r>
      <w:r w:rsidR="005B2CAA">
        <w:t xml:space="preserve"> and exceed unity in others. The regions from which the internal references were extracted correspond to the low</w:t>
      </w:r>
      <w:r w:rsidR="000A3BF0">
        <w:t>er</w:t>
      </w:r>
      <w:r w:rsidR="005B2CAA">
        <w:t xml:space="preserve"> </w:t>
      </w:r>
      <m:oMath>
        <m:sSup>
          <m:sSupPr>
            <m:ctrlPr>
              <w:rPr>
                <w:rFonts w:ascii="Cambria Math" w:hAnsi="Cambria Math"/>
                <w:i/>
              </w:rPr>
            </m:ctrlPr>
          </m:sSupPr>
          <m:e>
            <m:r>
              <w:rPr>
                <w:rFonts w:ascii="Cambria Math" w:hAnsi="Cambria Math"/>
              </w:rPr>
              <m:t>χ</m:t>
            </m:r>
          </m:e>
          <m:sup>
            <m:r>
              <w:rPr>
                <w:rFonts w:ascii="Cambria Math" w:hAnsi="Cambria Math"/>
              </w:rPr>
              <m:t>2</m:t>
            </m:r>
          </m:sup>
        </m:sSup>
      </m:oMath>
      <w:r w:rsidR="005B2CAA">
        <w:t xml:space="preserve"> ridges</w:t>
      </w:r>
      <w:r w:rsidR="000A3BF0">
        <w:t>,</w:t>
      </w:r>
      <w:r w:rsidR="005B2CAA">
        <w:t xml:space="preserve"> in Fi</w:t>
      </w:r>
      <w:r w:rsidR="00C33436">
        <w:t>gure</w:t>
      </w:r>
      <w:r w:rsidR="005B2CAA">
        <w:t xml:space="preserve"> S2b. Here, the resulting </w:t>
      </w:r>
      <w:r w:rsidR="000A3BF0">
        <w:t>profiles</w:t>
      </w:r>
      <w:r w:rsidR="005B2CAA">
        <w:t xml:space="preserve"> appear acceptable but require t</w:t>
      </w:r>
      <w:r w:rsidR="000A3BF0">
        <w:t>hat high quality spectra of end</w:t>
      </w:r>
      <w:r w:rsidR="005B2CAA">
        <w:t>members exist and are identified</w:t>
      </w:r>
      <w:r>
        <w:t xml:space="preserve"> within the dataset or acquired in identical conditions</w:t>
      </w:r>
      <w:r w:rsidR="005B2CAA">
        <w:t>.</w:t>
      </w:r>
      <w:r>
        <w:t xml:space="preserve"> LSQ fails to identify other independent species in the dataset but can be suspected in presence of a higher value </w:t>
      </w:r>
      <w:r w:rsidR="001747D8">
        <w:t>of</w:t>
      </w:r>
      <w:r w:rsidR="000A3BF0">
        <w:t xml:space="preserve"> the</w:t>
      </w:r>
      <w:r w:rsidR="001747D8">
        <w:t xml:space="preserve"> </w:t>
      </w:r>
      <m:oMath>
        <m:sSup>
          <m:sSupPr>
            <m:ctrlPr>
              <w:rPr>
                <w:rFonts w:ascii="Cambria Math" w:hAnsi="Cambria Math"/>
                <w:i/>
              </w:rPr>
            </m:ctrlPr>
          </m:sSupPr>
          <m:e>
            <m:r>
              <w:rPr>
                <w:rFonts w:ascii="Cambria Math" w:hAnsi="Cambria Math"/>
              </w:rPr>
              <m:t>χ</m:t>
            </m:r>
          </m:e>
          <m:sup>
            <m:r>
              <w:rPr>
                <w:rFonts w:ascii="Cambria Math" w:hAnsi="Cambria Math"/>
              </w:rPr>
              <m:t>2</m:t>
            </m:r>
          </m:sup>
        </m:sSup>
      </m:oMath>
      <w:r w:rsidR="001747D8">
        <w:t xml:space="preserve">, or goodness-of-fit, which indicates that the references were not </w:t>
      </w:r>
      <w:proofErr w:type="gramStart"/>
      <w:r w:rsidR="001747D8">
        <w:t>sufficient</w:t>
      </w:r>
      <w:proofErr w:type="gramEnd"/>
      <w:r w:rsidR="001747D8">
        <w:t xml:space="preserve"> to explain the data</w:t>
      </w:r>
      <w:r>
        <w:t>.</w:t>
      </w:r>
    </w:p>
    <w:p w14:paraId="5CF99DB4" w14:textId="77777777" w:rsidR="003368FA" w:rsidRDefault="003368FA" w:rsidP="00402448"/>
    <w:p w14:paraId="4CF32151" w14:textId="77777777" w:rsidR="000A3BF0" w:rsidRDefault="000A3BF0">
      <w:pPr>
        <w:widowControl/>
        <w:spacing w:after="160" w:line="259" w:lineRule="auto"/>
        <w:jc w:val="left"/>
        <w:rPr>
          <w:b/>
          <w:color w:val="000000" w:themeColor="text1"/>
          <w:sz w:val="28"/>
        </w:rPr>
      </w:pPr>
      <w:r>
        <w:br w:type="page"/>
      </w:r>
    </w:p>
    <w:p w14:paraId="09F62C75" w14:textId="1880F588" w:rsidR="00241408" w:rsidRDefault="00241408" w:rsidP="00241408">
      <w:pPr>
        <w:pStyle w:val="SI"/>
      </w:pPr>
      <w:r>
        <w:lastRenderedPageBreak/>
        <w:t xml:space="preserve"> Profile and spectra</w:t>
      </w:r>
      <w:r w:rsidR="008F478E">
        <w:t xml:space="preserve"> e</w:t>
      </w:r>
      <w:r>
        <w:t xml:space="preserve">nvelope </w:t>
      </w:r>
      <w:r w:rsidR="008F478E">
        <w:t>computation</w:t>
      </w:r>
    </w:p>
    <w:p w14:paraId="734EA9F6" w14:textId="03DDE19D" w:rsidR="003E73F2" w:rsidRDefault="003E73F2" w:rsidP="00B02373">
      <w:pPr>
        <w:autoSpaceDE w:val="0"/>
        <w:autoSpaceDN w:val="0"/>
        <w:adjustRightInd w:val="0"/>
        <w:spacing w:after="0"/>
        <w:rPr>
          <w:lang w:val="en-CA"/>
        </w:rPr>
      </w:pPr>
      <w:r>
        <w:rPr>
          <w:lang w:val="en-CA"/>
        </w:rPr>
        <w:t>T</w:t>
      </w:r>
      <w:r w:rsidR="00C34A55">
        <w:rPr>
          <w:lang w:val="en-CA"/>
        </w:rPr>
        <w:t>he error envelopes were</w:t>
      </w:r>
      <w:r w:rsidR="004C1530">
        <w:rPr>
          <w:lang w:val="en-CA"/>
        </w:rPr>
        <w:t xml:space="preserve"> created using a resampling procedure </w:t>
      </w:r>
      <w:r w:rsidRPr="00023961">
        <w:rPr>
          <w:lang w:val="en-CA"/>
        </w:rPr>
        <w:t xml:space="preserve">in which MCR-LLM models were run on random subsets of the data. </w:t>
      </w:r>
      <w:r>
        <w:rPr>
          <w:lang w:val="en-CA"/>
        </w:rPr>
        <w:t xml:space="preserve">We followed a standard procedure in the field of multivariate statistics in order to create confidence intervals on the spectra to illustrate the accuracy of the procedure. </w:t>
      </w:r>
      <w:r w:rsidRPr="00023961">
        <w:rPr>
          <w:lang w:val="en-CA"/>
        </w:rPr>
        <w:t xml:space="preserve">Typical results are presented </w:t>
      </w:r>
      <w:r w:rsidR="00FB24A6">
        <w:rPr>
          <w:lang w:val="en-CA"/>
        </w:rPr>
        <w:t>in Figure S</w:t>
      </w:r>
      <w:r w:rsidR="00D3485B">
        <w:rPr>
          <w:lang w:val="en-CA"/>
        </w:rPr>
        <w:t>3</w:t>
      </w:r>
      <w:r w:rsidRPr="00023961">
        <w:rPr>
          <w:lang w:val="en-CA"/>
        </w:rPr>
        <w:t xml:space="preserve"> in which 70 of the 100 pixels were used in each </w:t>
      </w:r>
      <w:r>
        <w:rPr>
          <w:lang w:val="en-CA"/>
        </w:rPr>
        <w:t xml:space="preserve">subset </w:t>
      </w:r>
      <w:r w:rsidRPr="00023961">
        <w:rPr>
          <w:lang w:val="en-CA"/>
        </w:rPr>
        <w:t xml:space="preserve">MCR-LLM analysis (100 </w:t>
      </w:r>
      <w:r>
        <w:rPr>
          <w:lang w:val="en-CA"/>
        </w:rPr>
        <w:t>subsets</w:t>
      </w:r>
      <w:r w:rsidRPr="00023961">
        <w:rPr>
          <w:lang w:val="en-CA"/>
        </w:rPr>
        <w:t xml:space="preserve"> were </w:t>
      </w:r>
      <w:r>
        <w:rPr>
          <w:lang w:val="en-CA"/>
        </w:rPr>
        <w:t>computed in all</w:t>
      </w:r>
      <w:r w:rsidRPr="00023961">
        <w:rPr>
          <w:lang w:val="en-CA"/>
        </w:rPr>
        <w:t xml:space="preserve">). Figure </w:t>
      </w:r>
      <w:r w:rsidR="00FB24A6">
        <w:rPr>
          <w:lang w:val="en-CA"/>
        </w:rPr>
        <w:t>S4</w:t>
      </w:r>
      <w:r w:rsidRPr="00023961">
        <w:rPr>
          <w:lang w:val="en-CA"/>
        </w:rPr>
        <w:t xml:space="preserve"> illustrates the 100 raw pixels </w:t>
      </w:r>
      <w:r w:rsidR="0022342A">
        <w:rPr>
          <w:lang w:val="en-CA"/>
        </w:rPr>
        <w:t>(</w:t>
      </w:r>
      <w:r w:rsidR="005D08B0">
        <w:rPr>
          <w:lang w:val="en-CA"/>
        </w:rPr>
        <w:t xml:space="preserve">grey disks) </w:t>
      </w:r>
      <w:r w:rsidRPr="00023961">
        <w:rPr>
          <w:lang w:val="en-CA"/>
        </w:rPr>
        <w:t xml:space="preserve">alongside the full MCR-LLM (7 </w:t>
      </w:r>
      <w:r w:rsidR="00FB24A6">
        <w:rPr>
          <w:lang w:val="en-CA"/>
        </w:rPr>
        <w:t>black</w:t>
      </w:r>
      <w:r w:rsidRPr="00023961">
        <w:rPr>
          <w:lang w:val="en-CA"/>
        </w:rPr>
        <w:t xml:space="preserve"> </w:t>
      </w:r>
      <w:r>
        <w:rPr>
          <w:lang w:val="en-CA"/>
        </w:rPr>
        <w:t>crosses</w:t>
      </w:r>
      <w:r w:rsidRPr="00023961">
        <w:rPr>
          <w:lang w:val="en-CA"/>
        </w:rPr>
        <w:t>) and the 100 MCR-LLM subset analyses (</w:t>
      </w:r>
      <w:r w:rsidR="00DC3B6C">
        <w:rPr>
          <w:lang w:val="en-CA"/>
        </w:rPr>
        <w:t xml:space="preserve">700 spectra: </w:t>
      </w:r>
      <w:r w:rsidRPr="00023961">
        <w:rPr>
          <w:lang w:val="en-CA"/>
        </w:rPr>
        <w:t xml:space="preserve">100 analyses </w:t>
      </w:r>
      <w:r>
        <w:rPr>
          <w:lang w:val="en-CA"/>
        </w:rPr>
        <w:t>x</w:t>
      </w:r>
      <w:r w:rsidRPr="00023961">
        <w:rPr>
          <w:lang w:val="en-CA"/>
        </w:rPr>
        <w:t xml:space="preserve"> 7 components). The</w:t>
      </w:r>
      <w:r w:rsidR="008D47A1">
        <w:rPr>
          <w:lang w:val="en-CA"/>
        </w:rPr>
        <w:t>se</w:t>
      </w:r>
      <w:r w:rsidRPr="00023961">
        <w:rPr>
          <w:lang w:val="en-CA"/>
        </w:rPr>
        <w:t xml:space="preserve"> </w:t>
      </w:r>
      <w:r w:rsidR="008D47A1">
        <w:rPr>
          <w:lang w:val="en-CA"/>
        </w:rPr>
        <w:t xml:space="preserve">were clustered </w:t>
      </w:r>
      <w:r w:rsidR="00D17CFE">
        <w:rPr>
          <w:lang w:val="en-CA"/>
        </w:rPr>
        <w:t xml:space="preserve">using k-means </w:t>
      </w:r>
      <w:r w:rsidR="008D47A1">
        <w:rPr>
          <w:lang w:val="en-CA"/>
        </w:rPr>
        <w:t>in</w:t>
      </w:r>
      <w:r w:rsidR="00D17CFE">
        <w:rPr>
          <w:lang w:val="en-CA"/>
        </w:rPr>
        <w:t>to</w:t>
      </w:r>
      <w:r w:rsidR="008D47A1">
        <w:rPr>
          <w:lang w:val="en-CA"/>
        </w:rPr>
        <w:t xml:space="preserve"> 7 </w:t>
      </w:r>
      <w:r w:rsidR="008D0395">
        <w:rPr>
          <w:lang w:val="en-CA"/>
        </w:rPr>
        <w:t>phases. Outlying spectra within e</w:t>
      </w:r>
      <w:bookmarkStart w:id="0" w:name="_GoBack"/>
      <w:bookmarkEnd w:id="0"/>
      <w:r w:rsidR="008D0395">
        <w:rPr>
          <w:lang w:val="en-CA"/>
        </w:rPr>
        <w:t xml:space="preserve">ach of these </w:t>
      </w:r>
      <w:r w:rsidR="00DF2978">
        <w:rPr>
          <w:lang w:val="en-CA"/>
        </w:rPr>
        <w:t>cluster</w:t>
      </w:r>
      <w:r w:rsidR="00F37754">
        <w:rPr>
          <w:lang w:val="en-CA"/>
        </w:rPr>
        <w:t>s</w:t>
      </w:r>
      <w:r w:rsidR="001951C4">
        <w:rPr>
          <w:lang w:val="en-CA"/>
        </w:rPr>
        <w:t xml:space="preserve"> </w:t>
      </w:r>
      <w:r w:rsidR="008D0395">
        <w:rPr>
          <w:lang w:val="en-CA"/>
        </w:rPr>
        <w:t xml:space="preserve">were removed </w:t>
      </w:r>
      <w:r w:rsidR="00C17420">
        <w:rPr>
          <w:lang w:val="en-CA"/>
        </w:rPr>
        <w:t xml:space="preserve">and </w:t>
      </w:r>
      <w:r w:rsidR="00F37754">
        <w:rPr>
          <w:lang w:val="en-CA"/>
        </w:rPr>
        <w:t xml:space="preserve">are shown </w:t>
      </w:r>
      <w:r w:rsidR="00C17420">
        <w:rPr>
          <w:lang w:val="en-CA"/>
        </w:rPr>
        <w:t>with a color code consistent with Figure 2.</w:t>
      </w:r>
      <w:r w:rsidR="00D80971">
        <w:rPr>
          <w:lang w:val="en-CA"/>
        </w:rPr>
        <w:t xml:space="preserve"> </w:t>
      </w:r>
      <w:r w:rsidR="001951C4" w:rsidRPr="001951C4">
        <w:rPr>
          <w:lang w:val="en-CA"/>
        </w:rPr>
        <w:t>We defined outlying spectra as any spectra falling outside the 95% confidence intervals following the standard procedure</w:t>
      </w:r>
      <w:r w:rsidR="00015CCE" w:rsidRPr="009C3D67">
        <w:rPr>
          <w:vertAlign w:val="superscript"/>
          <w:lang w:val="en-CA"/>
        </w:rPr>
        <w:t>S</w:t>
      </w:r>
      <w:r w:rsidR="00A815A7">
        <w:rPr>
          <w:lang w:val="en-CA"/>
        </w:rPr>
        <w:fldChar w:fldCharType="begin" w:fldLock="1"/>
      </w:r>
      <w:r w:rsidR="00B02373">
        <w:rPr>
          <w:lang w:val="en-CA"/>
        </w:rPr>
        <w:instrText>ADDIN CSL_CITATION {"citationItems":[{"id":"ITEM-1","itemData":{"DOI":"10.1080/00224065.2015.11918137","author":[{"dropping-particle":"De","family":"Ketelaere","given":"Bart","non-dropping-particle":"","parse-names":false,"suffix":""},{"dropping-particle":"","family":"Hubert","given":"Mia","non-dropping-particle":"","parse-names":false,"suffix":""},{"dropping-particle":"","family":"Schmitt","given":"Eric","non-dropping-particle":"","parse-names":false,"suffix":""}],"container-title":"Journal of Quality Technology","id":"ITEM-1","issue":"4","issued":{"date-parts":[["2015"]]},"page":"318-335","publisher":"Taylor &amp; Francis","title":"Overview of PCA-Based Statistical Process-Monitoring Methods for Time-Dependent, High-Dimensional Data","type":"article-journal","volume":"47"},"uris":["http://www.mendeley.com/documents/?uuid=cc5c424b-84b9-4e91-8597-65252ff72530"]}],"mendeley":{"formattedCitation":"&lt;sup&gt;1&lt;/sup&gt;","plainTextFormattedCitation":"1","previouslyFormattedCitation":"&lt;sup&gt;1&lt;/sup&gt;"},"properties":{"noteIndex":0},"schema":"https://github.com/citation-style-language/schema/raw/master/csl-citation.json"}</w:instrText>
      </w:r>
      <w:r w:rsidR="00A815A7">
        <w:rPr>
          <w:lang w:val="en-CA"/>
        </w:rPr>
        <w:fldChar w:fldCharType="separate"/>
      </w:r>
      <w:r w:rsidR="00A815A7" w:rsidRPr="00A815A7">
        <w:rPr>
          <w:noProof/>
          <w:vertAlign w:val="superscript"/>
          <w:lang w:val="en-CA"/>
        </w:rPr>
        <w:t>1</w:t>
      </w:r>
      <w:r w:rsidR="00A815A7">
        <w:rPr>
          <w:lang w:val="en-CA"/>
        </w:rPr>
        <w:fldChar w:fldCharType="end"/>
      </w:r>
      <w:r w:rsidR="001951C4" w:rsidRPr="001951C4">
        <w:rPr>
          <w:lang w:val="en-CA"/>
        </w:rPr>
        <w:t>: we applied Hotelling’s T</w:t>
      </w:r>
      <w:r w:rsidR="001951C4" w:rsidRPr="009C3D67">
        <w:rPr>
          <w:vertAlign w:val="superscript"/>
          <w:lang w:val="en-CA"/>
        </w:rPr>
        <w:t>2</w:t>
      </w:r>
      <w:r w:rsidR="001951C4" w:rsidRPr="001951C4">
        <w:rPr>
          <w:lang w:val="en-CA"/>
        </w:rPr>
        <w:t xml:space="preserve"> distance within the PCA subspace and the squared prediction error orthogonal to the PCA subspace. Two principal components were chosen for all PCA analyses based on the estimated effective rank to exclude the component associated to noise</w:t>
      </w:r>
      <w:r w:rsidR="00B146C7" w:rsidRPr="00B146C7">
        <w:rPr>
          <w:lang w:val="en-CA"/>
        </w:rPr>
        <w:t>.</w:t>
      </w:r>
    </w:p>
    <w:p w14:paraId="02D0CF1D" w14:textId="77777777" w:rsidR="00637467" w:rsidRPr="00B02373" w:rsidRDefault="00637467" w:rsidP="009C3D67">
      <w:pPr>
        <w:autoSpaceDE w:val="0"/>
        <w:autoSpaceDN w:val="0"/>
        <w:adjustRightInd w:val="0"/>
        <w:spacing w:after="0"/>
        <w:rPr>
          <w:rFonts w:ascii="Times New Roman" w:hAnsi="Times New Roman"/>
          <w:szCs w:val="24"/>
        </w:rPr>
      </w:pPr>
    </w:p>
    <w:p w14:paraId="011FA3B0" w14:textId="34D4A34E" w:rsidR="00483F99" w:rsidRDefault="00637467" w:rsidP="009C3D67">
      <w:pPr>
        <w:keepNext/>
        <w:jc w:val="center"/>
      </w:pPr>
      <w:r w:rsidRPr="00637467">
        <w:drawing>
          <wp:inline distT="0" distB="0" distL="0" distR="0" wp14:anchorId="6D338B54" wp14:editId="55D3E16C">
            <wp:extent cx="4994384" cy="34158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2052" cy="3421046"/>
                    </a:xfrm>
                    <a:prstGeom prst="rect">
                      <a:avLst/>
                    </a:prstGeom>
                    <a:noFill/>
                    <a:ln>
                      <a:noFill/>
                    </a:ln>
                  </pic:spPr>
                </pic:pic>
              </a:graphicData>
            </a:graphic>
          </wp:inline>
        </w:drawing>
      </w:r>
    </w:p>
    <w:p w14:paraId="053CD64E" w14:textId="574D0559" w:rsidR="00241408" w:rsidRDefault="00483F99" w:rsidP="009C3D67">
      <w:pPr>
        <w:pStyle w:val="Caption"/>
        <w:jc w:val="left"/>
      </w:pPr>
      <w:r>
        <w:t>Figure S</w:t>
      </w:r>
      <w:r>
        <w:fldChar w:fldCharType="begin"/>
      </w:r>
      <w:r>
        <w:instrText xml:space="preserve"> SEQ Figure \* ARABIC </w:instrText>
      </w:r>
      <w:r>
        <w:fldChar w:fldCharType="separate"/>
      </w:r>
      <w:r w:rsidR="00807A00">
        <w:rPr>
          <w:noProof/>
        </w:rPr>
        <w:t>3</w:t>
      </w:r>
      <w:r>
        <w:fldChar w:fldCharType="end"/>
      </w:r>
      <w:r>
        <w:t>. Score plot</w:t>
      </w:r>
      <w:r w:rsidR="00B00D3B">
        <w:t xml:space="preserve"> of the</w:t>
      </w:r>
      <w:r w:rsidR="009F67B7">
        <w:t xml:space="preserve"> complete EELS dataset (grey disks). Color dots represent the resampled data that were used to estimate the error envelopes of Fig. 2b</w:t>
      </w:r>
      <w:r w:rsidR="00F16B3B">
        <w:t>. See Section S4 for details</w:t>
      </w:r>
      <w:r w:rsidR="009F67B7">
        <w:t xml:space="preserve">. </w:t>
      </w:r>
    </w:p>
    <w:p w14:paraId="544A65A9" w14:textId="77777777" w:rsidR="00241408" w:rsidRDefault="00241408">
      <w:pPr>
        <w:widowControl/>
        <w:spacing w:after="160" w:line="259" w:lineRule="auto"/>
        <w:jc w:val="left"/>
        <w:rPr>
          <w:b/>
          <w:color w:val="000000" w:themeColor="text1"/>
          <w:sz w:val="28"/>
        </w:rPr>
      </w:pPr>
    </w:p>
    <w:p w14:paraId="2A20A63A" w14:textId="77777777" w:rsidR="00796C18" w:rsidRDefault="00637467" w:rsidP="00796C18">
      <w:pPr>
        <w:pStyle w:val="SI"/>
      </w:pPr>
      <w:r>
        <w:br w:type="page"/>
      </w:r>
      <w:r w:rsidR="00796C18">
        <w:lastRenderedPageBreak/>
        <w:t>Poisson nature of the dataset</w:t>
      </w:r>
    </w:p>
    <w:p w14:paraId="4195C79A" w14:textId="78C9A152" w:rsidR="00796C18" w:rsidRDefault="00796C18" w:rsidP="00796C18">
      <w:r>
        <w:t>The Poisson nature of the dataset can be demonstrated by plotting the variance against the mean of a uniform subset of the data (Fig</w:t>
      </w:r>
      <w:r w:rsidR="00D3485B">
        <w:t>ure</w:t>
      </w:r>
      <w:r>
        <w:t xml:space="preserve"> S</w:t>
      </w:r>
      <w:r w:rsidR="00D3485B">
        <w:t>4</w:t>
      </w:r>
      <w:r>
        <w:t>). If the variance is equal to the mean, then the signal has a Poisson nature. The variance and the mean of the datasets were estimated using a moving average of a background subtracted signal. This strategy was adopted as no spectra acquired at differing doses over a uniform area were available. Therefore, the background was locally modeled over 41 channels using a 2</w:t>
      </w:r>
      <w:r w:rsidRPr="009C3D67">
        <w:rPr>
          <w:vertAlign w:val="superscript"/>
        </w:rPr>
        <w:t>nd</w:t>
      </w:r>
      <w:r>
        <w:t xml:space="preserve"> order polynomial fit. Then, the signal mean and variance of the background subtracted signal were both computed over the same 41 channels. While a modeling window of 41 pixels was used, the numerical value and overall strategy for subtracting the background was found to have little effect on the results. </w:t>
      </w:r>
    </w:p>
    <w:p w14:paraId="56ED5412" w14:textId="5BC548F6" w:rsidR="00796C18" w:rsidRDefault="00796C18" w:rsidP="00796C18">
      <w:r>
        <w:t xml:space="preserve">With a regression of 0.97, the distribution of the EDX dataset is Poisson. However, the variance of the EELS dataset is larger than the mean by a factor of ~1.63, which signals a departure from the Poisson distribution. As the EELS signal has a strong signal (6200 counts on average), its Poisson distribution approaches that of a Gaussian distribution. A departure for a strictly Poisson distribution at such </w:t>
      </w:r>
      <w:proofErr w:type="gramStart"/>
      <w:r>
        <w:t>a large number of</w:t>
      </w:r>
      <w:proofErr w:type="gramEnd"/>
      <w:r>
        <w:t xml:space="preserve"> counts is also expected to be Gaussian in nature and therefore should not invalidate the procedure.</w:t>
      </w:r>
    </w:p>
    <w:p w14:paraId="69BF214F" w14:textId="77777777" w:rsidR="00796C18" w:rsidRDefault="00796C18" w:rsidP="009C3D67">
      <w:pPr>
        <w:jc w:val="center"/>
      </w:pPr>
      <w:r w:rsidRPr="009F390E">
        <w:rPr>
          <w:noProof/>
        </w:rPr>
        <w:drawing>
          <wp:inline distT="0" distB="0" distL="0" distR="0" wp14:anchorId="63788152" wp14:editId="21062352">
            <wp:extent cx="4910667" cy="253571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11982" cy="2536395"/>
                    </a:xfrm>
                    <a:prstGeom prst="rect">
                      <a:avLst/>
                    </a:prstGeom>
                    <a:noFill/>
                    <a:ln>
                      <a:noFill/>
                    </a:ln>
                  </pic:spPr>
                </pic:pic>
              </a:graphicData>
            </a:graphic>
          </wp:inline>
        </w:drawing>
      </w:r>
    </w:p>
    <w:p w14:paraId="646DCDAE" w14:textId="2D5EFCFB" w:rsidR="00796C18" w:rsidRPr="005425B3" w:rsidRDefault="00796C18" w:rsidP="00796C18">
      <w:pPr>
        <w:pStyle w:val="Caption"/>
      </w:pPr>
      <w:r w:rsidRPr="005425B3">
        <w:t xml:space="preserve">Figure </w:t>
      </w:r>
      <w:r>
        <w:t>S</w:t>
      </w:r>
      <w:r w:rsidRPr="00EF7158">
        <w:fldChar w:fldCharType="begin"/>
      </w:r>
      <w:r w:rsidRPr="005425B3">
        <w:instrText xml:space="preserve"> SEQ Figure \* ARABIC </w:instrText>
      </w:r>
      <w:r w:rsidRPr="009C3D67">
        <w:fldChar w:fldCharType="separate"/>
      </w:r>
      <w:r w:rsidR="00807A00">
        <w:rPr>
          <w:noProof/>
        </w:rPr>
        <w:t>4</w:t>
      </w:r>
      <w:r w:rsidRPr="00EF7158">
        <w:fldChar w:fldCharType="end"/>
      </w:r>
      <w:r>
        <w:t>. Variance against the mean of the intensity compiled from a subset of the spectrum image of the a) EELS and b) EDX datasets with corresponding linear regression (red line). A 1:1 slope indicates a signal that has a perfect Poisson noise.</w:t>
      </w:r>
    </w:p>
    <w:p w14:paraId="29F8C1B7" w14:textId="0042DBC4" w:rsidR="00796C18" w:rsidRDefault="00796C18">
      <w:pPr>
        <w:widowControl/>
        <w:spacing w:after="160" w:line="259" w:lineRule="auto"/>
        <w:jc w:val="left"/>
      </w:pPr>
      <w:r>
        <w:br w:type="page"/>
      </w:r>
    </w:p>
    <w:p w14:paraId="3E0E55D5" w14:textId="5C89B52F" w:rsidR="00402448" w:rsidRDefault="00402448" w:rsidP="00402448">
      <w:pPr>
        <w:pStyle w:val="SI"/>
      </w:pPr>
      <w:r>
        <w:lastRenderedPageBreak/>
        <w:t>Independent component analysis (ICA)</w:t>
      </w:r>
    </w:p>
    <w:p w14:paraId="2815919E" w14:textId="025902AE" w:rsidR="000C582D" w:rsidRDefault="00B3640D" w:rsidP="005B2CAA">
      <w:r>
        <w:t xml:space="preserve">The data was processed using Independent component analysis (ICA). Here, </w:t>
      </w:r>
      <w:r w:rsidR="000C582D">
        <w:t>Fig</w:t>
      </w:r>
      <w:r w:rsidR="00C33436">
        <w:t>ure</w:t>
      </w:r>
      <w:r w:rsidR="000C582D">
        <w:t xml:space="preserve"> </w:t>
      </w:r>
      <w:r w:rsidR="00D3485B">
        <w:t>S</w:t>
      </w:r>
      <w:r w:rsidR="00D3485B">
        <w:t>5</w:t>
      </w:r>
      <w:r w:rsidR="00D3485B">
        <w:t xml:space="preserve"> </w:t>
      </w:r>
      <w:r w:rsidR="000C582D">
        <w:t xml:space="preserve">was generated using </w:t>
      </w:r>
      <w:r>
        <w:t xml:space="preserve">the FAST ICA algorithm imported from </w:t>
      </w:r>
      <w:proofErr w:type="spellStart"/>
      <w:r>
        <w:t>Scikit</w:t>
      </w:r>
      <w:proofErr w:type="spellEnd"/>
      <w:r>
        <w:t>-learn</w:t>
      </w:r>
      <w:r w:rsidR="000C582D">
        <w:t xml:space="preserve"> </w:t>
      </w:r>
      <w:r w:rsidR="003873DB" w:rsidRPr="003873DB">
        <w:rPr>
          <w:vertAlign w:val="superscript"/>
        </w:rPr>
        <w:t>S</w:t>
      </w:r>
      <w:r w:rsidR="003873DB">
        <w:fldChar w:fldCharType="begin" w:fldLock="1"/>
      </w:r>
      <w:r w:rsidR="00B02373">
        <w:instrText>ADDIN CSL_CITATION {"citationItems":[{"id":"ITEM-1","itemData":{"author":[{"dropping-particle":"","family":"Pedregosa","given":"F","non-dropping-particle":"","parse-names":false,"suffix":""},{"dropping-particle":"","family":"Varoquaux","given":"G","non-dropping-particle":"","parse-names":false,"suffix":""},{"dropping-particle":"","family":"Gramfort","given":"A","non-dropping-particle":"","parse-names":false,"suffix":""},{"dropping-particle":"","family":"Michel","given":"V","non-dropping-particle":"","parse-names":false,"suffix":""},{"dropping-particle":"","family":"Thirion","given":"B","non-dropping-particle":"","parse-names":false,"suffix":""},{"dropping-particle":"","family":"Grisel","given":"O","non-dropping-particle":"","parse-names":false,"suffix":""},{"dropping-particle":"","family":"Blondel","given":"M","non-dropping-particle":"","parse-names":false,"suffix":""},{"dropping-particle":"","family":"Prettenhofer","given":"P","non-dropping-particle":"","parse-names":false,"suffix":""},{"dropping-particle":"","family":"Weiss","given":"R","non-dropping-particle":"","parse-names":false,"suffix":""},{"dropping-particle":"","family":"Dubourg","given":"V","non-dropping-particle":"","parse-names":false,"suffix":""},{"dropping-particle":"","family":"Vanderplas","given":"J","non-dropping-particle":"","parse-names":false,"suffix":""},{"dropping-particle":"","family":"Passos","given":"A","non-dropping-particle":"","parse-names":false,"suffix":""},{"dropping-particle":"","family":"Cournapeau","given":"D","non-dropping-particle":"","parse-names":false,"suffix":""},{"dropping-particle":"","family":"Brucher","given":"M","non-dropping-particle":"","parse-names":false,"suffix":""},{"dropping-particle":"","family":"Perrot","given":"M","non-dropping-particle":"","parse-names":false,"suffix":""},{"dropping-particle":"","family":"Duchesnay","given":"E","non-dropping-particle":"","parse-names":false,"suffix":""}],"container-title":"Journal of Machine Learning Research","id":"ITEM-1","issued":{"date-parts":[["2011"]]},"page":"2825-2830","title":"Scikit-learn: Machine Learning in Python","type":"article-journal","volume":"12"},"uris":["http://www.mendeley.com/documents/?uuid=9c25f695-6569-4a6c-8dbf-fcbee505c7f0","http://www.mendeley.com/documents/?uuid=ba279410-90da-4292-9f43-5919420ef36e"]}],"mendeley":{"formattedCitation":"&lt;sup&gt;2&lt;/sup&gt;","plainTextFormattedCitation":"2","previouslyFormattedCitation":"&lt;sup&gt;2&lt;/sup&gt;"},"properties":{"noteIndex":0},"schema":"https://github.com/citation-style-language/schema/raw/master/csl-citation.json"}</w:instrText>
      </w:r>
      <w:r w:rsidR="003873DB">
        <w:fldChar w:fldCharType="separate"/>
      </w:r>
      <w:r w:rsidR="00A815A7" w:rsidRPr="00A815A7">
        <w:rPr>
          <w:noProof/>
          <w:vertAlign w:val="superscript"/>
        </w:rPr>
        <w:t>2</w:t>
      </w:r>
      <w:r w:rsidR="003873DB">
        <w:fldChar w:fldCharType="end"/>
      </w:r>
      <w:r w:rsidR="003873DB">
        <w:t xml:space="preserve"> </w:t>
      </w:r>
      <w:r w:rsidR="000C582D">
        <w:t>and processed using Python to generate a blind separation with 7 sources. The Si, W and Hf EELS spectra were successfully retrieved using FAST ICA but some r</w:t>
      </w:r>
      <w:r w:rsidR="000C582D" w:rsidRPr="005B2CAA">
        <w:t xml:space="preserve">otational ambiguity </w:t>
      </w:r>
      <w:r w:rsidR="000C582D">
        <w:t>persists with</w:t>
      </w:r>
      <w:r w:rsidR="000A3BF0">
        <w:t xml:space="preserve"> the</w:t>
      </w:r>
      <w:r w:rsidR="000C582D">
        <w:t xml:space="preserve"> </w:t>
      </w:r>
      <w:r w:rsidR="000C582D" w:rsidRPr="005B2CAA">
        <w:t>SiO</w:t>
      </w:r>
      <w:r w:rsidR="000C582D" w:rsidRPr="000C582D">
        <w:rPr>
          <w:vertAlign w:val="subscript"/>
        </w:rPr>
        <w:t>2</w:t>
      </w:r>
      <w:r w:rsidR="000C582D" w:rsidRPr="005B2CAA">
        <w:t xml:space="preserve">, Ta, </w:t>
      </w:r>
      <w:proofErr w:type="spellStart"/>
      <w:r w:rsidR="000C582D" w:rsidRPr="005B2CAA">
        <w:t>TiN</w:t>
      </w:r>
      <w:proofErr w:type="spellEnd"/>
      <w:r w:rsidR="000C582D" w:rsidRPr="005B2CAA">
        <w:t xml:space="preserve"> and </w:t>
      </w:r>
      <w:proofErr w:type="spellStart"/>
      <w:r w:rsidR="000C582D" w:rsidRPr="005B2CAA">
        <w:t>TiAl</w:t>
      </w:r>
      <w:proofErr w:type="spellEnd"/>
      <w:r w:rsidR="000C582D" w:rsidRPr="005B2CAA">
        <w:t xml:space="preserve"> components</w:t>
      </w:r>
      <w:r w:rsidR="000C582D">
        <w:t>. The abundance trace contains large regions of negative abundance</w:t>
      </w:r>
      <w:r w:rsidR="00974BEF">
        <w:t>s</w:t>
      </w:r>
      <w:r w:rsidR="000C582D">
        <w:t xml:space="preserve">, </w:t>
      </w:r>
      <w:r w:rsidR="00974BEF">
        <w:t>which arise because of</w:t>
      </w:r>
      <w:r w:rsidR="000C582D">
        <w:t xml:space="preserve"> the absence of constraints</w:t>
      </w:r>
      <w:r w:rsidR="00974BEF">
        <w:t xml:space="preserve"> during the iterations</w:t>
      </w:r>
      <w:r w:rsidR="000C582D">
        <w:t>.</w:t>
      </w:r>
      <w:r w:rsidR="00974BEF">
        <w:t xml:space="preserve"> Transforming the data using a radial basis, Hermite and Laplace functions prior to the data processing did not improve the quality of the analysis.</w:t>
      </w:r>
    </w:p>
    <w:p w14:paraId="1FCD1F6F" w14:textId="7340731C" w:rsidR="006D6874" w:rsidRDefault="00B164FE" w:rsidP="006D6874">
      <w:pPr>
        <w:keepNext/>
      </w:pPr>
      <w:r w:rsidRPr="00B164FE">
        <w:rPr>
          <w:noProof/>
          <w:lang w:val="fr-CA" w:eastAsia="fr-CA"/>
        </w:rPr>
        <w:drawing>
          <wp:inline distT="0" distB="0" distL="0" distR="0" wp14:anchorId="05090690" wp14:editId="67DC1D5C">
            <wp:extent cx="6400800" cy="3459212"/>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3459212"/>
                    </a:xfrm>
                    <a:prstGeom prst="rect">
                      <a:avLst/>
                    </a:prstGeom>
                    <a:noFill/>
                    <a:ln>
                      <a:noFill/>
                    </a:ln>
                  </pic:spPr>
                </pic:pic>
              </a:graphicData>
            </a:graphic>
          </wp:inline>
        </w:drawing>
      </w:r>
    </w:p>
    <w:p w14:paraId="0C8186EA" w14:textId="4D6CA0C8" w:rsidR="005B2CAA" w:rsidRDefault="006D6874" w:rsidP="006D6874">
      <w:pPr>
        <w:pStyle w:val="Caption"/>
      </w:pPr>
      <w:r>
        <w:t>Figure S</w:t>
      </w:r>
      <w:r>
        <w:fldChar w:fldCharType="begin"/>
      </w:r>
      <w:r>
        <w:instrText xml:space="preserve"> SEQ Figure \* ARABIC </w:instrText>
      </w:r>
      <w:r>
        <w:fldChar w:fldCharType="separate"/>
      </w:r>
      <w:r w:rsidR="00807A00">
        <w:rPr>
          <w:noProof/>
        </w:rPr>
        <w:t>5</w:t>
      </w:r>
      <w:r>
        <w:fldChar w:fldCharType="end"/>
      </w:r>
      <w:r w:rsidR="00B3640D">
        <w:t xml:space="preserve">. </w:t>
      </w:r>
      <w:r w:rsidR="000C582D">
        <w:t>(a) Abundance map and corresponding (b) EELS spectra retrieved using FAST ICA</w:t>
      </w:r>
      <w:r w:rsidR="0071053B">
        <w:t xml:space="preserve"> algorithm</w:t>
      </w:r>
      <w:r w:rsidR="000C582D">
        <w:t>.</w:t>
      </w:r>
    </w:p>
    <w:p w14:paraId="175D2DAA" w14:textId="77777777" w:rsidR="0071053B" w:rsidRPr="0071053B" w:rsidRDefault="0071053B" w:rsidP="0071053B"/>
    <w:p w14:paraId="5F948F6D" w14:textId="77777777" w:rsidR="000A3BF0" w:rsidRDefault="000A3BF0">
      <w:pPr>
        <w:widowControl/>
        <w:spacing w:after="160" w:line="259" w:lineRule="auto"/>
        <w:jc w:val="left"/>
        <w:rPr>
          <w:b/>
          <w:color w:val="000000" w:themeColor="text1"/>
          <w:sz w:val="28"/>
        </w:rPr>
      </w:pPr>
      <w:r>
        <w:br w:type="page"/>
      </w:r>
    </w:p>
    <w:p w14:paraId="52E043E6" w14:textId="6608182E" w:rsidR="00981319" w:rsidRDefault="006263A3" w:rsidP="00FB6EB4">
      <w:pPr>
        <w:pStyle w:val="SI"/>
      </w:pPr>
      <w:r>
        <w:lastRenderedPageBreak/>
        <w:t xml:space="preserve"> </w:t>
      </w:r>
      <w:r w:rsidR="00981319">
        <w:t>Non-negative matrix factorization (NMF)</w:t>
      </w:r>
    </w:p>
    <w:p w14:paraId="451D1958" w14:textId="43B90BBC" w:rsidR="0071053B" w:rsidRDefault="00974BEF" w:rsidP="0071053B">
      <w:r>
        <w:t xml:space="preserve">Non-negative matrix factorization </w:t>
      </w:r>
      <w:r w:rsidR="00CB74F1">
        <w:t>(NMF) was also used for the data analysis. Fig</w:t>
      </w:r>
      <w:r w:rsidR="00C7602A">
        <w:t>ure</w:t>
      </w:r>
      <w:r w:rsidR="00CB74F1">
        <w:t xml:space="preserve"> </w:t>
      </w:r>
      <w:r w:rsidR="00FE45BA">
        <w:t>S</w:t>
      </w:r>
      <w:r w:rsidR="00FE45BA">
        <w:t>6</w:t>
      </w:r>
      <w:r w:rsidR="00FE45BA">
        <w:t xml:space="preserve"> </w:t>
      </w:r>
      <w:r w:rsidR="00CB74F1">
        <w:t>shows the results of the NMF using the “Multiplicative Update Rule”</w:t>
      </w:r>
      <w:r w:rsidR="0071053B">
        <w:t xml:space="preserve"> (MUR)</w:t>
      </w:r>
      <w:r w:rsidR="00C7602A">
        <w:t xml:space="preserve"> </w:t>
      </w:r>
      <w:r w:rsidR="00C7602A" w:rsidRPr="00C7602A">
        <w:rPr>
          <w:vertAlign w:val="superscript"/>
        </w:rPr>
        <w:t>S</w:t>
      </w:r>
      <w:r w:rsidR="00C7602A">
        <w:fldChar w:fldCharType="begin" w:fldLock="1"/>
      </w:r>
      <w:r w:rsidR="00B02373">
        <w:instrText>ADDIN CSL_CITATION {"citationItems":[{"id":"ITEM-1","itemData":{"author":[{"dropping-particle":"","family":"Li","given":"Yifeng","non-dropping-particle":"","parse-names":false,"suffix":""},{"dropping-particle":"","family":"Ngom","given":"Alioune","non-dropping-particle":"","parse-names":false,"suffix":""}],"container-title":"Source Code for Biology and Medicine","id":"ITEM-1","issue":"10","issued":{"date-parts":[["2013"]]},"page":"1-15","title":"The non-negative matrix factorization toolbox for biological data mining","type":"article-journal","volume":"8"},"uris":["http://www.mendeley.com/documents/?uuid=e65369e5-ea16-4d94-8cfd-239d29e8d748","http://www.mendeley.com/documents/?uuid=7ce07d4c-3c95-45a9-a32f-0ba9e19e023f"]}],"mendeley":{"formattedCitation":"&lt;sup&gt;3&lt;/sup&gt;","plainTextFormattedCitation":"3","previouslyFormattedCitation":"&lt;sup&gt;3&lt;/sup&gt;"},"properties":{"noteIndex":0},"schema":"https://github.com/citation-style-language/schema/raw/master/csl-citation.json"}</w:instrText>
      </w:r>
      <w:r w:rsidR="00C7602A">
        <w:rPr>
          <w:vertAlign w:val="superscript"/>
        </w:rPr>
        <w:fldChar w:fldCharType="separate"/>
      </w:r>
      <w:r w:rsidR="00A815A7" w:rsidRPr="00A815A7">
        <w:rPr>
          <w:noProof/>
          <w:vertAlign w:val="superscript"/>
        </w:rPr>
        <w:t>3</w:t>
      </w:r>
      <w:r w:rsidR="00C7602A">
        <w:fldChar w:fldCharType="end"/>
      </w:r>
      <w:r w:rsidR="003873DB">
        <w:t xml:space="preserve"> </w:t>
      </w:r>
      <w:r w:rsidR="00CB74F1">
        <w:t xml:space="preserve">. </w:t>
      </w:r>
      <w:r w:rsidR="005267DD">
        <w:t xml:space="preserve">Different responses were obtained by re-running the script several times. Using this technique, </w:t>
      </w:r>
      <w:r w:rsidR="005267DD" w:rsidRPr="00A6012B">
        <w:t xml:space="preserve">Si, Hf, W, Ta </w:t>
      </w:r>
      <w:r w:rsidR="005267DD">
        <w:t xml:space="preserve">edges were </w:t>
      </w:r>
      <w:r w:rsidR="005267DD" w:rsidRPr="00A6012B">
        <w:t>isolated</w:t>
      </w:r>
      <w:r w:rsidR="005267DD">
        <w:t xml:space="preserve"> but without their respective </w:t>
      </w:r>
      <w:r w:rsidR="007B044E">
        <w:t xml:space="preserve">power law </w:t>
      </w:r>
      <w:r w:rsidR="005267DD">
        <w:t xml:space="preserve">background. </w:t>
      </w:r>
      <w:r w:rsidR="0071053B">
        <w:t xml:space="preserve">All the </w:t>
      </w:r>
      <w:r w:rsidR="005267DD">
        <w:t xml:space="preserve">abundance </w:t>
      </w:r>
      <w:r w:rsidR="0071053B">
        <w:t>traces are positive, thanks to the non-negative constraint but</w:t>
      </w:r>
      <w:r w:rsidR="005267DD">
        <w:t xml:space="preserve"> some confusion arise between the </w:t>
      </w:r>
      <w:proofErr w:type="spellStart"/>
      <w:r w:rsidR="005267DD">
        <w:t>TiAl</w:t>
      </w:r>
      <w:proofErr w:type="spellEnd"/>
      <w:r w:rsidR="005267DD">
        <w:t xml:space="preserve">, </w:t>
      </w:r>
      <w:proofErr w:type="spellStart"/>
      <w:r w:rsidR="005267DD">
        <w:t>TiN</w:t>
      </w:r>
      <w:proofErr w:type="spellEnd"/>
      <w:r w:rsidR="005267DD">
        <w:t xml:space="preserve"> and SiO</w:t>
      </w:r>
      <w:r w:rsidR="005267DD">
        <w:rPr>
          <w:vertAlign w:val="subscript"/>
        </w:rPr>
        <w:t>2</w:t>
      </w:r>
      <w:r w:rsidR="005267DD">
        <w:t xml:space="preserve"> components. The 19 variants of NMF referred to in Li et al</w:t>
      </w:r>
      <w:r w:rsidR="00C7602A">
        <w:t xml:space="preserve">. </w:t>
      </w:r>
      <w:r w:rsidR="00C7602A" w:rsidRPr="00C7602A">
        <w:rPr>
          <w:vertAlign w:val="superscript"/>
        </w:rPr>
        <w:t>S</w:t>
      </w:r>
      <w:r w:rsidR="00C7602A">
        <w:fldChar w:fldCharType="begin" w:fldLock="1"/>
      </w:r>
      <w:r w:rsidR="00B02373">
        <w:instrText>ADDIN CSL_CITATION {"citationItems":[{"id":"ITEM-1","itemData":{"author":[{"dropping-particle":"","family":"Li","given":"Yifeng","non-dropping-particle":"","parse-names":false,"suffix":""},{"dropping-particle":"","family":"Ngom","given":"Alioune","non-dropping-particle":"","parse-names":false,"suffix":""}],"container-title":"Source Code for Biology and Medicine","id":"ITEM-1","issue":"10","issued":{"date-parts":[["2013"]]},"page":"1-15","title":"The non-negative matrix factorization toolbox for biological data mining","type":"article-journal","volume":"8"},"uris":["http://www.mendeley.com/documents/?uuid=7ce07d4c-3c95-45a9-a32f-0ba9e19e023f","http://www.mendeley.com/documents/?uuid=e65369e5-ea16-4d94-8cfd-239d29e8d748"]}],"mendeley":{"formattedCitation":"&lt;sup&gt;3&lt;/sup&gt;","plainTextFormattedCitation":"3","previouslyFormattedCitation":"&lt;sup&gt;3&lt;/sup&gt;"},"properties":{"noteIndex":0},"schema":"https://github.com/citation-style-language/schema/raw/master/csl-citation.json"}</w:instrText>
      </w:r>
      <w:r w:rsidR="00C7602A">
        <w:fldChar w:fldCharType="separate"/>
      </w:r>
      <w:r w:rsidR="00A815A7" w:rsidRPr="00A815A7">
        <w:rPr>
          <w:noProof/>
          <w:vertAlign w:val="superscript"/>
        </w:rPr>
        <w:t>3</w:t>
      </w:r>
      <w:r w:rsidR="00C7602A">
        <w:fldChar w:fldCharType="end"/>
      </w:r>
      <w:r w:rsidR="005267DD">
        <w:t xml:space="preserve"> did not </w:t>
      </w:r>
      <w:r w:rsidR="0071053B">
        <w:t>improve the results shown in Fig</w:t>
      </w:r>
      <w:r w:rsidR="00C7602A">
        <w:t>ure</w:t>
      </w:r>
      <w:r w:rsidR="0071053B">
        <w:t xml:space="preserve"> S3. Another variant to NMF, Multi</w:t>
      </w:r>
      <w:r w:rsidR="006263A3">
        <w:t xml:space="preserve">variate </w:t>
      </w:r>
      <w:r w:rsidR="0071053B">
        <w:t xml:space="preserve">curve resolution alternating least square (MCR-ALS) </w:t>
      </w:r>
      <w:r w:rsidR="00C7602A" w:rsidRPr="00C7602A">
        <w:rPr>
          <w:vertAlign w:val="superscript"/>
        </w:rPr>
        <w:t>S</w:t>
      </w:r>
      <w:r w:rsidR="00C7602A">
        <w:fldChar w:fldCharType="begin" w:fldLock="1"/>
      </w:r>
      <w:r w:rsidR="00B02373">
        <w:instrText>ADDIN CSL_CITATION {"citationItems":[{"id":"ITEM-1","itemData":{"DOI":"10.1021/ac00063a019","ISSN":"15206882","abstract":"A method for extracting information from spectroscopic data gathered\\nduring process monitoring is described and applied to an industrial\\nproblem. The method allows the estimation of the changes in the concentrations\\nof the components in the process as well as their pure spectroscopic\\nresponses. Three key aspects of the new method are as follows: (1)\\nthe use of evolving factor analysis to have an initial estimation\\nof how the concentrations of the constituents change during the process;\\n(2) the implementation of an alternating and constrained least-squares\\nmethod to optimize both the spectra and the concentrations of the\\ncomponents in the process; (3) the development of a new approach\\nfor the simultaneous analysis of various runs of the same process\\nto estimate the ratio of concentrations between the common components\\nin the different runs.","author":[{"dropping-particle":"","family":"Tauler","given":"Roma","non-dropping-particle":"","parse-names":false,"suffix":""},{"dropping-particle":"","family":"Kowalski","given":"Bruce","non-dropping-particle":"","parse-names":false,"suffix":""},{"dropping-particle":"","family":"Fleming","given":"Sydney","non-dropping-particle":"","parse-names":false,"suffix":""}],"container-title":"Analytical Chemistry","id":"ITEM-1","issue":"15","issued":{"date-parts":[["1993"]]},"page":"2040-2047","title":"Multivariate Curve Resolution Applied to Spectral Data from Multiple Runs of an Industrial Process","type":"article-journal","volume":"65"},"uris":["http://www.mendeley.com/documents/?uuid=176968b1-8989-4611-918a-a126da5be497"]}],"mendeley":{"formattedCitation":"&lt;sup&gt;4&lt;/sup&gt;","plainTextFormattedCitation":"4","previouslyFormattedCitation":"&lt;sup&gt;4&lt;/sup&gt;"},"properties":{"noteIndex":0},"schema":"https://github.com/citation-style-language/schema/raw/master/csl-citation.json"}</w:instrText>
      </w:r>
      <w:r w:rsidR="00C7602A">
        <w:fldChar w:fldCharType="separate"/>
      </w:r>
      <w:r w:rsidR="00A815A7" w:rsidRPr="00A815A7">
        <w:rPr>
          <w:noProof/>
          <w:vertAlign w:val="superscript"/>
        </w:rPr>
        <w:t>4</w:t>
      </w:r>
      <w:r w:rsidR="00C7602A">
        <w:fldChar w:fldCharType="end"/>
      </w:r>
      <w:r w:rsidR="00C7602A">
        <w:t xml:space="preserve"> </w:t>
      </w:r>
      <w:r w:rsidR="0071053B">
        <w:t>did not offer an improvement compared to NMF-MUR shown here.</w:t>
      </w:r>
    </w:p>
    <w:p w14:paraId="18D19B55" w14:textId="452C2441" w:rsidR="006D6874" w:rsidRDefault="00B164FE" w:rsidP="006D6874">
      <w:pPr>
        <w:pStyle w:val="SI"/>
        <w:keepNext/>
        <w:numPr>
          <w:ilvl w:val="0"/>
          <w:numId w:val="0"/>
        </w:numPr>
      </w:pPr>
      <w:r w:rsidRPr="00B164FE">
        <w:rPr>
          <w:noProof/>
          <w:lang w:val="fr-CA" w:eastAsia="fr-CA"/>
        </w:rPr>
        <w:drawing>
          <wp:inline distT="0" distB="0" distL="0" distR="0" wp14:anchorId="47A395F0" wp14:editId="010F91AC">
            <wp:extent cx="6400800" cy="3500828"/>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0" cy="3500828"/>
                    </a:xfrm>
                    <a:prstGeom prst="rect">
                      <a:avLst/>
                    </a:prstGeom>
                    <a:noFill/>
                    <a:ln>
                      <a:noFill/>
                    </a:ln>
                  </pic:spPr>
                </pic:pic>
              </a:graphicData>
            </a:graphic>
          </wp:inline>
        </w:drawing>
      </w:r>
    </w:p>
    <w:p w14:paraId="6E3658A6" w14:textId="0C2B2DAB" w:rsidR="006D6874" w:rsidRDefault="006D6874" w:rsidP="006D6874">
      <w:pPr>
        <w:pStyle w:val="Caption"/>
      </w:pPr>
      <w:r>
        <w:t>Figure S</w:t>
      </w:r>
      <w:r>
        <w:fldChar w:fldCharType="begin"/>
      </w:r>
      <w:r>
        <w:instrText xml:space="preserve"> SEQ Figure \* ARABIC </w:instrText>
      </w:r>
      <w:r>
        <w:fldChar w:fldCharType="separate"/>
      </w:r>
      <w:r w:rsidR="00807A00">
        <w:rPr>
          <w:noProof/>
        </w:rPr>
        <w:t>6</w:t>
      </w:r>
      <w:r>
        <w:fldChar w:fldCharType="end"/>
      </w:r>
      <w:r w:rsidR="0071053B">
        <w:t>. (a) Abundance map and corresponding (b) EELS spectra retrieved using NMF-MUR algorithm.</w:t>
      </w:r>
    </w:p>
    <w:p w14:paraId="697229D3" w14:textId="77777777" w:rsidR="0071053B" w:rsidRPr="0071053B" w:rsidRDefault="0071053B" w:rsidP="0071053B"/>
    <w:p w14:paraId="448E7C9F" w14:textId="77777777" w:rsidR="000A3BF0" w:rsidRDefault="000A3BF0">
      <w:pPr>
        <w:widowControl/>
        <w:spacing w:after="160" w:line="259" w:lineRule="auto"/>
        <w:jc w:val="left"/>
        <w:rPr>
          <w:b/>
          <w:color w:val="000000" w:themeColor="text1"/>
          <w:sz w:val="28"/>
        </w:rPr>
      </w:pPr>
      <w:r>
        <w:br w:type="page"/>
      </w:r>
    </w:p>
    <w:p w14:paraId="2031C12F" w14:textId="581F51B5" w:rsidR="00981319" w:rsidRDefault="00981319" w:rsidP="00FB6EB4">
      <w:pPr>
        <w:pStyle w:val="SI"/>
      </w:pPr>
      <w:proofErr w:type="spellStart"/>
      <w:r>
        <w:lastRenderedPageBreak/>
        <w:t>Baysian</w:t>
      </w:r>
      <w:proofErr w:type="spellEnd"/>
      <w:r>
        <w:t xml:space="preserve"> linear unmixing (BLU)</w:t>
      </w:r>
    </w:p>
    <w:p w14:paraId="2ACE7FCD" w14:textId="0FEC6E61" w:rsidR="00475213" w:rsidRPr="001B5FE4" w:rsidRDefault="00475213" w:rsidP="00475213">
      <w:r>
        <w:t xml:space="preserve">Of all the alternative algorithms tried, </w:t>
      </w:r>
      <w:proofErr w:type="spellStart"/>
      <w:r>
        <w:t>Baysian</w:t>
      </w:r>
      <w:proofErr w:type="spellEnd"/>
      <w:r>
        <w:t xml:space="preserve"> Linear Unmixing </w:t>
      </w:r>
      <w:r w:rsidR="005336F4" w:rsidRPr="005336F4">
        <w:rPr>
          <w:vertAlign w:val="superscript"/>
        </w:rPr>
        <w:t>S</w:t>
      </w:r>
      <w:r w:rsidR="007D28D0">
        <w:fldChar w:fldCharType="begin" w:fldLock="1"/>
      </w:r>
      <w:r w:rsidR="00B02373">
        <w:instrText>ADDIN CSL_CITATION {"citationItems":[{"id":"ITEM-1","itemData":{"DOI":"10.1109/TSP.2009.2025797","ISSN":"1053587X","abstract":"This paper studies a fully Bayesian algorithm for endmember extraction and abundance estimation for hyperspectral imagery. Each pixel of the hyperspectral image is decomposed as a linear combination of pure endmember spectra following the linear mixing model. The estimation of the unknown endmember spectra is conducted in a unified manner by generating the posterior distribution of abundances and endmember parameters under a hierarchical Bayesian model. This model assumes conjugate prior distributions for these parameters, accounts for non-negativity and full-additivity constraints, and exploits the fact that the endmember proportions lie on a lower dimensional simplex. A Gibbs sampler is proposed to overcome the complexity of evaluating the resulting posterior distribution. This sampler generates samples distributed according to the posterior distribution and estimates the unknown parameters using these generated samples. The accuracy of the joint Bayesian estimator is illustrated by simulations conducted on synthetic and real AVIRIS images.","author":[{"dropping-particle":"","family":"Dobigeon","given":"Nicolas","non-dropping-particle":"","parse-names":false,"suffix":""},{"dropping-particle":"","family":"Moussaoui","given":"Saïd","non-dropping-particle":"","parse-names":false,"suffix":""},{"dropping-particle":"","family":"Coulon","given":"Martial","non-dropping-particle":"","parse-names":false,"suffix":""},{"dropping-particle":"","family":"Tourneret","given":"Jean Yves","non-dropping-particle":"","parse-names":false,"suffix":""},{"dropping-particle":"","family":"Hero","given":"Alfred O.","non-dropping-particle":"","parse-names":false,"suffix":""}],"container-title":"IEEE Transactions on Signal Processing","id":"ITEM-1","issue":"11","issued":{"date-parts":[["2009"]]},"page":"4355-4368","title":"Joint Bayesian endmember extraction and linear unmixing for hyperspectral imagery","type":"article-journal","volume":"57"},"uris":["http://www.mendeley.com/documents/?uuid=369edc1b-c619-4e08-9d1f-a9747ce806de"]}],"mendeley":{"formattedCitation":"&lt;sup&gt;5&lt;/sup&gt;","plainTextFormattedCitation":"5","previouslyFormattedCitation":"&lt;sup&gt;5&lt;/sup&gt;"},"properties":{"noteIndex":0},"schema":"https://github.com/citation-style-language/schema/raw/master/csl-citation.json"}</w:instrText>
      </w:r>
      <w:r w:rsidR="007D28D0">
        <w:rPr>
          <w:vertAlign w:val="superscript"/>
        </w:rPr>
        <w:fldChar w:fldCharType="separate"/>
      </w:r>
      <w:r w:rsidR="00A815A7" w:rsidRPr="00A815A7">
        <w:rPr>
          <w:noProof/>
          <w:vertAlign w:val="superscript"/>
        </w:rPr>
        <w:t>5</w:t>
      </w:r>
      <w:r w:rsidR="007D28D0">
        <w:fldChar w:fldCharType="end"/>
      </w:r>
      <w:r w:rsidR="007D28D0">
        <w:t xml:space="preserve"> </w:t>
      </w:r>
      <w:r>
        <w:t xml:space="preserve">(with </w:t>
      </w:r>
      <w:r w:rsidR="0068231B">
        <w:t xml:space="preserve">N-finder </w:t>
      </w:r>
      <w:r w:rsidRPr="00EF559E">
        <w:t>initiali</w:t>
      </w:r>
      <w:r w:rsidR="0068231B">
        <w:t>z</w:t>
      </w:r>
      <w:r w:rsidRPr="00EF559E">
        <w:t>ation</w:t>
      </w:r>
      <w:r w:rsidR="00FB4B7F">
        <w:t xml:space="preserve"> </w:t>
      </w:r>
      <w:r w:rsidR="00FB4B7F" w:rsidRPr="00FB4B7F">
        <w:rPr>
          <w:vertAlign w:val="superscript"/>
        </w:rPr>
        <w:t>S</w:t>
      </w:r>
      <w:r w:rsidR="00FB4B7F">
        <w:fldChar w:fldCharType="begin" w:fldLock="1"/>
      </w:r>
      <w:r w:rsidR="00B02373">
        <w:instrText>ADDIN CSL_CITATION {"citationItems":[{"id":"ITEM-1","itemData":{"author":[{"dropping-particle":"","family":"Winter","given":"Michael E","non-dropping-particle":"","parse-names":false,"suffix":""}],"container-title":"Proc.SPIE","id":"ITEM-1","issued":{"date-parts":[["1999","10"]]},"title":"N-FINDR: an algorithm for fast autonomous spectral end-member determination in hyperspectral data","type":"paper-conference","volume":"3753 "},"uris":["http://www.mendeley.com/documents/?uuid=77d7d723-d2cb-4845-af01-ccc7b45e236c","http://www.mendeley.com/documents/?uuid=0d8739bb-e2e9-474c-b300-d3e486f02831"]}],"mendeley":{"formattedCitation":"&lt;sup&gt;6&lt;/sup&gt;","plainTextFormattedCitation":"6","previouslyFormattedCitation":"&lt;sup&gt;6&lt;/sup&gt;"},"properties":{"noteIndex":0},"schema":"https://github.com/citation-style-language/schema/raw/master/csl-citation.json"}</w:instrText>
      </w:r>
      <w:r w:rsidR="00FB4B7F">
        <w:fldChar w:fldCharType="separate"/>
      </w:r>
      <w:r w:rsidR="00A815A7" w:rsidRPr="00A815A7">
        <w:rPr>
          <w:noProof/>
          <w:vertAlign w:val="superscript"/>
        </w:rPr>
        <w:t>6</w:t>
      </w:r>
      <w:r w:rsidR="00FB4B7F">
        <w:fldChar w:fldCharType="end"/>
      </w:r>
      <w:r w:rsidR="0068231B">
        <w:t>) computed abundance</w:t>
      </w:r>
      <w:r w:rsidR="000A3BF0">
        <w:t xml:space="preserve"> maps and end</w:t>
      </w:r>
      <w:r w:rsidR="0068231B">
        <w:t>member spectra closest to the expected res</w:t>
      </w:r>
      <w:r w:rsidR="000A3BF0">
        <w:t>p</w:t>
      </w:r>
      <w:r w:rsidR="0068231B">
        <w:t xml:space="preserve">onse (Fig. </w:t>
      </w:r>
      <w:r w:rsidR="00FD4794">
        <w:t>S</w:t>
      </w:r>
      <w:r w:rsidR="00FE45BA">
        <w:t>7</w:t>
      </w:r>
      <w:r w:rsidR="0068231B">
        <w:t>). The Hf, Ta and W M li</w:t>
      </w:r>
      <w:r w:rsidRPr="00A6012B">
        <w:t xml:space="preserve">nes </w:t>
      </w:r>
      <w:r w:rsidR="0068231B">
        <w:t xml:space="preserve">are clearly resolved, the </w:t>
      </w:r>
      <w:proofErr w:type="spellStart"/>
      <w:r w:rsidR="0068231B">
        <w:t>TiN</w:t>
      </w:r>
      <w:proofErr w:type="spellEnd"/>
      <w:r w:rsidR="0068231B">
        <w:t xml:space="preserve"> </w:t>
      </w:r>
      <w:r w:rsidRPr="00EF559E">
        <w:t>EE</w:t>
      </w:r>
      <w:r w:rsidR="0068231B">
        <w:t xml:space="preserve">LS featureless </w:t>
      </w:r>
      <w:r w:rsidRPr="00EF559E">
        <w:t xml:space="preserve">signature </w:t>
      </w:r>
      <w:r w:rsidR="0068231B">
        <w:t xml:space="preserve">is </w:t>
      </w:r>
      <w:r w:rsidRPr="00EF559E">
        <w:t>well captured</w:t>
      </w:r>
      <w:r w:rsidR="0068231B">
        <w:t xml:space="preserve"> although the </w:t>
      </w:r>
      <w:r w:rsidRPr="00A6012B">
        <w:t>SiO</w:t>
      </w:r>
      <w:r w:rsidRPr="0068231B">
        <w:rPr>
          <w:vertAlign w:val="subscript"/>
        </w:rPr>
        <w:t>2</w:t>
      </w:r>
      <w:r w:rsidRPr="00A6012B">
        <w:t xml:space="preserve"> </w:t>
      </w:r>
      <w:r w:rsidR="000A3BF0">
        <w:t>end</w:t>
      </w:r>
      <w:r w:rsidR="0068231B">
        <w:t xml:space="preserve">member </w:t>
      </w:r>
      <w:r w:rsidRPr="00A6012B">
        <w:t xml:space="preserve">spectra </w:t>
      </w:r>
      <w:r w:rsidR="0068231B">
        <w:t xml:space="preserve">is noisy. The abundance map shows a component distribution mostly consistent with the expected one but some </w:t>
      </w:r>
      <w:r w:rsidR="00836710">
        <w:t xml:space="preserve">shortcomings are present. In particular, the abundance </w:t>
      </w:r>
      <w:r w:rsidR="000A3BF0">
        <w:t>profil</w:t>
      </w:r>
      <w:r w:rsidR="00B31111">
        <w:t>e</w:t>
      </w:r>
      <w:r w:rsidR="000A3BF0">
        <w:t>s</w:t>
      </w:r>
      <w:r w:rsidR="00836710">
        <w:t xml:space="preserve"> do not saturate to 1 as expected and a few regions exhibit false positives: </w:t>
      </w:r>
      <w:r w:rsidRPr="00A6012B">
        <w:t>SiO</w:t>
      </w:r>
      <w:r w:rsidRPr="0068231B">
        <w:rPr>
          <w:vertAlign w:val="subscript"/>
        </w:rPr>
        <w:t>2</w:t>
      </w:r>
      <w:r w:rsidR="00836710">
        <w:t xml:space="preserve">, W and </w:t>
      </w:r>
      <w:proofErr w:type="spellStart"/>
      <w:r w:rsidR="00836710">
        <w:t>TiN</w:t>
      </w:r>
      <w:proofErr w:type="spellEnd"/>
      <w:r w:rsidR="00836710">
        <w:t xml:space="preserve"> appear in regions 7-12 nm, 21-23 nm and 26-29 nm, respectively.</w:t>
      </w:r>
    </w:p>
    <w:p w14:paraId="028EBD11" w14:textId="46CCE1F3" w:rsidR="006D6874" w:rsidRDefault="00B164FE" w:rsidP="00B164FE">
      <w:pPr>
        <w:pStyle w:val="SI"/>
        <w:keepNext/>
        <w:numPr>
          <w:ilvl w:val="0"/>
          <w:numId w:val="0"/>
        </w:numPr>
        <w:ind w:left="360" w:hanging="360"/>
      </w:pPr>
      <w:r w:rsidRPr="00B164FE">
        <w:rPr>
          <w:noProof/>
          <w:lang w:val="fr-CA" w:eastAsia="fr-CA"/>
        </w:rPr>
        <w:drawing>
          <wp:inline distT="0" distB="0" distL="0" distR="0" wp14:anchorId="05FE6351" wp14:editId="50762FF3">
            <wp:extent cx="6400800" cy="3500828"/>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0" cy="3500828"/>
                    </a:xfrm>
                    <a:prstGeom prst="rect">
                      <a:avLst/>
                    </a:prstGeom>
                    <a:noFill/>
                    <a:ln>
                      <a:noFill/>
                    </a:ln>
                  </pic:spPr>
                </pic:pic>
              </a:graphicData>
            </a:graphic>
          </wp:inline>
        </w:drawing>
      </w:r>
    </w:p>
    <w:p w14:paraId="2F7FE1F9" w14:textId="02A5949F" w:rsidR="00836710" w:rsidRDefault="006D6874" w:rsidP="00836710">
      <w:pPr>
        <w:pStyle w:val="Caption"/>
      </w:pPr>
      <w:r>
        <w:t>Figure S</w:t>
      </w:r>
      <w:r>
        <w:fldChar w:fldCharType="begin"/>
      </w:r>
      <w:r>
        <w:instrText xml:space="preserve"> SEQ Figure \* ARABIC </w:instrText>
      </w:r>
      <w:r>
        <w:fldChar w:fldCharType="separate"/>
      </w:r>
      <w:r w:rsidR="00807A00">
        <w:rPr>
          <w:noProof/>
        </w:rPr>
        <w:t>7</w:t>
      </w:r>
      <w:r>
        <w:fldChar w:fldCharType="end"/>
      </w:r>
      <w:r w:rsidR="00836710">
        <w:t>. (a) Abundance map and corresponding (b) EELS spectra retrieved using BLU with N-FIND-R algorithm.</w:t>
      </w:r>
    </w:p>
    <w:p w14:paraId="258F2717" w14:textId="15D88C02" w:rsidR="006D6874" w:rsidRDefault="006D6874" w:rsidP="00836710">
      <w:pPr>
        <w:pStyle w:val="Caption"/>
      </w:pPr>
    </w:p>
    <w:p w14:paraId="241A4225" w14:textId="1FB6B74B" w:rsidR="00087FBF" w:rsidRDefault="00087FBF">
      <w:pPr>
        <w:widowControl/>
        <w:spacing w:after="160" w:line="259" w:lineRule="auto"/>
        <w:jc w:val="left"/>
      </w:pPr>
      <w:r>
        <w:br w:type="page"/>
      </w:r>
    </w:p>
    <w:p w14:paraId="5B1D3BFB" w14:textId="6668D893" w:rsidR="00B02373" w:rsidRPr="00087FBF" w:rsidRDefault="00B02373" w:rsidP="00600E54">
      <w:pPr>
        <w:pStyle w:val="SI"/>
        <w:rPr>
          <w:rFonts w:cstheme="minorHAnsi"/>
          <w:sz w:val="24"/>
          <w:szCs w:val="24"/>
        </w:rPr>
      </w:pPr>
      <w:r w:rsidRPr="00087FBF">
        <w:rPr>
          <w:rFonts w:cstheme="minorHAnsi"/>
        </w:rPr>
        <w:lastRenderedPageBreak/>
        <w:fldChar w:fldCharType="begin" w:fldLock="1"/>
      </w:r>
      <w:r w:rsidRPr="00087FBF">
        <w:rPr>
          <w:rFonts w:cstheme="minorHAnsi"/>
        </w:rPr>
        <w:instrText xml:space="preserve">ADDIN Mendeley Bibliography CSL_BIBLIOGRAPHY </w:instrText>
      </w:r>
      <w:r w:rsidRPr="00087FBF">
        <w:rPr>
          <w:rFonts w:cstheme="minorHAnsi"/>
        </w:rPr>
        <w:fldChar w:fldCharType="separate"/>
      </w:r>
      <w:r w:rsidRPr="009C3D67">
        <w:rPr>
          <w:rFonts w:cstheme="minorHAnsi"/>
          <w:noProof/>
          <w:sz w:val="24"/>
        </w:rPr>
        <w:t>Bibliography</w:t>
      </w:r>
      <w:r w:rsidRPr="00087FBF">
        <w:rPr>
          <w:rFonts w:cstheme="minorHAnsi"/>
        </w:rPr>
        <w:fldChar w:fldCharType="end"/>
      </w:r>
    </w:p>
    <w:p w14:paraId="0B92E5A7" w14:textId="01AA5B01" w:rsidR="00B02373" w:rsidRPr="00B32B9C" w:rsidRDefault="00600E54">
      <w:pPr>
        <w:autoSpaceDE w:val="0"/>
        <w:autoSpaceDN w:val="0"/>
        <w:adjustRightInd w:val="0"/>
        <w:spacing w:after="140" w:line="288" w:lineRule="auto"/>
        <w:ind w:left="640" w:hanging="640"/>
        <w:rPr>
          <w:rFonts w:cstheme="minorHAnsi"/>
          <w:szCs w:val="24"/>
        </w:rPr>
      </w:pPr>
      <w:r w:rsidRPr="00B32B9C">
        <w:rPr>
          <w:rFonts w:cstheme="minorHAnsi"/>
          <w:szCs w:val="24"/>
        </w:rPr>
        <w:t>S</w:t>
      </w:r>
      <w:r w:rsidR="00B02373" w:rsidRPr="00B32B9C">
        <w:rPr>
          <w:rFonts w:cstheme="minorHAnsi"/>
          <w:szCs w:val="24"/>
        </w:rPr>
        <w:t>1.</w:t>
      </w:r>
      <w:r w:rsidR="00B02373" w:rsidRPr="00B32B9C">
        <w:rPr>
          <w:rFonts w:cstheme="minorHAnsi"/>
          <w:szCs w:val="24"/>
        </w:rPr>
        <w:tab/>
      </w:r>
      <w:proofErr w:type="spellStart"/>
      <w:r w:rsidR="00B02373" w:rsidRPr="00B32B9C">
        <w:rPr>
          <w:rFonts w:cstheme="minorHAnsi"/>
          <w:szCs w:val="24"/>
        </w:rPr>
        <w:t>Ketelaere</w:t>
      </w:r>
      <w:proofErr w:type="spellEnd"/>
      <w:r w:rsidR="00B02373" w:rsidRPr="00B32B9C">
        <w:rPr>
          <w:rFonts w:cstheme="minorHAnsi"/>
          <w:szCs w:val="24"/>
        </w:rPr>
        <w:t xml:space="preserve">, B. De, Hubert, M. &amp; Schmitt, E. Overview of PCA-Based Statistical Process-Monitoring Methods for Time-Dependent, High-Dimensional Data. </w:t>
      </w:r>
      <w:r w:rsidR="00B02373" w:rsidRPr="00B32B9C">
        <w:rPr>
          <w:rFonts w:cstheme="minorHAnsi"/>
          <w:i/>
          <w:iCs/>
          <w:szCs w:val="24"/>
        </w:rPr>
        <w:t>J. Qual. Technol.</w:t>
      </w:r>
      <w:r w:rsidR="00B02373" w:rsidRPr="00B32B9C">
        <w:rPr>
          <w:rFonts w:cstheme="minorHAnsi"/>
          <w:szCs w:val="24"/>
        </w:rPr>
        <w:t xml:space="preserve"> </w:t>
      </w:r>
      <w:r w:rsidR="00B02373" w:rsidRPr="00B32B9C">
        <w:rPr>
          <w:rFonts w:cstheme="minorHAnsi"/>
          <w:b/>
          <w:bCs w:val="0"/>
          <w:szCs w:val="24"/>
        </w:rPr>
        <w:t>47</w:t>
      </w:r>
      <w:r w:rsidR="00B02373" w:rsidRPr="00B32B9C">
        <w:rPr>
          <w:rFonts w:cstheme="minorHAnsi"/>
          <w:szCs w:val="24"/>
        </w:rPr>
        <w:t>, 318–335 (2015).</w:t>
      </w:r>
    </w:p>
    <w:p w14:paraId="1D80E680" w14:textId="7F71F9B2" w:rsidR="00B02373" w:rsidRPr="00B32B9C" w:rsidRDefault="00600E54">
      <w:pPr>
        <w:autoSpaceDE w:val="0"/>
        <w:autoSpaceDN w:val="0"/>
        <w:adjustRightInd w:val="0"/>
        <w:spacing w:after="140" w:line="288" w:lineRule="auto"/>
        <w:ind w:left="640" w:hanging="640"/>
        <w:rPr>
          <w:rFonts w:cstheme="minorHAnsi"/>
          <w:szCs w:val="24"/>
        </w:rPr>
      </w:pPr>
      <w:r w:rsidRPr="00B32B9C">
        <w:rPr>
          <w:rFonts w:cstheme="minorHAnsi"/>
          <w:szCs w:val="24"/>
        </w:rPr>
        <w:t>S</w:t>
      </w:r>
      <w:r w:rsidR="00B02373" w:rsidRPr="00B32B9C">
        <w:rPr>
          <w:rFonts w:cstheme="minorHAnsi"/>
          <w:szCs w:val="24"/>
        </w:rPr>
        <w:t>2.</w:t>
      </w:r>
      <w:r w:rsidR="00B02373" w:rsidRPr="00B32B9C">
        <w:rPr>
          <w:rFonts w:cstheme="minorHAnsi"/>
          <w:szCs w:val="24"/>
        </w:rPr>
        <w:tab/>
      </w:r>
      <w:proofErr w:type="spellStart"/>
      <w:r w:rsidR="00B02373" w:rsidRPr="00B32B9C">
        <w:rPr>
          <w:rFonts w:cstheme="minorHAnsi"/>
          <w:szCs w:val="24"/>
        </w:rPr>
        <w:t>Pedregosa</w:t>
      </w:r>
      <w:proofErr w:type="spellEnd"/>
      <w:r w:rsidR="00B02373" w:rsidRPr="00B32B9C">
        <w:rPr>
          <w:rFonts w:cstheme="minorHAnsi"/>
          <w:szCs w:val="24"/>
        </w:rPr>
        <w:t xml:space="preserve">, F. </w:t>
      </w:r>
      <w:r w:rsidR="00B02373" w:rsidRPr="00B32B9C">
        <w:rPr>
          <w:rFonts w:cstheme="minorHAnsi"/>
          <w:i/>
          <w:iCs/>
          <w:szCs w:val="24"/>
        </w:rPr>
        <w:t>et al.</w:t>
      </w:r>
      <w:r w:rsidR="00B02373" w:rsidRPr="00B32B9C">
        <w:rPr>
          <w:rFonts w:cstheme="minorHAnsi"/>
          <w:szCs w:val="24"/>
        </w:rPr>
        <w:t xml:space="preserve"> </w:t>
      </w:r>
      <w:proofErr w:type="spellStart"/>
      <w:r w:rsidR="00B02373" w:rsidRPr="00B32B9C">
        <w:rPr>
          <w:rFonts w:cstheme="minorHAnsi"/>
          <w:szCs w:val="24"/>
        </w:rPr>
        <w:t>Scikit</w:t>
      </w:r>
      <w:proofErr w:type="spellEnd"/>
      <w:r w:rsidR="00B02373" w:rsidRPr="00B32B9C">
        <w:rPr>
          <w:rFonts w:cstheme="minorHAnsi"/>
          <w:szCs w:val="24"/>
        </w:rPr>
        <w:t xml:space="preserve">-learn: Machine Learning in Python. </w:t>
      </w:r>
      <w:r w:rsidR="00B02373" w:rsidRPr="00B32B9C">
        <w:rPr>
          <w:rFonts w:cstheme="minorHAnsi"/>
          <w:i/>
          <w:iCs/>
          <w:szCs w:val="24"/>
        </w:rPr>
        <w:t>J. Mach. Learn. Res.</w:t>
      </w:r>
      <w:r w:rsidR="00B02373" w:rsidRPr="00B32B9C">
        <w:rPr>
          <w:rFonts w:cstheme="minorHAnsi"/>
          <w:szCs w:val="24"/>
        </w:rPr>
        <w:t xml:space="preserve"> </w:t>
      </w:r>
      <w:r w:rsidR="00B02373" w:rsidRPr="00B32B9C">
        <w:rPr>
          <w:rFonts w:cstheme="minorHAnsi"/>
          <w:b/>
          <w:bCs w:val="0"/>
          <w:szCs w:val="24"/>
        </w:rPr>
        <w:t>12</w:t>
      </w:r>
      <w:r w:rsidR="00B02373" w:rsidRPr="00B32B9C">
        <w:rPr>
          <w:rFonts w:cstheme="minorHAnsi"/>
          <w:szCs w:val="24"/>
        </w:rPr>
        <w:t>, 2825–2830 (2011).</w:t>
      </w:r>
    </w:p>
    <w:p w14:paraId="75178421" w14:textId="528514AE" w:rsidR="00B02373" w:rsidRPr="00B32B9C" w:rsidRDefault="00600E54">
      <w:pPr>
        <w:autoSpaceDE w:val="0"/>
        <w:autoSpaceDN w:val="0"/>
        <w:adjustRightInd w:val="0"/>
        <w:spacing w:after="140" w:line="288" w:lineRule="auto"/>
        <w:ind w:left="640" w:hanging="640"/>
        <w:rPr>
          <w:rFonts w:cstheme="minorHAnsi"/>
          <w:szCs w:val="24"/>
        </w:rPr>
      </w:pPr>
      <w:r w:rsidRPr="00B32B9C">
        <w:rPr>
          <w:rFonts w:cstheme="minorHAnsi"/>
          <w:szCs w:val="24"/>
        </w:rPr>
        <w:t>S</w:t>
      </w:r>
      <w:r w:rsidR="00B02373" w:rsidRPr="00B32B9C">
        <w:rPr>
          <w:rFonts w:cstheme="minorHAnsi"/>
          <w:szCs w:val="24"/>
        </w:rPr>
        <w:t>3.</w:t>
      </w:r>
      <w:r w:rsidR="00B02373" w:rsidRPr="00B32B9C">
        <w:rPr>
          <w:rFonts w:cstheme="minorHAnsi"/>
          <w:szCs w:val="24"/>
        </w:rPr>
        <w:tab/>
        <w:t xml:space="preserve">Li, Y. &amp; </w:t>
      </w:r>
      <w:proofErr w:type="spellStart"/>
      <w:r w:rsidR="00B02373" w:rsidRPr="00B32B9C">
        <w:rPr>
          <w:rFonts w:cstheme="minorHAnsi"/>
          <w:szCs w:val="24"/>
        </w:rPr>
        <w:t>Ngom</w:t>
      </w:r>
      <w:proofErr w:type="spellEnd"/>
      <w:r w:rsidR="00B02373" w:rsidRPr="00B32B9C">
        <w:rPr>
          <w:rFonts w:cstheme="minorHAnsi"/>
          <w:szCs w:val="24"/>
        </w:rPr>
        <w:t xml:space="preserve">, A. The non-negative matrix factorization toolbox for biological data mining. </w:t>
      </w:r>
      <w:r w:rsidR="00B02373" w:rsidRPr="00B32B9C">
        <w:rPr>
          <w:rFonts w:cstheme="minorHAnsi"/>
          <w:i/>
          <w:iCs/>
          <w:szCs w:val="24"/>
        </w:rPr>
        <w:t>Source Code Biol. Med.</w:t>
      </w:r>
      <w:r w:rsidR="00B02373" w:rsidRPr="00B32B9C">
        <w:rPr>
          <w:rFonts w:cstheme="minorHAnsi"/>
          <w:szCs w:val="24"/>
        </w:rPr>
        <w:t xml:space="preserve"> </w:t>
      </w:r>
      <w:r w:rsidR="00B02373" w:rsidRPr="00B32B9C">
        <w:rPr>
          <w:rFonts w:cstheme="minorHAnsi"/>
          <w:b/>
          <w:bCs w:val="0"/>
          <w:szCs w:val="24"/>
        </w:rPr>
        <w:t>8</w:t>
      </w:r>
      <w:r w:rsidR="00B02373" w:rsidRPr="00B32B9C">
        <w:rPr>
          <w:rFonts w:cstheme="minorHAnsi"/>
          <w:szCs w:val="24"/>
        </w:rPr>
        <w:t>, 1–15 (2013).</w:t>
      </w:r>
    </w:p>
    <w:p w14:paraId="2234D8B5" w14:textId="567735B2" w:rsidR="00B02373" w:rsidRPr="00B32B9C" w:rsidRDefault="00600E54">
      <w:pPr>
        <w:autoSpaceDE w:val="0"/>
        <w:autoSpaceDN w:val="0"/>
        <w:adjustRightInd w:val="0"/>
        <w:spacing w:after="140" w:line="288" w:lineRule="auto"/>
        <w:ind w:left="640" w:hanging="640"/>
        <w:rPr>
          <w:rFonts w:cstheme="minorHAnsi"/>
          <w:szCs w:val="24"/>
        </w:rPr>
      </w:pPr>
      <w:r w:rsidRPr="00B32B9C">
        <w:rPr>
          <w:rFonts w:cstheme="minorHAnsi"/>
          <w:szCs w:val="24"/>
        </w:rPr>
        <w:t>S</w:t>
      </w:r>
      <w:r w:rsidR="00B02373" w:rsidRPr="00B32B9C">
        <w:rPr>
          <w:rFonts w:cstheme="minorHAnsi"/>
          <w:szCs w:val="24"/>
        </w:rPr>
        <w:t>4.</w:t>
      </w:r>
      <w:r w:rsidR="00B02373" w:rsidRPr="00B32B9C">
        <w:rPr>
          <w:rFonts w:cstheme="minorHAnsi"/>
          <w:szCs w:val="24"/>
        </w:rPr>
        <w:tab/>
      </w:r>
      <w:proofErr w:type="spellStart"/>
      <w:r w:rsidR="00B02373" w:rsidRPr="00B32B9C">
        <w:rPr>
          <w:rFonts w:cstheme="minorHAnsi"/>
          <w:szCs w:val="24"/>
        </w:rPr>
        <w:t>Tauler</w:t>
      </w:r>
      <w:proofErr w:type="spellEnd"/>
      <w:r w:rsidR="00B02373" w:rsidRPr="00B32B9C">
        <w:rPr>
          <w:rFonts w:cstheme="minorHAnsi"/>
          <w:szCs w:val="24"/>
        </w:rPr>
        <w:t xml:space="preserve">, R., Kowalski, B. &amp; Fleming, S. Multivariate Curve Resolution Applied to Spectral Data from Multiple Runs of an Industrial Process. </w:t>
      </w:r>
      <w:r w:rsidR="00B02373" w:rsidRPr="00B32B9C">
        <w:rPr>
          <w:rFonts w:cstheme="minorHAnsi"/>
          <w:i/>
          <w:iCs/>
          <w:szCs w:val="24"/>
        </w:rPr>
        <w:t>Anal. Chem.</w:t>
      </w:r>
      <w:r w:rsidR="00B02373" w:rsidRPr="00B32B9C">
        <w:rPr>
          <w:rFonts w:cstheme="minorHAnsi"/>
          <w:szCs w:val="24"/>
        </w:rPr>
        <w:t xml:space="preserve"> </w:t>
      </w:r>
      <w:r w:rsidR="00B02373" w:rsidRPr="00B32B9C">
        <w:rPr>
          <w:rFonts w:cstheme="minorHAnsi"/>
          <w:b/>
          <w:bCs w:val="0"/>
          <w:szCs w:val="24"/>
        </w:rPr>
        <w:t>65</w:t>
      </w:r>
      <w:r w:rsidR="00B02373" w:rsidRPr="00B32B9C">
        <w:rPr>
          <w:rFonts w:cstheme="minorHAnsi"/>
          <w:szCs w:val="24"/>
        </w:rPr>
        <w:t>, 2040–2047 (1993).</w:t>
      </w:r>
    </w:p>
    <w:p w14:paraId="606A4ED3" w14:textId="3653C961" w:rsidR="00B02373" w:rsidRPr="00B32B9C" w:rsidRDefault="00600E54">
      <w:pPr>
        <w:autoSpaceDE w:val="0"/>
        <w:autoSpaceDN w:val="0"/>
        <w:adjustRightInd w:val="0"/>
        <w:spacing w:after="140" w:line="288" w:lineRule="auto"/>
        <w:ind w:left="640" w:hanging="640"/>
        <w:rPr>
          <w:rFonts w:cstheme="minorHAnsi"/>
          <w:szCs w:val="24"/>
        </w:rPr>
      </w:pPr>
      <w:r w:rsidRPr="00B32B9C">
        <w:rPr>
          <w:rFonts w:cstheme="minorHAnsi"/>
          <w:szCs w:val="24"/>
        </w:rPr>
        <w:t>S</w:t>
      </w:r>
      <w:r w:rsidR="00B02373" w:rsidRPr="00B32B9C">
        <w:rPr>
          <w:rFonts w:cstheme="minorHAnsi"/>
          <w:szCs w:val="24"/>
        </w:rPr>
        <w:t>5.</w:t>
      </w:r>
      <w:r w:rsidR="00B02373" w:rsidRPr="00B32B9C">
        <w:rPr>
          <w:rFonts w:cstheme="minorHAnsi"/>
          <w:szCs w:val="24"/>
        </w:rPr>
        <w:tab/>
      </w:r>
      <w:proofErr w:type="spellStart"/>
      <w:r w:rsidR="00B02373" w:rsidRPr="00B32B9C">
        <w:rPr>
          <w:rFonts w:cstheme="minorHAnsi"/>
          <w:szCs w:val="24"/>
        </w:rPr>
        <w:t>Dobigeon</w:t>
      </w:r>
      <w:proofErr w:type="spellEnd"/>
      <w:r w:rsidR="00B02373" w:rsidRPr="00B32B9C">
        <w:rPr>
          <w:rFonts w:cstheme="minorHAnsi"/>
          <w:szCs w:val="24"/>
        </w:rPr>
        <w:t xml:space="preserve">, N., Moussaoui, S., Coulon, M., </w:t>
      </w:r>
      <w:proofErr w:type="spellStart"/>
      <w:r w:rsidR="00B02373" w:rsidRPr="00B32B9C">
        <w:rPr>
          <w:rFonts w:cstheme="minorHAnsi"/>
          <w:szCs w:val="24"/>
        </w:rPr>
        <w:t>Tourneret</w:t>
      </w:r>
      <w:proofErr w:type="spellEnd"/>
      <w:r w:rsidR="00B02373" w:rsidRPr="00B32B9C">
        <w:rPr>
          <w:rFonts w:cstheme="minorHAnsi"/>
          <w:szCs w:val="24"/>
        </w:rPr>
        <w:t xml:space="preserve">, J. Y. &amp; Hero, A. O. Joint Bayesian endmember extraction and linear unmixing for hyperspectral imagery. </w:t>
      </w:r>
      <w:r w:rsidR="00B02373" w:rsidRPr="00B32B9C">
        <w:rPr>
          <w:rFonts w:cstheme="minorHAnsi"/>
          <w:i/>
          <w:iCs/>
          <w:szCs w:val="24"/>
        </w:rPr>
        <w:t>IEEE Trans. Signal Process.</w:t>
      </w:r>
      <w:r w:rsidR="00B02373" w:rsidRPr="00B32B9C">
        <w:rPr>
          <w:rFonts w:cstheme="minorHAnsi"/>
          <w:szCs w:val="24"/>
        </w:rPr>
        <w:t xml:space="preserve"> </w:t>
      </w:r>
      <w:r w:rsidR="00B02373" w:rsidRPr="00B32B9C">
        <w:rPr>
          <w:rFonts w:cstheme="minorHAnsi"/>
          <w:b/>
          <w:bCs w:val="0"/>
          <w:szCs w:val="24"/>
        </w:rPr>
        <w:t>57</w:t>
      </w:r>
      <w:r w:rsidR="00B02373" w:rsidRPr="00B32B9C">
        <w:rPr>
          <w:rFonts w:cstheme="minorHAnsi"/>
          <w:szCs w:val="24"/>
        </w:rPr>
        <w:t>, 4355–4368 (2009).</w:t>
      </w:r>
    </w:p>
    <w:p w14:paraId="695EE1E5" w14:textId="47614E4D" w:rsidR="00B02373" w:rsidRPr="00B32B9C" w:rsidRDefault="00600E54">
      <w:pPr>
        <w:autoSpaceDE w:val="0"/>
        <w:autoSpaceDN w:val="0"/>
        <w:adjustRightInd w:val="0"/>
        <w:spacing w:after="140" w:line="288" w:lineRule="auto"/>
        <w:ind w:left="640" w:hanging="640"/>
        <w:rPr>
          <w:rFonts w:cstheme="minorHAnsi"/>
        </w:rPr>
      </w:pPr>
      <w:r w:rsidRPr="00B32B9C">
        <w:rPr>
          <w:rFonts w:cstheme="minorHAnsi"/>
          <w:szCs w:val="24"/>
        </w:rPr>
        <w:t>S</w:t>
      </w:r>
      <w:r w:rsidR="00B02373" w:rsidRPr="00B32B9C">
        <w:rPr>
          <w:rFonts w:cstheme="minorHAnsi"/>
          <w:szCs w:val="24"/>
        </w:rPr>
        <w:t>6.</w:t>
      </w:r>
      <w:r w:rsidR="00B02373" w:rsidRPr="00B32B9C">
        <w:rPr>
          <w:rFonts w:cstheme="minorHAnsi"/>
          <w:szCs w:val="24"/>
        </w:rPr>
        <w:tab/>
        <w:t xml:space="preserve">Winter, M. E. N-FINDR: an algorithm for fast autonomous spectral end-member determination in hyperspectral data. in </w:t>
      </w:r>
      <w:proofErr w:type="spellStart"/>
      <w:r w:rsidR="00B02373" w:rsidRPr="00B32B9C">
        <w:rPr>
          <w:rFonts w:cstheme="minorHAnsi"/>
          <w:i/>
          <w:iCs/>
          <w:szCs w:val="24"/>
        </w:rPr>
        <w:t>Proc.SPIE</w:t>
      </w:r>
      <w:proofErr w:type="spellEnd"/>
      <w:r w:rsidR="00B02373" w:rsidRPr="00B32B9C">
        <w:rPr>
          <w:rFonts w:cstheme="minorHAnsi"/>
          <w:szCs w:val="24"/>
        </w:rPr>
        <w:t xml:space="preserve"> </w:t>
      </w:r>
      <w:r w:rsidR="00B02373" w:rsidRPr="00B32B9C">
        <w:rPr>
          <w:rFonts w:cstheme="minorHAnsi"/>
          <w:b/>
          <w:bCs w:val="0"/>
          <w:szCs w:val="24"/>
        </w:rPr>
        <w:t>3753</w:t>
      </w:r>
      <w:r w:rsidR="00B02373" w:rsidRPr="00B32B9C">
        <w:rPr>
          <w:rFonts w:cstheme="minorHAnsi"/>
          <w:szCs w:val="24"/>
        </w:rPr>
        <w:t>, (1999).</w:t>
      </w:r>
    </w:p>
    <w:p w14:paraId="07588624" w14:textId="15F1860F" w:rsidR="00C7602A" w:rsidRDefault="00C7602A" w:rsidP="00B02373">
      <w:pPr>
        <w:autoSpaceDE w:val="0"/>
        <w:autoSpaceDN w:val="0"/>
        <w:adjustRightInd w:val="0"/>
        <w:ind w:left="640" w:hanging="640"/>
      </w:pPr>
    </w:p>
    <w:p w14:paraId="0065107E" w14:textId="77777777" w:rsidR="00C7602A" w:rsidRPr="00C7602A" w:rsidRDefault="00C7602A" w:rsidP="00C7602A"/>
    <w:sectPr w:rsidR="00C7602A" w:rsidRPr="00C7602A" w:rsidSect="00B02373">
      <w:pgSz w:w="12240" w:h="15840" w:code="1"/>
      <w:pgMar w:top="1440" w:right="1080" w:bottom="1440" w:left="1080" w:header="720" w:footer="720" w:gutter="0"/>
      <w:cols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D80C4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28A3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CCCF0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B218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91250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6CF2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756E0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1A4C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4050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D851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F0308"/>
    <w:multiLevelType w:val="multilevel"/>
    <w:tmpl w:val="19B0F2BE"/>
    <w:styleLink w:val="Subventions"/>
    <w:lvl w:ilvl="0">
      <w:start w:val="1"/>
      <w:numFmt w:val="decimal"/>
      <w:suff w:val="space"/>
      <w:lvlText w:val="SUB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01F24AA"/>
    <w:multiLevelType w:val="multilevel"/>
    <w:tmpl w:val="FDE02266"/>
    <w:styleLink w:val="rsums"/>
    <w:lvl w:ilvl="0">
      <w:start w:val="1"/>
      <w:numFmt w:val="decimal"/>
      <w:suff w:val="space"/>
      <w:lvlText w:val="RES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171F33D5"/>
    <w:multiLevelType w:val="multilevel"/>
    <w:tmpl w:val="7B54C462"/>
    <w:styleLink w:val="Affiches"/>
    <w:lvl w:ilvl="0">
      <w:start w:val="1"/>
      <w:numFmt w:val="decimal"/>
      <w:suff w:val="space"/>
      <w:lvlText w:val="AFF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17C649D2"/>
    <w:multiLevelType w:val="multilevel"/>
    <w:tmpl w:val="4F749324"/>
    <w:styleLink w:val="articles"/>
    <w:lvl w:ilvl="0">
      <w:start w:val="1"/>
      <w:numFmt w:val="decimal"/>
      <w:suff w:val="space"/>
      <w:lvlText w:val="ART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26F66D52"/>
    <w:multiLevelType w:val="hybridMultilevel"/>
    <w:tmpl w:val="43660148"/>
    <w:lvl w:ilvl="0" w:tplc="722EC460">
      <w:start w:val="1"/>
      <w:numFmt w:val="decimal"/>
      <w:pStyle w:val="SI"/>
      <w:lvlText w:val="S%1."/>
      <w:lvlJc w:val="left"/>
      <w:pPr>
        <w:ind w:left="502"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E0B287A"/>
    <w:multiLevelType w:val="multilevel"/>
    <w:tmpl w:val="7A766D24"/>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w:lvlJc w:val="left"/>
      <w:pPr>
        <w:ind w:left="0" w:firstLine="0"/>
      </w:pPr>
      <w:rPr>
        <w:rFonts w:hint="default"/>
      </w:rPr>
    </w:lvl>
    <w:lvl w:ilvl="4">
      <w:start w:val="1"/>
      <w:numFmt w:val="decimal"/>
      <w:pStyle w:val="Heading5"/>
      <w:suff w:val="nothing"/>
      <w:lvlText w:val="%1.%2.%3.%4.%5. "/>
      <w:lvlJc w:val="left"/>
      <w:pPr>
        <w:ind w:left="0" w:firstLine="0"/>
      </w:pPr>
      <w:rPr>
        <w:rFonts w:hint="default"/>
      </w:rPr>
    </w:lvl>
    <w:lvl w:ilvl="5">
      <w:start w:val="1"/>
      <w:numFmt w:val="decimal"/>
      <w:pStyle w:val="Heading6"/>
      <w:suff w:val="nothing"/>
      <w:lvlText w:val="%1.%2.%3.%4.%5.%6. "/>
      <w:lvlJc w:val="left"/>
      <w:pPr>
        <w:ind w:left="0" w:firstLine="0"/>
      </w:pPr>
      <w:rPr>
        <w:rFonts w:hint="default"/>
      </w:rPr>
    </w:lvl>
    <w:lvl w:ilvl="6">
      <w:start w:val="1"/>
      <w:numFmt w:val="upperLetter"/>
      <w:pStyle w:val="Heading7"/>
      <w:suff w:val="space"/>
      <w:lvlText w:val="Annexe %7."/>
      <w:lvlJc w:val="left"/>
      <w:pPr>
        <w:ind w:left="0" w:firstLine="0"/>
      </w:pPr>
      <w:rPr>
        <w:rFonts w:hint="default"/>
      </w:rPr>
    </w:lvl>
    <w:lvl w:ilvl="7">
      <w:start w:val="1"/>
      <w:numFmt w:val="decimal"/>
      <w:pStyle w:val="Heading8"/>
      <w:suff w:val="space"/>
      <w:lvlText w:val="%7.%8. "/>
      <w:lvlJc w:val="left"/>
      <w:pPr>
        <w:ind w:left="0" w:firstLine="0"/>
      </w:pPr>
      <w:rPr>
        <w:rFonts w:hint="default"/>
      </w:rPr>
    </w:lvl>
    <w:lvl w:ilvl="8">
      <w:start w:val="1"/>
      <w:numFmt w:val="decimal"/>
      <w:pStyle w:val="Heading9"/>
      <w:suff w:val="space"/>
      <w:lvlText w:val="%7.%8.%9. "/>
      <w:lvlJc w:val="left"/>
      <w:pPr>
        <w:ind w:left="0" w:firstLine="0"/>
      </w:pPr>
      <w:rPr>
        <w:rFonts w:hint="default"/>
      </w:rPr>
    </w:lvl>
  </w:abstractNum>
  <w:abstractNum w:abstractNumId="16" w15:restartNumberingAfterBreak="0">
    <w:nsid w:val="33A45C73"/>
    <w:multiLevelType w:val="hybridMultilevel"/>
    <w:tmpl w:val="F0C0A972"/>
    <w:lvl w:ilvl="0" w:tplc="179ABD7E">
      <w:start w:val="1"/>
      <w:numFmt w:val="bullet"/>
      <w:lvlText w:val=""/>
      <w:lvlJc w:val="left"/>
      <w:pPr>
        <w:tabs>
          <w:tab w:val="num" w:pos="720"/>
        </w:tabs>
        <w:ind w:left="720" w:hanging="360"/>
      </w:pPr>
      <w:rPr>
        <w:rFonts w:ascii="Wingdings 3" w:hAnsi="Wingdings 3" w:hint="default"/>
      </w:rPr>
    </w:lvl>
    <w:lvl w:ilvl="1" w:tplc="3824396A" w:tentative="1">
      <w:start w:val="1"/>
      <w:numFmt w:val="bullet"/>
      <w:lvlText w:val=""/>
      <w:lvlJc w:val="left"/>
      <w:pPr>
        <w:tabs>
          <w:tab w:val="num" w:pos="1440"/>
        </w:tabs>
        <w:ind w:left="1440" w:hanging="360"/>
      </w:pPr>
      <w:rPr>
        <w:rFonts w:ascii="Wingdings 3" w:hAnsi="Wingdings 3" w:hint="default"/>
      </w:rPr>
    </w:lvl>
    <w:lvl w:ilvl="2" w:tplc="06404946" w:tentative="1">
      <w:start w:val="1"/>
      <w:numFmt w:val="bullet"/>
      <w:lvlText w:val=""/>
      <w:lvlJc w:val="left"/>
      <w:pPr>
        <w:tabs>
          <w:tab w:val="num" w:pos="2160"/>
        </w:tabs>
        <w:ind w:left="2160" w:hanging="360"/>
      </w:pPr>
      <w:rPr>
        <w:rFonts w:ascii="Wingdings 3" w:hAnsi="Wingdings 3" w:hint="default"/>
      </w:rPr>
    </w:lvl>
    <w:lvl w:ilvl="3" w:tplc="7D1ADA50" w:tentative="1">
      <w:start w:val="1"/>
      <w:numFmt w:val="bullet"/>
      <w:lvlText w:val=""/>
      <w:lvlJc w:val="left"/>
      <w:pPr>
        <w:tabs>
          <w:tab w:val="num" w:pos="2880"/>
        </w:tabs>
        <w:ind w:left="2880" w:hanging="360"/>
      </w:pPr>
      <w:rPr>
        <w:rFonts w:ascii="Wingdings 3" w:hAnsi="Wingdings 3" w:hint="default"/>
      </w:rPr>
    </w:lvl>
    <w:lvl w:ilvl="4" w:tplc="AEFEED8E" w:tentative="1">
      <w:start w:val="1"/>
      <w:numFmt w:val="bullet"/>
      <w:lvlText w:val=""/>
      <w:lvlJc w:val="left"/>
      <w:pPr>
        <w:tabs>
          <w:tab w:val="num" w:pos="3600"/>
        </w:tabs>
        <w:ind w:left="3600" w:hanging="360"/>
      </w:pPr>
      <w:rPr>
        <w:rFonts w:ascii="Wingdings 3" w:hAnsi="Wingdings 3" w:hint="default"/>
      </w:rPr>
    </w:lvl>
    <w:lvl w:ilvl="5" w:tplc="0C9296F4" w:tentative="1">
      <w:start w:val="1"/>
      <w:numFmt w:val="bullet"/>
      <w:lvlText w:val=""/>
      <w:lvlJc w:val="left"/>
      <w:pPr>
        <w:tabs>
          <w:tab w:val="num" w:pos="4320"/>
        </w:tabs>
        <w:ind w:left="4320" w:hanging="360"/>
      </w:pPr>
      <w:rPr>
        <w:rFonts w:ascii="Wingdings 3" w:hAnsi="Wingdings 3" w:hint="default"/>
      </w:rPr>
    </w:lvl>
    <w:lvl w:ilvl="6" w:tplc="88FA4420" w:tentative="1">
      <w:start w:val="1"/>
      <w:numFmt w:val="bullet"/>
      <w:lvlText w:val=""/>
      <w:lvlJc w:val="left"/>
      <w:pPr>
        <w:tabs>
          <w:tab w:val="num" w:pos="5040"/>
        </w:tabs>
        <w:ind w:left="5040" w:hanging="360"/>
      </w:pPr>
      <w:rPr>
        <w:rFonts w:ascii="Wingdings 3" w:hAnsi="Wingdings 3" w:hint="default"/>
      </w:rPr>
    </w:lvl>
    <w:lvl w:ilvl="7" w:tplc="F59E2E4A" w:tentative="1">
      <w:start w:val="1"/>
      <w:numFmt w:val="bullet"/>
      <w:lvlText w:val=""/>
      <w:lvlJc w:val="left"/>
      <w:pPr>
        <w:tabs>
          <w:tab w:val="num" w:pos="5760"/>
        </w:tabs>
        <w:ind w:left="5760" w:hanging="360"/>
      </w:pPr>
      <w:rPr>
        <w:rFonts w:ascii="Wingdings 3" w:hAnsi="Wingdings 3" w:hint="default"/>
      </w:rPr>
    </w:lvl>
    <w:lvl w:ilvl="8" w:tplc="33F2264C"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34141B65"/>
    <w:multiLevelType w:val="multilevel"/>
    <w:tmpl w:val="33627FA8"/>
    <w:styleLink w:val="professionnel"/>
    <w:lvl w:ilvl="0">
      <w:start w:val="1"/>
      <w:numFmt w:val="decimal"/>
      <w:lvlText w:val="PRO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34F8453A"/>
    <w:multiLevelType w:val="multilevel"/>
    <w:tmpl w:val="FD2C2BD8"/>
    <w:styleLink w:val="tudiants"/>
    <w:lvl w:ilvl="0">
      <w:start w:val="1"/>
      <w:numFmt w:val="decimal"/>
      <w:suff w:val="space"/>
      <w:lvlText w:val="ETU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362736CA"/>
    <w:multiLevelType w:val="multilevel"/>
    <w:tmpl w:val="2C7E3AE4"/>
    <w:styleLink w:val="prsentationorale"/>
    <w:lvl w:ilvl="0">
      <w:start w:val="1"/>
      <w:numFmt w:val="decimal"/>
      <w:suff w:val="space"/>
      <w:lvlText w:val="PRE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394F4A30"/>
    <w:multiLevelType w:val="hybridMultilevel"/>
    <w:tmpl w:val="8A347898"/>
    <w:lvl w:ilvl="0" w:tplc="F726FD88">
      <w:start w:val="1"/>
      <w:numFmt w:val="bullet"/>
      <w:lvlText w:val=""/>
      <w:lvlJc w:val="left"/>
      <w:pPr>
        <w:tabs>
          <w:tab w:val="num" w:pos="720"/>
        </w:tabs>
        <w:ind w:left="720" w:hanging="360"/>
      </w:pPr>
      <w:rPr>
        <w:rFonts w:ascii="Wingdings" w:hAnsi="Wingdings" w:hint="default"/>
      </w:rPr>
    </w:lvl>
    <w:lvl w:ilvl="1" w:tplc="09820866" w:tentative="1">
      <w:start w:val="1"/>
      <w:numFmt w:val="bullet"/>
      <w:lvlText w:val=""/>
      <w:lvlJc w:val="left"/>
      <w:pPr>
        <w:tabs>
          <w:tab w:val="num" w:pos="1440"/>
        </w:tabs>
        <w:ind w:left="1440" w:hanging="360"/>
      </w:pPr>
      <w:rPr>
        <w:rFonts w:ascii="Wingdings" w:hAnsi="Wingdings" w:hint="default"/>
      </w:rPr>
    </w:lvl>
    <w:lvl w:ilvl="2" w:tplc="AC689A90" w:tentative="1">
      <w:start w:val="1"/>
      <w:numFmt w:val="bullet"/>
      <w:lvlText w:val=""/>
      <w:lvlJc w:val="left"/>
      <w:pPr>
        <w:tabs>
          <w:tab w:val="num" w:pos="2160"/>
        </w:tabs>
        <w:ind w:left="2160" w:hanging="360"/>
      </w:pPr>
      <w:rPr>
        <w:rFonts w:ascii="Wingdings" w:hAnsi="Wingdings" w:hint="default"/>
      </w:rPr>
    </w:lvl>
    <w:lvl w:ilvl="3" w:tplc="283ABA48" w:tentative="1">
      <w:start w:val="1"/>
      <w:numFmt w:val="bullet"/>
      <w:lvlText w:val=""/>
      <w:lvlJc w:val="left"/>
      <w:pPr>
        <w:tabs>
          <w:tab w:val="num" w:pos="2880"/>
        </w:tabs>
        <w:ind w:left="2880" w:hanging="360"/>
      </w:pPr>
      <w:rPr>
        <w:rFonts w:ascii="Wingdings" w:hAnsi="Wingdings" w:hint="default"/>
      </w:rPr>
    </w:lvl>
    <w:lvl w:ilvl="4" w:tplc="D09C85FE" w:tentative="1">
      <w:start w:val="1"/>
      <w:numFmt w:val="bullet"/>
      <w:lvlText w:val=""/>
      <w:lvlJc w:val="left"/>
      <w:pPr>
        <w:tabs>
          <w:tab w:val="num" w:pos="3600"/>
        </w:tabs>
        <w:ind w:left="3600" w:hanging="360"/>
      </w:pPr>
      <w:rPr>
        <w:rFonts w:ascii="Wingdings" w:hAnsi="Wingdings" w:hint="default"/>
      </w:rPr>
    </w:lvl>
    <w:lvl w:ilvl="5" w:tplc="CB52B2FC" w:tentative="1">
      <w:start w:val="1"/>
      <w:numFmt w:val="bullet"/>
      <w:lvlText w:val=""/>
      <w:lvlJc w:val="left"/>
      <w:pPr>
        <w:tabs>
          <w:tab w:val="num" w:pos="4320"/>
        </w:tabs>
        <w:ind w:left="4320" w:hanging="360"/>
      </w:pPr>
      <w:rPr>
        <w:rFonts w:ascii="Wingdings" w:hAnsi="Wingdings" w:hint="default"/>
      </w:rPr>
    </w:lvl>
    <w:lvl w:ilvl="6" w:tplc="EF149840" w:tentative="1">
      <w:start w:val="1"/>
      <w:numFmt w:val="bullet"/>
      <w:lvlText w:val=""/>
      <w:lvlJc w:val="left"/>
      <w:pPr>
        <w:tabs>
          <w:tab w:val="num" w:pos="5040"/>
        </w:tabs>
        <w:ind w:left="5040" w:hanging="360"/>
      </w:pPr>
      <w:rPr>
        <w:rFonts w:ascii="Wingdings" w:hAnsi="Wingdings" w:hint="default"/>
      </w:rPr>
    </w:lvl>
    <w:lvl w:ilvl="7" w:tplc="40240BE2" w:tentative="1">
      <w:start w:val="1"/>
      <w:numFmt w:val="bullet"/>
      <w:lvlText w:val=""/>
      <w:lvlJc w:val="left"/>
      <w:pPr>
        <w:tabs>
          <w:tab w:val="num" w:pos="5760"/>
        </w:tabs>
        <w:ind w:left="5760" w:hanging="360"/>
      </w:pPr>
      <w:rPr>
        <w:rFonts w:ascii="Wingdings" w:hAnsi="Wingdings" w:hint="default"/>
      </w:rPr>
    </w:lvl>
    <w:lvl w:ilvl="8" w:tplc="586E0F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3E57C5"/>
    <w:multiLevelType w:val="multilevel"/>
    <w:tmpl w:val="AA668FA0"/>
    <w:styleLink w:val="Collaborations"/>
    <w:lvl w:ilvl="0">
      <w:start w:val="1"/>
      <w:numFmt w:val="decimal"/>
      <w:suff w:val="space"/>
      <w:lvlText w:val="COL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65386BE0"/>
    <w:multiLevelType w:val="multilevel"/>
    <w:tmpl w:val="A7AACCAE"/>
    <w:styleLink w:val="Chapitredelivre"/>
    <w:lvl w:ilvl="0">
      <w:start w:val="1"/>
      <w:numFmt w:val="decimal"/>
      <w:suff w:val="space"/>
      <w:lvlText w:val="CHA %1."/>
      <w:lvlJc w:val="left"/>
      <w:pPr>
        <w:ind w:left="0" w:firstLine="0"/>
      </w:pPr>
      <w:rPr>
        <w:rFonts w:hint="default"/>
        <w:b/>
        <w:i w:val="0"/>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69BD4F66"/>
    <w:multiLevelType w:val="hybridMultilevel"/>
    <w:tmpl w:val="64520092"/>
    <w:lvl w:ilvl="0" w:tplc="297E0EBC">
      <w:start w:val="1"/>
      <w:numFmt w:val="bullet"/>
      <w:lvlText w:val=""/>
      <w:lvlJc w:val="left"/>
      <w:pPr>
        <w:tabs>
          <w:tab w:val="num" w:pos="720"/>
        </w:tabs>
        <w:ind w:left="720" w:hanging="360"/>
      </w:pPr>
      <w:rPr>
        <w:rFonts w:ascii="Wingdings" w:hAnsi="Wingdings" w:hint="default"/>
      </w:rPr>
    </w:lvl>
    <w:lvl w:ilvl="1" w:tplc="9CB08D02" w:tentative="1">
      <w:start w:val="1"/>
      <w:numFmt w:val="bullet"/>
      <w:lvlText w:val=""/>
      <w:lvlJc w:val="left"/>
      <w:pPr>
        <w:tabs>
          <w:tab w:val="num" w:pos="1440"/>
        </w:tabs>
        <w:ind w:left="1440" w:hanging="360"/>
      </w:pPr>
      <w:rPr>
        <w:rFonts w:ascii="Wingdings" w:hAnsi="Wingdings" w:hint="default"/>
      </w:rPr>
    </w:lvl>
    <w:lvl w:ilvl="2" w:tplc="22322674" w:tentative="1">
      <w:start w:val="1"/>
      <w:numFmt w:val="bullet"/>
      <w:lvlText w:val=""/>
      <w:lvlJc w:val="left"/>
      <w:pPr>
        <w:tabs>
          <w:tab w:val="num" w:pos="2160"/>
        </w:tabs>
        <w:ind w:left="2160" w:hanging="360"/>
      </w:pPr>
      <w:rPr>
        <w:rFonts w:ascii="Wingdings" w:hAnsi="Wingdings" w:hint="default"/>
      </w:rPr>
    </w:lvl>
    <w:lvl w:ilvl="3" w:tplc="9E048FD2" w:tentative="1">
      <w:start w:val="1"/>
      <w:numFmt w:val="bullet"/>
      <w:lvlText w:val=""/>
      <w:lvlJc w:val="left"/>
      <w:pPr>
        <w:tabs>
          <w:tab w:val="num" w:pos="2880"/>
        </w:tabs>
        <w:ind w:left="2880" w:hanging="360"/>
      </w:pPr>
      <w:rPr>
        <w:rFonts w:ascii="Wingdings" w:hAnsi="Wingdings" w:hint="default"/>
      </w:rPr>
    </w:lvl>
    <w:lvl w:ilvl="4" w:tplc="E0CED79E" w:tentative="1">
      <w:start w:val="1"/>
      <w:numFmt w:val="bullet"/>
      <w:lvlText w:val=""/>
      <w:lvlJc w:val="left"/>
      <w:pPr>
        <w:tabs>
          <w:tab w:val="num" w:pos="3600"/>
        </w:tabs>
        <w:ind w:left="3600" w:hanging="360"/>
      </w:pPr>
      <w:rPr>
        <w:rFonts w:ascii="Wingdings" w:hAnsi="Wingdings" w:hint="default"/>
      </w:rPr>
    </w:lvl>
    <w:lvl w:ilvl="5" w:tplc="67221678" w:tentative="1">
      <w:start w:val="1"/>
      <w:numFmt w:val="bullet"/>
      <w:lvlText w:val=""/>
      <w:lvlJc w:val="left"/>
      <w:pPr>
        <w:tabs>
          <w:tab w:val="num" w:pos="4320"/>
        </w:tabs>
        <w:ind w:left="4320" w:hanging="360"/>
      </w:pPr>
      <w:rPr>
        <w:rFonts w:ascii="Wingdings" w:hAnsi="Wingdings" w:hint="default"/>
      </w:rPr>
    </w:lvl>
    <w:lvl w:ilvl="6" w:tplc="6A6AC7FE" w:tentative="1">
      <w:start w:val="1"/>
      <w:numFmt w:val="bullet"/>
      <w:lvlText w:val=""/>
      <w:lvlJc w:val="left"/>
      <w:pPr>
        <w:tabs>
          <w:tab w:val="num" w:pos="5040"/>
        </w:tabs>
        <w:ind w:left="5040" w:hanging="360"/>
      </w:pPr>
      <w:rPr>
        <w:rFonts w:ascii="Wingdings" w:hAnsi="Wingdings" w:hint="default"/>
      </w:rPr>
    </w:lvl>
    <w:lvl w:ilvl="7" w:tplc="0EE488C4" w:tentative="1">
      <w:start w:val="1"/>
      <w:numFmt w:val="bullet"/>
      <w:lvlText w:val=""/>
      <w:lvlJc w:val="left"/>
      <w:pPr>
        <w:tabs>
          <w:tab w:val="num" w:pos="5760"/>
        </w:tabs>
        <w:ind w:left="5760" w:hanging="360"/>
      </w:pPr>
      <w:rPr>
        <w:rFonts w:ascii="Wingdings" w:hAnsi="Wingdings" w:hint="default"/>
      </w:rPr>
    </w:lvl>
    <w:lvl w:ilvl="8" w:tplc="368605C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16795"/>
    <w:multiLevelType w:val="hybridMultilevel"/>
    <w:tmpl w:val="198EB696"/>
    <w:lvl w:ilvl="0" w:tplc="18AE0ABA">
      <w:start w:val="1"/>
      <w:numFmt w:val="decimal"/>
      <w:lvlText w:val="%1."/>
      <w:lvlJc w:val="lef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22"/>
  </w:num>
  <w:num w:numId="4">
    <w:abstractNumId w:val="21"/>
  </w:num>
  <w:num w:numId="5">
    <w:abstractNumId w:val="18"/>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15"/>
  </w:num>
  <w:num w:numId="14">
    <w:abstractNumId w:val="15"/>
  </w:num>
  <w:num w:numId="15">
    <w:abstractNumId w:val="9"/>
  </w:num>
  <w:num w:numId="16">
    <w:abstractNumId w:val="9"/>
  </w:num>
  <w:num w:numId="17">
    <w:abstractNumId w:val="7"/>
  </w:num>
  <w:num w:numId="18">
    <w:abstractNumId w:val="7"/>
  </w:num>
  <w:num w:numId="19">
    <w:abstractNumId w:val="6"/>
  </w:num>
  <w:num w:numId="20">
    <w:abstractNumId w:val="6"/>
  </w:num>
  <w:num w:numId="21">
    <w:abstractNumId w:val="5"/>
  </w:num>
  <w:num w:numId="22">
    <w:abstractNumId w:val="5"/>
  </w:num>
  <w:num w:numId="23">
    <w:abstractNumId w:val="4"/>
  </w:num>
  <w:num w:numId="24">
    <w:abstractNumId w:val="4"/>
  </w:num>
  <w:num w:numId="25">
    <w:abstractNumId w:val="8"/>
  </w:num>
  <w:num w:numId="26">
    <w:abstractNumId w:val="8"/>
  </w:num>
  <w:num w:numId="27">
    <w:abstractNumId w:val="3"/>
  </w:num>
  <w:num w:numId="28">
    <w:abstractNumId w:val="3"/>
  </w:num>
  <w:num w:numId="29">
    <w:abstractNumId w:val="2"/>
  </w:num>
  <w:num w:numId="30">
    <w:abstractNumId w:val="2"/>
  </w:num>
  <w:num w:numId="31">
    <w:abstractNumId w:val="1"/>
  </w:num>
  <w:num w:numId="32">
    <w:abstractNumId w:val="1"/>
  </w:num>
  <w:num w:numId="33">
    <w:abstractNumId w:val="0"/>
  </w:num>
  <w:num w:numId="34">
    <w:abstractNumId w:val="0"/>
  </w:num>
  <w:num w:numId="35">
    <w:abstractNumId w:val="19"/>
  </w:num>
  <w:num w:numId="36">
    <w:abstractNumId w:val="17"/>
  </w:num>
  <w:num w:numId="37">
    <w:abstractNumId w:val="11"/>
  </w:num>
  <w:num w:numId="38">
    <w:abstractNumId w:val="15"/>
  </w:num>
  <w:num w:numId="39">
    <w:abstractNumId w:val="10"/>
  </w:num>
  <w:num w:numId="40">
    <w:abstractNumId w:val="16"/>
  </w:num>
  <w:num w:numId="41">
    <w:abstractNumId w:val="14"/>
  </w:num>
  <w:num w:numId="42">
    <w:abstractNumId w:val="23"/>
  </w:num>
  <w:num w:numId="43">
    <w:abstractNumId w:val="20"/>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C45"/>
    <w:rsid w:val="00015CCE"/>
    <w:rsid w:val="00017DC7"/>
    <w:rsid w:val="00025768"/>
    <w:rsid w:val="00036E4C"/>
    <w:rsid w:val="00045250"/>
    <w:rsid w:val="00047E2F"/>
    <w:rsid w:val="00050F1F"/>
    <w:rsid w:val="000604E8"/>
    <w:rsid w:val="00087FBF"/>
    <w:rsid w:val="0009394D"/>
    <w:rsid w:val="000A3BF0"/>
    <w:rsid w:val="000B1A0A"/>
    <w:rsid w:val="000B4C58"/>
    <w:rsid w:val="000B7827"/>
    <w:rsid w:val="000C0BF5"/>
    <w:rsid w:val="000C3592"/>
    <w:rsid w:val="000C582D"/>
    <w:rsid w:val="000E0B09"/>
    <w:rsid w:val="000E3CA1"/>
    <w:rsid w:val="000E4D47"/>
    <w:rsid w:val="000F0902"/>
    <w:rsid w:val="0010118D"/>
    <w:rsid w:val="00101A6C"/>
    <w:rsid w:val="00110125"/>
    <w:rsid w:val="0011317D"/>
    <w:rsid w:val="00123660"/>
    <w:rsid w:val="0012596F"/>
    <w:rsid w:val="0013694C"/>
    <w:rsid w:val="001402B9"/>
    <w:rsid w:val="001473A1"/>
    <w:rsid w:val="00150E0D"/>
    <w:rsid w:val="00162813"/>
    <w:rsid w:val="001747D8"/>
    <w:rsid w:val="001804FB"/>
    <w:rsid w:val="001813D4"/>
    <w:rsid w:val="001951C4"/>
    <w:rsid w:val="00196920"/>
    <w:rsid w:val="001B2D30"/>
    <w:rsid w:val="001B5FE4"/>
    <w:rsid w:val="001C2141"/>
    <w:rsid w:val="001C38B0"/>
    <w:rsid w:val="001C5274"/>
    <w:rsid w:val="001C57D8"/>
    <w:rsid w:val="001C5A4D"/>
    <w:rsid w:val="002032A1"/>
    <w:rsid w:val="00210E64"/>
    <w:rsid w:val="0022342A"/>
    <w:rsid w:val="00241408"/>
    <w:rsid w:val="00245904"/>
    <w:rsid w:val="002514D7"/>
    <w:rsid w:val="002628BB"/>
    <w:rsid w:val="00267A75"/>
    <w:rsid w:val="00295447"/>
    <w:rsid w:val="00295BDC"/>
    <w:rsid w:val="002A2B0B"/>
    <w:rsid w:val="002A567D"/>
    <w:rsid w:val="002C3E85"/>
    <w:rsid w:val="002C56EC"/>
    <w:rsid w:val="002D0FA1"/>
    <w:rsid w:val="002D21D5"/>
    <w:rsid w:val="002D5CB3"/>
    <w:rsid w:val="002E2E4D"/>
    <w:rsid w:val="002E5CA0"/>
    <w:rsid w:val="002E5D40"/>
    <w:rsid w:val="002F04F0"/>
    <w:rsid w:val="002F7854"/>
    <w:rsid w:val="003142E4"/>
    <w:rsid w:val="00314C8C"/>
    <w:rsid w:val="00325120"/>
    <w:rsid w:val="00330918"/>
    <w:rsid w:val="003368FA"/>
    <w:rsid w:val="00336B2A"/>
    <w:rsid w:val="00352CB6"/>
    <w:rsid w:val="00353AA9"/>
    <w:rsid w:val="003648AB"/>
    <w:rsid w:val="00371BD2"/>
    <w:rsid w:val="0037641A"/>
    <w:rsid w:val="0037724B"/>
    <w:rsid w:val="00384BFE"/>
    <w:rsid w:val="00385C00"/>
    <w:rsid w:val="003873DB"/>
    <w:rsid w:val="003A6A65"/>
    <w:rsid w:val="003D3807"/>
    <w:rsid w:val="003E0972"/>
    <w:rsid w:val="003E2290"/>
    <w:rsid w:val="003E420E"/>
    <w:rsid w:val="003E73F2"/>
    <w:rsid w:val="003F4833"/>
    <w:rsid w:val="003F7409"/>
    <w:rsid w:val="00400B23"/>
    <w:rsid w:val="00402448"/>
    <w:rsid w:val="004039E5"/>
    <w:rsid w:val="0040798D"/>
    <w:rsid w:val="00417959"/>
    <w:rsid w:val="004215CA"/>
    <w:rsid w:val="00426943"/>
    <w:rsid w:val="0046719D"/>
    <w:rsid w:val="00475213"/>
    <w:rsid w:val="004761A9"/>
    <w:rsid w:val="00483F99"/>
    <w:rsid w:val="00485A62"/>
    <w:rsid w:val="0049578F"/>
    <w:rsid w:val="00495DC9"/>
    <w:rsid w:val="004C07ED"/>
    <w:rsid w:val="004C1530"/>
    <w:rsid w:val="004D0C9C"/>
    <w:rsid w:val="004D3857"/>
    <w:rsid w:val="004D3932"/>
    <w:rsid w:val="004E203B"/>
    <w:rsid w:val="004F1CB4"/>
    <w:rsid w:val="004F72C1"/>
    <w:rsid w:val="004F7F9F"/>
    <w:rsid w:val="00511455"/>
    <w:rsid w:val="00511FAB"/>
    <w:rsid w:val="005145E3"/>
    <w:rsid w:val="00516F6D"/>
    <w:rsid w:val="005267DD"/>
    <w:rsid w:val="005336F4"/>
    <w:rsid w:val="00541DCC"/>
    <w:rsid w:val="005425B3"/>
    <w:rsid w:val="00551C11"/>
    <w:rsid w:val="005522C6"/>
    <w:rsid w:val="005528F0"/>
    <w:rsid w:val="0055322D"/>
    <w:rsid w:val="00570F86"/>
    <w:rsid w:val="0058489C"/>
    <w:rsid w:val="00584B3A"/>
    <w:rsid w:val="00594457"/>
    <w:rsid w:val="005A0A91"/>
    <w:rsid w:val="005A3840"/>
    <w:rsid w:val="005A3E6A"/>
    <w:rsid w:val="005B2CAA"/>
    <w:rsid w:val="005C083B"/>
    <w:rsid w:val="005C0DD9"/>
    <w:rsid w:val="005C4819"/>
    <w:rsid w:val="005D08B0"/>
    <w:rsid w:val="005D11AC"/>
    <w:rsid w:val="005D2E55"/>
    <w:rsid w:val="005E50D6"/>
    <w:rsid w:val="005F00DC"/>
    <w:rsid w:val="005F1C45"/>
    <w:rsid w:val="00600E54"/>
    <w:rsid w:val="00613A55"/>
    <w:rsid w:val="00624407"/>
    <w:rsid w:val="006263A3"/>
    <w:rsid w:val="00633225"/>
    <w:rsid w:val="006367BD"/>
    <w:rsid w:val="00636E99"/>
    <w:rsid w:val="00637467"/>
    <w:rsid w:val="00662A09"/>
    <w:rsid w:val="0066455E"/>
    <w:rsid w:val="006665F5"/>
    <w:rsid w:val="00670E84"/>
    <w:rsid w:val="0068231B"/>
    <w:rsid w:val="006A7FA3"/>
    <w:rsid w:val="006B178B"/>
    <w:rsid w:val="006D5288"/>
    <w:rsid w:val="006D6874"/>
    <w:rsid w:val="006D74F1"/>
    <w:rsid w:val="006E0C48"/>
    <w:rsid w:val="006E302C"/>
    <w:rsid w:val="006E3EB4"/>
    <w:rsid w:val="006E4BFB"/>
    <w:rsid w:val="006E55FB"/>
    <w:rsid w:val="006E5BB6"/>
    <w:rsid w:val="0071053B"/>
    <w:rsid w:val="00714551"/>
    <w:rsid w:val="00714F54"/>
    <w:rsid w:val="00724226"/>
    <w:rsid w:val="007255E4"/>
    <w:rsid w:val="0074425C"/>
    <w:rsid w:val="0074532E"/>
    <w:rsid w:val="00745368"/>
    <w:rsid w:val="00750F8A"/>
    <w:rsid w:val="007511D0"/>
    <w:rsid w:val="00755881"/>
    <w:rsid w:val="00766871"/>
    <w:rsid w:val="00781C4C"/>
    <w:rsid w:val="007848D6"/>
    <w:rsid w:val="00796336"/>
    <w:rsid w:val="00796C18"/>
    <w:rsid w:val="007A06F1"/>
    <w:rsid w:val="007A6410"/>
    <w:rsid w:val="007A7B5C"/>
    <w:rsid w:val="007B044E"/>
    <w:rsid w:val="007B0519"/>
    <w:rsid w:val="007B643A"/>
    <w:rsid w:val="007D28D0"/>
    <w:rsid w:val="007F09BE"/>
    <w:rsid w:val="00807A00"/>
    <w:rsid w:val="00831152"/>
    <w:rsid w:val="00836710"/>
    <w:rsid w:val="00844FBD"/>
    <w:rsid w:val="00847C20"/>
    <w:rsid w:val="008822C6"/>
    <w:rsid w:val="00884619"/>
    <w:rsid w:val="00890602"/>
    <w:rsid w:val="00894242"/>
    <w:rsid w:val="008A23E7"/>
    <w:rsid w:val="008A7D70"/>
    <w:rsid w:val="008B3235"/>
    <w:rsid w:val="008C75FA"/>
    <w:rsid w:val="008D0395"/>
    <w:rsid w:val="008D314C"/>
    <w:rsid w:val="008D47A1"/>
    <w:rsid w:val="008E6DAE"/>
    <w:rsid w:val="008F0466"/>
    <w:rsid w:val="008F478E"/>
    <w:rsid w:val="00902CB7"/>
    <w:rsid w:val="00913912"/>
    <w:rsid w:val="00923995"/>
    <w:rsid w:val="00930377"/>
    <w:rsid w:val="009331C2"/>
    <w:rsid w:val="00933AD6"/>
    <w:rsid w:val="00943C73"/>
    <w:rsid w:val="00972922"/>
    <w:rsid w:val="00974BEF"/>
    <w:rsid w:val="00981319"/>
    <w:rsid w:val="00992988"/>
    <w:rsid w:val="00993A81"/>
    <w:rsid w:val="0099632B"/>
    <w:rsid w:val="009978AC"/>
    <w:rsid w:val="009A162E"/>
    <w:rsid w:val="009B726E"/>
    <w:rsid w:val="009C1375"/>
    <w:rsid w:val="009C3D67"/>
    <w:rsid w:val="009D1098"/>
    <w:rsid w:val="009D5F83"/>
    <w:rsid w:val="009F390E"/>
    <w:rsid w:val="009F4025"/>
    <w:rsid w:val="009F67B7"/>
    <w:rsid w:val="00A052FE"/>
    <w:rsid w:val="00A11E7C"/>
    <w:rsid w:val="00A16321"/>
    <w:rsid w:val="00A16588"/>
    <w:rsid w:val="00A30715"/>
    <w:rsid w:val="00A40A74"/>
    <w:rsid w:val="00A6012B"/>
    <w:rsid w:val="00A64FA9"/>
    <w:rsid w:val="00A6601A"/>
    <w:rsid w:val="00A71896"/>
    <w:rsid w:val="00A725F2"/>
    <w:rsid w:val="00A815A7"/>
    <w:rsid w:val="00A851F0"/>
    <w:rsid w:val="00A865DA"/>
    <w:rsid w:val="00A867DD"/>
    <w:rsid w:val="00A868A4"/>
    <w:rsid w:val="00A91022"/>
    <w:rsid w:val="00A94923"/>
    <w:rsid w:val="00AA4303"/>
    <w:rsid w:val="00AA4D88"/>
    <w:rsid w:val="00AB2457"/>
    <w:rsid w:val="00AB4E4F"/>
    <w:rsid w:val="00AB4EAD"/>
    <w:rsid w:val="00AC6E85"/>
    <w:rsid w:val="00AD0BA8"/>
    <w:rsid w:val="00AE1C90"/>
    <w:rsid w:val="00B00157"/>
    <w:rsid w:val="00B00D3B"/>
    <w:rsid w:val="00B01EB5"/>
    <w:rsid w:val="00B02373"/>
    <w:rsid w:val="00B02E6C"/>
    <w:rsid w:val="00B146C7"/>
    <w:rsid w:val="00B164FE"/>
    <w:rsid w:val="00B3085F"/>
    <w:rsid w:val="00B31111"/>
    <w:rsid w:val="00B32B9C"/>
    <w:rsid w:val="00B3640D"/>
    <w:rsid w:val="00B4052E"/>
    <w:rsid w:val="00B4727E"/>
    <w:rsid w:val="00B62937"/>
    <w:rsid w:val="00B71DFC"/>
    <w:rsid w:val="00B72844"/>
    <w:rsid w:val="00B8079C"/>
    <w:rsid w:val="00B9290B"/>
    <w:rsid w:val="00B97E5C"/>
    <w:rsid w:val="00BA05DB"/>
    <w:rsid w:val="00BA1EBD"/>
    <w:rsid w:val="00BA4AF4"/>
    <w:rsid w:val="00BB5654"/>
    <w:rsid w:val="00BC3900"/>
    <w:rsid w:val="00BD08E1"/>
    <w:rsid w:val="00BD5C5D"/>
    <w:rsid w:val="00BE16A9"/>
    <w:rsid w:val="00BE2E98"/>
    <w:rsid w:val="00BE5874"/>
    <w:rsid w:val="00BF0723"/>
    <w:rsid w:val="00BF2772"/>
    <w:rsid w:val="00BF35D5"/>
    <w:rsid w:val="00BF6104"/>
    <w:rsid w:val="00C0258C"/>
    <w:rsid w:val="00C03832"/>
    <w:rsid w:val="00C0720C"/>
    <w:rsid w:val="00C17420"/>
    <w:rsid w:val="00C2197F"/>
    <w:rsid w:val="00C31FA4"/>
    <w:rsid w:val="00C33436"/>
    <w:rsid w:val="00C34A55"/>
    <w:rsid w:val="00C41C51"/>
    <w:rsid w:val="00C44A9D"/>
    <w:rsid w:val="00C51B31"/>
    <w:rsid w:val="00C55C5F"/>
    <w:rsid w:val="00C7602A"/>
    <w:rsid w:val="00C85824"/>
    <w:rsid w:val="00C85E07"/>
    <w:rsid w:val="00C929A5"/>
    <w:rsid w:val="00C933FF"/>
    <w:rsid w:val="00C97AF8"/>
    <w:rsid w:val="00CA4F15"/>
    <w:rsid w:val="00CB0081"/>
    <w:rsid w:val="00CB1ECB"/>
    <w:rsid w:val="00CB74F1"/>
    <w:rsid w:val="00CD3AD9"/>
    <w:rsid w:val="00CD3EEC"/>
    <w:rsid w:val="00CD70D6"/>
    <w:rsid w:val="00CF4A01"/>
    <w:rsid w:val="00D10022"/>
    <w:rsid w:val="00D130F9"/>
    <w:rsid w:val="00D17CFE"/>
    <w:rsid w:val="00D265DE"/>
    <w:rsid w:val="00D3485B"/>
    <w:rsid w:val="00D35DD2"/>
    <w:rsid w:val="00D602F8"/>
    <w:rsid w:val="00D73869"/>
    <w:rsid w:val="00D73A9A"/>
    <w:rsid w:val="00D80971"/>
    <w:rsid w:val="00D824E6"/>
    <w:rsid w:val="00DB4D55"/>
    <w:rsid w:val="00DC3B6C"/>
    <w:rsid w:val="00DC63A8"/>
    <w:rsid w:val="00DD3A1B"/>
    <w:rsid w:val="00DE3F7B"/>
    <w:rsid w:val="00DE4C56"/>
    <w:rsid w:val="00DF2978"/>
    <w:rsid w:val="00DF3E0A"/>
    <w:rsid w:val="00DF5C7B"/>
    <w:rsid w:val="00E01A95"/>
    <w:rsid w:val="00E106AC"/>
    <w:rsid w:val="00E27615"/>
    <w:rsid w:val="00E33B77"/>
    <w:rsid w:val="00E3471A"/>
    <w:rsid w:val="00E84403"/>
    <w:rsid w:val="00E9150C"/>
    <w:rsid w:val="00E92FBD"/>
    <w:rsid w:val="00E95710"/>
    <w:rsid w:val="00E96909"/>
    <w:rsid w:val="00EB05FA"/>
    <w:rsid w:val="00EB1CE4"/>
    <w:rsid w:val="00ED2556"/>
    <w:rsid w:val="00EF2FC7"/>
    <w:rsid w:val="00EF559E"/>
    <w:rsid w:val="00EF7158"/>
    <w:rsid w:val="00F16B3B"/>
    <w:rsid w:val="00F1715B"/>
    <w:rsid w:val="00F259E4"/>
    <w:rsid w:val="00F33887"/>
    <w:rsid w:val="00F3508D"/>
    <w:rsid w:val="00F36AD2"/>
    <w:rsid w:val="00F37754"/>
    <w:rsid w:val="00F42ACB"/>
    <w:rsid w:val="00F550A5"/>
    <w:rsid w:val="00F573FC"/>
    <w:rsid w:val="00F72E48"/>
    <w:rsid w:val="00F75B46"/>
    <w:rsid w:val="00F92BE7"/>
    <w:rsid w:val="00FB0840"/>
    <w:rsid w:val="00FB24A6"/>
    <w:rsid w:val="00FB25BB"/>
    <w:rsid w:val="00FB4B7F"/>
    <w:rsid w:val="00FB6EB4"/>
    <w:rsid w:val="00FD07C6"/>
    <w:rsid w:val="00FD3E2B"/>
    <w:rsid w:val="00FD4794"/>
    <w:rsid w:val="00FE45BA"/>
    <w:rsid w:val="00FF3457"/>
    <w:rsid w:val="03C6684E"/>
    <w:rsid w:val="05CB16FB"/>
    <w:rsid w:val="0B08BDBD"/>
    <w:rsid w:val="0E569D9A"/>
    <w:rsid w:val="29B4BE92"/>
    <w:rsid w:val="333502AE"/>
    <w:rsid w:val="4BAEDE85"/>
    <w:rsid w:val="5832141F"/>
    <w:rsid w:val="6DE5D44D"/>
    <w:rsid w:val="70D995AC"/>
    <w:rsid w:val="72309CAD"/>
    <w:rsid w:val="7F15B8F6"/>
    <w:rsid w:val="7F7BB61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EFA8"/>
  <w15:chartTrackingRefBased/>
  <w15:docId w15:val="{6B583223-6087-4936-8D1F-7DAD51B9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fr-CA"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511D0"/>
    <w:pPr>
      <w:widowControl w:val="0"/>
      <w:spacing w:after="60" w:line="240" w:lineRule="auto"/>
      <w:jc w:val="both"/>
    </w:pPr>
    <w:rPr>
      <w:rFonts w:cs="Times New Roman"/>
      <w:bCs/>
      <w:sz w:val="24"/>
      <w:lang w:val="en-US"/>
    </w:rPr>
  </w:style>
  <w:style w:type="paragraph" w:styleId="Heading1">
    <w:name w:val="heading 1"/>
    <w:next w:val="Normal"/>
    <w:link w:val="Heading1Char"/>
    <w:uiPriority w:val="9"/>
    <w:qFormat/>
    <w:rsid w:val="007511D0"/>
    <w:pPr>
      <w:widowControl w:val="0"/>
      <w:numPr>
        <w:numId w:val="38"/>
      </w:numPr>
      <w:spacing w:before="120" w:after="0" w:line="276" w:lineRule="auto"/>
      <w:outlineLvl w:val="0"/>
    </w:pPr>
    <w:rPr>
      <w:rFonts w:asciiTheme="majorHAnsi" w:eastAsiaTheme="majorEastAsia" w:hAnsiTheme="majorHAnsi" w:cstheme="majorBidi"/>
      <w:b/>
      <w:bCs/>
      <w:color w:val="2E74B5" w:themeColor="accent1" w:themeShade="BF"/>
      <w:sz w:val="28"/>
      <w:szCs w:val="28"/>
      <w:lang w:eastAsia="fr-CA"/>
    </w:rPr>
  </w:style>
  <w:style w:type="paragraph" w:styleId="Heading2">
    <w:name w:val="heading 2"/>
    <w:basedOn w:val="Heading1"/>
    <w:next w:val="Normal"/>
    <w:link w:val="Heading2Char"/>
    <w:uiPriority w:val="9"/>
    <w:unhideWhenUsed/>
    <w:qFormat/>
    <w:rsid w:val="007511D0"/>
    <w:pPr>
      <w:numPr>
        <w:ilvl w:val="1"/>
      </w:numPr>
      <w:spacing w:before="200"/>
      <w:outlineLvl w:val="1"/>
    </w:pPr>
    <w:rPr>
      <w:bCs w:val="0"/>
      <w:color w:val="5B9BD5" w:themeColor="accent1"/>
      <w:sz w:val="26"/>
      <w:szCs w:val="26"/>
    </w:rPr>
  </w:style>
  <w:style w:type="paragraph" w:styleId="Heading3">
    <w:name w:val="heading 3"/>
    <w:basedOn w:val="Heading2"/>
    <w:next w:val="Normal"/>
    <w:link w:val="Heading3Char"/>
    <w:uiPriority w:val="9"/>
    <w:unhideWhenUsed/>
    <w:qFormat/>
    <w:rsid w:val="007511D0"/>
    <w:pPr>
      <w:numPr>
        <w:ilvl w:val="2"/>
      </w:numPr>
      <w:spacing w:before="120"/>
      <w:outlineLvl w:val="2"/>
    </w:pPr>
    <w:rPr>
      <w:b w:val="0"/>
      <w:bCs/>
    </w:rPr>
  </w:style>
  <w:style w:type="paragraph" w:styleId="Heading4">
    <w:name w:val="heading 4"/>
    <w:basedOn w:val="Heading3"/>
    <w:next w:val="Normal"/>
    <w:link w:val="Heading4Char"/>
    <w:uiPriority w:val="9"/>
    <w:unhideWhenUsed/>
    <w:qFormat/>
    <w:rsid w:val="007511D0"/>
    <w:pPr>
      <w:numPr>
        <w:ilvl w:val="3"/>
      </w:numPr>
      <w:outlineLvl w:val="3"/>
    </w:pPr>
    <w:rPr>
      <w:b/>
      <w:bCs w:val="0"/>
      <w:i/>
      <w:iCs/>
    </w:rPr>
  </w:style>
  <w:style w:type="paragraph" w:styleId="Heading5">
    <w:name w:val="heading 5"/>
    <w:basedOn w:val="Heading4"/>
    <w:next w:val="Normal"/>
    <w:link w:val="Heading5Char"/>
    <w:uiPriority w:val="9"/>
    <w:unhideWhenUsed/>
    <w:qFormat/>
    <w:rsid w:val="007511D0"/>
    <w:pPr>
      <w:numPr>
        <w:ilvl w:val="4"/>
      </w:numPr>
      <w:outlineLvl w:val="4"/>
    </w:pPr>
    <w:rPr>
      <w:color w:val="1F4D78" w:themeColor="accent1" w:themeShade="7F"/>
    </w:rPr>
  </w:style>
  <w:style w:type="paragraph" w:styleId="Heading6">
    <w:name w:val="heading 6"/>
    <w:basedOn w:val="Heading5"/>
    <w:next w:val="Normal"/>
    <w:link w:val="Heading6Char"/>
    <w:uiPriority w:val="9"/>
    <w:semiHidden/>
    <w:unhideWhenUsed/>
    <w:qFormat/>
    <w:rsid w:val="007511D0"/>
    <w:pPr>
      <w:numPr>
        <w:ilvl w:val="5"/>
      </w:numPr>
      <w:outlineLvl w:val="5"/>
    </w:pPr>
    <w:rPr>
      <w:i w:val="0"/>
      <w:iCs w:val="0"/>
    </w:rPr>
  </w:style>
  <w:style w:type="paragraph" w:styleId="Heading7">
    <w:name w:val="heading 7"/>
    <w:next w:val="Normal"/>
    <w:link w:val="Heading7Char"/>
    <w:uiPriority w:val="9"/>
    <w:unhideWhenUsed/>
    <w:qFormat/>
    <w:rsid w:val="007511D0"/>
    <w:pPr>
      <w:pageBreakBefore/>
      <w:numPr>
        <w:ilvl w:val="6"/>
        <w:numId w:val="38"/>
      </w:numPr>
      <w:spacing w:after="200" w:line="276" w:lineRule="auto"/>
      <w:outlineLvl w:val="6"/>
    </w:pPr>
    <w:rPr>
      <w:rFonts w:asciiTheme="majorHAnsi" w:eastAsiaTheme="majorEastAsia" w:hAnsiTheme="majorHAnsi" w:cstheme="majorBidi"/>
      <w:b/>
      <w:i/>
      <w:iCs/>
      <w:color w:val="5B9BD5" w:themeColor="accent1"/>
      <w:sz w:val="28"/>
      <w:szCs w:val="26"/>
      <w:lang w:eastAsia="fr-CA"/>
    </w:rPr>
  </w:style>
  <w:style w:type="paragraph" w:styleId="Heading8">
    <w:name w:val="heading 8"/>
    <w:basedOn w:val="Heading7"/>
    <w:next w:val="Normal"/>
    <w:link w:val="Heading8Char"/>
    <w:uiPriority w:val="9"/>
    <w:unhideWhenUsed/>
    <w:qFormat/>
    <w:rsid w:val="007511D0"/>
    <w:pPr>
      <w:pageBreakBefore w:val="0"/>
      <w:numPr>
        <w:ilvl w:val="7"/>
      </w:numPr>
      <w:outlineLvl w:val="7"/>
    </w:pPr>
    <w:rPr>
      <w:sz w:val="20"/>
      <w:szCs w:val="20"/>
    </w:rPr>
  </w:style>
  <w:style w:type="paragraph" w:styleId="Heading9">
    <w:name w:val="heading 9"/>
    <w:basedOn w:val="Heading8"/>
    <w:next w:val="Normal"/>
    <w:link w:val="Heading9Char"/>
    <w:uiPriority w:val="9"/>
    <w:semiHidden/>
    <w:unhideWhenUsed/>
    <w:qFormat/>
    <w:rsid w:val="007511D0"/>
    <w:pPr>
      <w:numPr>
        <w:ilvl w:val="8"/>
      </w:numPr>
      <w:outlineLvl w:val="8"/>
    </w:pPr>
    <w:rPr>
      <w:i w:val="0"/>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nnexe">
    <w:name w:val="A_Annexe"/>
    <w:basedOn w:val="Normal"/>
    <w:next w:val="BlockText"/>
    <w:rsid w:val="007511D0"/>
    <w:pPr>
      <w:keepNext/>
      <w:jc w:val="center"/>
      <w:outlineLvl w:val="0"/>
    </w:pPr>
    <w:rPr>
      <w:rFonts w:ascii="Arial" w:hAnsi="Arial" w:cs="Arial"/>
      <w:b/>
      <w:bCs w:val="0"/>
      <w:caps/>
      <w:kern w:val="32"/>
      <w:sz w:val="25"/>
      <w:szCs w:val="25"/>
    </w:rPr>
  </w:style>
  <w:style w:type="paragraph" w:styleId="BlockText">
    <w:name w:val="Block Text"/>
    <w:basedOn w:val="Normal"/>
    <w:rsid w:val="007511D0"/>
    <w:pPr>
      <w:spacing w:after="120"/>
      <w:ind w:left="1440" w:right="1440"/>
    </w:pPr>
  </w:style>
  <w:style w:type="numbering" w:customStyle="1" w:styleId="Affiches">
    <w:name w:val="Affiches"/>
    <w:uiPriority w:val="99"/>
    <w:rsid w:val="007511D0"/>
    <w:pPr>
      <w:numPr>
        <w:numId w:val="1"/>
      </w:numPr>
    </w:pPr>
  </w:style>
  <w:style w:type="numbering" w:customStyle="1" w:styleId="articles">
    <w:name w:val="articles"/>
    <w:uiPriority w:val="99"/>
    <w:rsid w:val="007511D0"/>
    <w:pPr>
      <w:numPr>
        <w:numId w:val="2"/>
      </w:numPr>
    </w:pPr>
  </w:style>
  <w:style w:type="paragraph" w:styleId="BalloonText">
    <w:name w:val="Balloon Text"/>
    <w:basedOn w:val="Normal"/>
    <w:link w:val="BalloonTextChar"/>
    <w:semiHidden/>
    <w:rsid w:val="007511D0"/>
    <w:rPr>
      <w:rFonts w:ascii="Tahoma" w:hAnsi="Tahoma" w:cs="Tahoma"/>
      <w:sz w:val="16"/>
      <w:szCs w:val="16"/>
    </w:rPr>
  </w:style>
  <w:style w:type="character" w:customStyle="1" w:styleId="BalloonTextChar">
    <w:name w:val="Balloon Text Char"/>
    <w:basedOn w:val="DefaultParagraphFont"/>
    <w:link w:val="BalloonText"/>
    <w:semiHidden/>
    <w:rsid w:val="007511D0"/>
    <w:rPr>
      <w:rFonts w:ascii="Tahoma" w:eastAsia="Calibri" w:hAnsi="Tahoma" w:cs="Tahoma"/>
      <w:bCs/>
      <w:sz w:val="16"/>
      <w:szCs w:val="16"/>
      <w:lang w:val="en-US"/>
    </w:rPr>
  </w:style>
  <w:style w:type="paragraph" w:styleId="Bibliography">
    <w:name w:val="Bibliography"/>
    <w:basedOn w:val="Normal"/>
    <w:next w:val="Normal"/>
    <w:uiPriority w:val="37"/>
    <w:semiHidden/>
    <w:unhideWhenUsed/>
    <w:rsid w:val="007511D0"/>
  </w:style>
  <w:style w:type="paragraph" w:styleId="BodyText">
    <w:name w:val="Body Text"/>
    <w:basedOn w:val="Normal"/>
    <w:link w:val="BodyTextChar"/>
    <w:rsid w:val="007511D0"/>
    <w:pPr>
      <w:spacing w:after="120"/>
    </w:pPr>
  </w:style>
  <w:style w:type="character" w:customStyle="1" w:styleId="BodyTextChar">
    <w:name w:val="Body Text Char"/>
    <w:basedOn w:val="DefaultParagraphFont"/>
    <w:link w:val="BodyText"/>
    <w:rsid w:val="007511D0"/>
    <w:rPr>
      <w:rFonts w:eastAsia="Calibri" w:cs="Times New Roman"/>
      <w:bCs/>
      <w:sz w:val="24"/>
      <w:lang w:val="en-US"/>
    </w:rPr>
  </w:style>
  <w:style w:type="paragraph" w:styleId="BodyText2">
    <w:name w:val="Body Text 2"/>
    <w:basedOn w:val="Normal"/>
    <w:link w:val="BodyText2Char"/>
    <w:rsid w:val="007511D0"/>
    <w:pPr>
      <w:spacing w:after="120" w:line="480" w:lineRule="auto"/>
    </w:pPr>
  </w:style>
  <w:style w:type="character" w:customStyle="1" w:styleId="BodyText2Char">
    <w:name w:val="Body Text 2 Char"/>
    <w:basedOn w:val="DefaultParagraphFont"/>
    <w:link w:val="BodyText2"/>
    <w:rsid w:val="007511D0"/>
    <w:rPr>
      <w:rFonts w:eastAsia="Calibri" w:cs="Times New Roman"/>
      <w:bCs/>
      <w:sz w:val="24"/>
      <w:lang w:val="en-US"/>
    </w:rPr>
  </w:style>
  <w:style w:type="paragraph" w:styleId="BodyText3">
    <w:name w:val="Body Text 3"/>
    <w:basedOn w:val="Normal"/>
    <w:link w:val="BodyText3Char"/>
    <w:rsid w:val="007511D0"/>
    <w:pPr>
      <w:spacing w:after="120"/>
    </w:pPr>
    <w:rPr>
      <w:sz w:val="16"/>
      <w:szCs w:val="16"/>
    </w:rPr>
  </w:style>
  <w:style w:type="character" w:customStyle="1" w:styleId="BodyText3Char">
    <w:name w:val="Body Text 3 Char"/>
    <w:basedOn w:val="DefaultParagraphFont"/>
    <w:link w:val="BodyText3"/>
    <w:rsid w:val="007511D0"/>
    <w:rPr>
      <w:rFonts w:eastAsia="Calibri" w:cs="Times New Roman"/>
      <w:bCs/>
      <w:sz w:val="16"/>
      <w:szCs w:val="16"/>
      <w:lang w:val="en-US"/>
    </w:rPr>
  </w:style>
  <w:style w:type="paragraph" w:styleId="BodyTextFirstIndent">
    <w:name w:val="Body Text First Indent"/>
    <w:basedOn w:val="BodyText"/>
    <w:link w:val="BodyTextFirstIndentChar"/>
    <w:rsid w:val="007511D0"/>
    <w:pPr>
      <w:spacing w:after="200"/>
      <w:ind w:firstLine="360"/>
    </w:pPr>
  </w:style>
  <w:style w:type="character" w:customStyle="1" w:styleId="BodyTextFirstIndentChar">
    <w:name w:val="Body Text First Indent Char"/>
    <w:basedOn w:val="BodyTextChar"/>
    <w:link w:val="BodyTextFirstIndent"/>
    <w:rsid w:val="007511D0"/>
    <w:rPr>
      <w:rFonts w:eastAsia="Calibri" w:cs="Times New Roman"/>
      <w:bCs/>
      <w:sz w:val="24"/>
      <w:lang w:val="en-US"/>
    </w:rPr>
  </w:style>
  <w:style w:type="paragraph" w:styleId="BodyTextIndent">
    <w:name w:val="Body Text Indent"/>
    <w:basedOn w:val="Normal"/>
    <w:link w:val="BodyTextIndentChar"/>
    <w:rsid w:val="007511D0"/>
    <w:pPr>
      <w:spacing w:after="120"/>
      <w:ind w:left="360"/>
    </w:pPr>
  </w:style>
  <w:style w:type="character" w:customStyle="1" w:styleId="BodyTextIndentChar">
    <w:name w:val="Body Text Indent Char"/>
    <w:basedOn w:val="DefaultParagraphFont"/>
    <w:link w:val="BodyTextIndent"/>
    <w:rsid w:val="007511D0"/>
    <w:rPr>
      <w:rFonts w:eastAsia="Calibri" w:cs="Times New Roman"/>
      <w:bCs/>
      <w:sz w:val="24"/>
      <w:lang w:val="en-US"/>
    </w:rPr>
  </w:style>
  <w:style w:type="paragraph" w:styleId="BodyTextFirstIndent2">
    <w:name w:val="Body Text First Indent 2"/>
    <w:basedOn w:val="BodyTextIndent"/>
    <w:link w:val="BodyTextFirstIndent2Char"/>
    <w:rsid w:val="007511D0"/>
    <w:pPr>
      <w:spacing w:after="200"/>
      <w:ind w:firstLine="360"/>
    </w:pPr>
  </w:style>
  <w:style w:type="character" w:customStyle="1" w:styleId="BodyTextFirstIndent2Char">
    <w:name w:val="Body Text First Indent 2 Char"/>
    <w:basedOn w:val="BodyTextIndentChar"/>
    <w:link w:val="BodyTextFirstIndent2"/>
    <w:rsid w:val="007511D0"/>
    <w:rPr>
      <w:rFonts w:eastAsia="Calibri" w:cs="Times New Roman"/>
      <w:bCs/>
      <w:sz w:val="24"/>
      <w:lang w:val="en-US"/>
    </w:rPr>
  </w:style>
  <w:style w:type="paragraph" w:styleId="BodyTextIndent2">
    <w:name w:val="Body Text Indent 2"/>
    <w:basedOn w:val="Normal"/>
    <w:link w:val="BodyTextIndent2Char"/>
    <w:rsid w:val="007511D0"/>
    <w:pPr>
      <w:spacing w:after="120" w:line="480" w:lineRule="auto"/>
      <w:ind w:left="360"/>
    </w:pPr>
  </w:style>
  <w:style w:type="character" w:customStyle="1" w:styleId="BodyTextIndent2Char">
    <w:name w:val="Body Text Indent 2 Char"/>
    <w:basedOn w:val="DefaultParagraphFont"/>
    <w:link w:val="BodyTextIndent2"/>
    <w:rsid w:val="007511D0"/>
    <w:rPr>
      <w:rFonts w:eastAsia="Calibri" w:cs="Times New Roman"/>
      <w:bCs/>
      <w:sz w:val="24"/>
      <w:lang w:val="en-US"/>
    </w:rPr>
  </w:style>
  <w:style w:type="paragraph" w:styleId="BodyTextIndent3">
    <w:name w:val="Body Text Indent 3"/>
    <w:basedOn w:val="Normal"/>
    <w:link w:val="BodyTextIndent3Char"/>
    <w:rsid w:val="007511D0"/>
    <w:pPr>
      <w:spacing w:after="120"/>
      <w:ind w:left="360"/>
    </w:pPr>
    <w:rPr>
      <w:sz w:val="16"/>
      <w:szCs w:val="16"/>
    </w:rPr>
  </w:style>
  <w:style w:type="character" w:customStyle="1" w:styleId="BodyTextIndent3Char">
    <w:name w:val="Body Text Indent 3 Char"/>
    <w:basedOn w:val="DefaultParagraphFont"/>
    <w:link w:val="BodyTextIndent3"/>
    <w:rsid w:val="007511D0"/>
    <w:rPr>
      <w:rFonts w:eastAsia="Calibri" w:cs="Times New Roman"/>
      <w:bCs/>
      <w:sz w:val="16"/>
      <w:szCs w:val="16"/>
      <w:lang w:val="en-US"/>
    </w:rPr>
  </w:style>
  <w:style w:type="paragraph" w:styleId="Caption">
    <w:name w:val="caption"/>
    <w:basedOn w:val="Normal"/>
    <w:next w:val="Normal"/>
    <w:uiPriority w:val="35"/>
    <w:unhideWhenUsed/>
    <w:qFormat/>
    <w:rsid w:val="006A7FA3"/>
    <w:pPr>
      <w:spacing w:after="0" w:line="240" w:lineRule="exact"/>
    </w:pPr>
    <w:rPr>
      <w:bCs w:val="0"/>
      <w:color w:val="5B9BD5" w:themeColor="accent1"/>
      <w:sz w:val="20"/>
      <w:szCs w:val="18"/>
    </w:rPr>
  </w:style>
  <w:style w:type="numbering" w:customStyle="1" w:styleId="Chapitredelivre">
    <w:name w:val="Chapitre de livre"/>
    <w:uiPriority w:val="99"/>
    <w:rsid w:val="007511D0"/>
    <w:pPr>
      <w:numPr>
        <w:numId w:val="3"/>
      </w:numPr>
    </w:pPr>
  </w:style>
  <w:style w:type="paragraph" w:styleId="Closing">
    <w:name w:val="Closing"/>
    <w:basedOn w:val="Normal"/>
    <w:link w:val="ClosingChar"/>
    <w:rsid w:val="007511D0"/>
    <w:pPr>
      <w:spacing w:after="0"/>
      <w:ind w:left="4320"/>
    </w:pPr>
  </w:style>
  <w:style w:type="character" w:customStyle="1" w:styleId="ClosingChar">
    <w:name w:val="Closing Char"/>
    <w:basedOn w:val="DefaultParagraphFont"/>
    <w:link w:val="Closing"/>
    <w:rsid w:val="007511D0"/>
    <w:rPr>
      <w:rFonts w:eastAsia="Calibri" w:cs="Times New Roman"/>
      <w:bCs/>
      <w:sz w:val="24"/>
      <w:lang w:val="en-US"/>
    </w:rPr>
  </w:style>
  <w:style w:type="numbering" w:customStyle="1" w:styleId="Collaborations">
    <w:name w:val="Collaborations"/>
    <w:uiPriority w:val="99"/>
    <w:rsid w:val="007511D0"/>
    <w:pPr>
      <w:numPr>
        <w:numId w:val="4"/>
      </w:numPr>
    </w:pPr>
  </w:style>
  <w:style w:type="character" w:styleId="CommentReference">
    <w:name w:val="annotation reference"/>
    <w:basedOn w:val="DefaultParagraphFont"/>
    <w:semiHidden/>
    <w:rsid w:val="007511D0"/>
    <w:rPr>
      <w:sz w:val="16"/>
      <w:szCs w:val="16"/>
    </w:rPr>
  </w:style>
  <w:style w:type="paragraph" w:styleId="CommentText">
    <w:name w:val="annotation text"/>
    <w:basedOn w:val="Normal"/>
    <w:link w:val="CommentTextChar"/>
    <w:semiHidden/>
    <w:rsid w:val="007511D0"/>
    <w:rPr>
      <w:szCs w:val="20"/>
    </w:rPr>
  </w:style>
  <w:style w:type="character" w:customStyle="1" w:styleId="CommentTextChar">
    <w:name w:val="Comment Text Char"/>
    <w:basedOn w:val="DefaultParagraphFont"/>
    <w:link w:val="CommentText"/>
    <w:semiHidden/>
    <w:rsid w:val="007511D0"/>
    <w:rPr>
      <w:rFonts w:eastAsia="Calibri" w:cs="Times New Roman"/>
      <w:bCs/>
      <w:sz w:val="24"/>
      <w:szCs w:val="20"/>
      <w:lang w:val="en-US"/>
    </w:rPr>
  </w:style>
  <w:style w:type="paragraph" w:styleId="CommentSubject">
    <w:name w:val="annotation subject"/>
    <w:basedOn w:val="CommentText"/>
    <w:next w:val="CommentText"/>
    <w:link w:val="CommentSubjectChar"/>
    <w:semiHidden/>
    <w:rsid w:val="007511D0"/>
    <w:rPr>
      <w:b/>
      <w:bCs w:val="0"/>
    </w:rPr>
  </w:style>
  <w:style w:type="character" w:customStyle="1" w:styleId="CommentSubjectChar">
    <w:name w:val="Comment Subject Char"/>
    <w:basedOn w:val="CommentTextChar"/>
    <w:link w:val="CommentSubject"/>
    <w:semiHidden/>
    <w:rsid w:val="007511D0"/>
    <w:rPr>
      <w:rFonts w:eastAsia="Calibri" w:cs="Times New Roman"/>
      <w:b/>
      <w:bCs w:val="0"/>
      <w:sz w:val="24"/>
      <w:szCs w:val="20"/>
      <w:lang w:val="en-US"/>
    </w:rPr>
  </w:style>
  <w:style w:type="paragraph" w:styleId="Date">
    <w:name w:val="Date"/>
    <w:basedOn w:val="Normal"/>
    <w:next w:val="Normal"/>
    <w:link w:val="DateChar"/>
    <w:rsid w:val="007511D0"/>
  </w:style>
  <w:style w:type="character" w:customStyle="1" w:styleId="DateChar">
    <w:name w:val="Date Char"/>
    <w:basedOn w:val="DefaultParagraphFont"/>
    <w:link w:val="Date"/>
    <w:rsid w:val="007511D0"/>
    <w:rPr>
      <w:rFonts w:eastAsia="Calibri" w:cs="Times New Roman"/>
      <w:bCs/>
      <w:sz w:val="24"/>
      <w:lang w:val="en-US"/>
    </w:rPr>
  </w:style>
  <w:style w:type="paragraph" w:customStyle="1" w:styleId="Default">
    <w:name w:val="Default"/>
    <w:rsid w:val="007511D0"/>
    <w:pPr>
      <w:autoSpaceDE w:val="0"/>
      <w:autoSpaceDN w:val="0"/>
      <w:adjustRightInd w:val="0"/>
      <w:spacing w:after="0" w:line="240" w:lineRule="auto"/>
    </w:pPr>
    <w:rPr>
      <w:rFonts w:ascii="Calibri" w:eastAsiaTheme="minorEastAsia" w:hAnsi="Calibri" w:cs="Calibri"/>
      <w:color w:val="000000"/>
      <w:sz w:val="24"/>
      <w:szCs w:val="24"/>
      <w:lang w:val="en-US" w:eastAsia="fr-CA"/>
    </w:rPr>
  </w:style>
  <w:style w:type="paragraph" w:styleId="DocumentMap">
    <w:name w:val="Document Map"/>
    <w:basedOn w:val="Normal"/>
    <w:link w:val="DocumentMapChar"/>
    <w:rsid w:val="007511D0"/>
    <w:pPr>
      <w:spacing w:after="0"/>
    </w:pPr>
    <w:rPr>
      <w:rFonts w:ascii="Tahoma" w:hAnsi="Tahoma" w:cs="Tahoma"/>
      <w:sz w:val="16"/>
      <w:szCs w:val="16"/>
    </w:rPr>
  </w:style>
  <w:style w:type="character" w:customStyle="1" w:styleId="DocumentMapChar">
    <w:name w:val="Document Map Char"/>
    <w:basedOn w:val="DefaultParagraphFont"/>
    <w:link w:val="DocumentMap"/>
    <w:rsid w:val="007511D0"/>
    <w:rPr>
      <w:rFonts w:ascii="Tahoma" w:eastAsia="Calibri" w:hAnsi="Tahoma" w:cs="Tahoma"/>
      <w:bCs/>
      <w:sz w:val="16"/>
      <w:szCs w:val="16"/>
      <w:lang w:val="en-US"/>
    </w:rPr>
  </w:style>
  <w:style w:type="paragraph" w:styleId="E-mailSignature">
    <w:name w:val="E-mail Signature"/>
    <w:basedOn w:val="Normal"/>
    <w:link w:val="E-mailSignatureChar"/>
    <w:rsid w:val="007511D0"/>
    <w:pPr>
      <w:spacing w:after="0"/>
    </w:pPr>
  </w:style>
  <w:style w:type="character" w:customStyle="1" w:styleId="E-mailSignatureChar">
    <w:name w:val="E-mail Signature Char"/>
    <w:basedOn w:val="DefaultParagraphFont"/>
    <w:link w:val="E-mailSignature"/>
    <w:rsid w:val="007511D0"/>
    <w:rPr>
      <w:rFonts w:eastAsia="Calibri" w:cs="Times New Roman"/>
      <w:bCs/>
      <w:sz w:val="24"/>
      <w:lang w:val="en-US"/>
    </w:rPr>
  </w:style>
  <w:style w:type="character" w:styleId="Emphasis">
    <w:name w:val="Emphasis"/>
    <w:aliases w:val="Tableau"/>
    <w:uiPriority w:val="20"/>
    <w:qFormat/>
    <w:rsid w:val="007511D0"/>
    <w:rPr>
      <w:b w:val="0"/>
      <w:i w:val="0"/>
      <w:iCs/>
      <w:sz w:val="20"/>
    </w:rPr>
  </w:style>
  <w:style w:type="character" w:styleId="EndnoteReference">
    <w:name w:val="endnote reference"/>
    <w:basedOn w:val="DefaultParagraphFont"/>
    <w:rsid w:val="007511D0"/>
    <w:rPr>
      <w:vertAlign w:val="superscript"/>
    </w:rPr>
  </w:style>
  <w:style w:type="paragraph" w:styleId="EndnoteText">
    <w:name w:val="endnote text"/>
    <w:basedOn w:val="Normal"/>
    <w:link w:val="EndnoteTextChar"/>
    <w:rsid w:val="007511D0"/>
    <w:pPr>
      <w:spacing w:after="0"/>
    </w:pPr>
    <w:rPr>
      <w:sz w:val="20"/>
      <w:szCs w:val="20"/>
    </w:rPr>
  </w:style>
  <w:style w:type="character" w:customStyle="1" w:styleId="EndnoteTextChar">
    <w:name w:val="Endnote Text Char"/>
    <w:basedOn w:val="DefaultParagraphFont"/>
    <w:link w:val="EndnoteText"/>
    <w:rsid w:val="007511D0"/>
    <w:rPr>
      <w:rFonts w:eastAsia="Calibri" w:cs="Times New Roman"/>
      <w:bCs/>
      <w:sz w:val="20"/>
      <w:szCs w:val="20"/>
      <w:lang w:val="en-US"/>
    </w:rPr>
  </w:style>
  <w:style w:type="paragraph" w:styleId="EnvelopeAddress">
    <w:name w:val="envelope address"/>
    <w:basedOn w:val="Normal"/>
    <w:rsid w:val="007511D0"/>
    <w:pPr>
      <w:framePr w:w="7938" w:h="1985" w:hRule="exact" w:hSpace="141" w:wrap="auto" w:hAnchor="page" w:xAlign="center" w:yAlign="bottom"/>
      <w:spacing w:after="0"/>
      <w:ind w:left="2835"/>
    </w:pPr>
    <w:rPr>
      <w:rFonts w:asciiTheme="majorHAnsi" w:eastAsiaTheme="majorEastAsia" w:hAnsiTheme="majorHAnsi" w:cstheme="majorBidi"/>
      <w:szCs w:val="24"/>
    </w:rPr>
  </w:style>
  <w:style w:type="paragraph" w:styleId="EnvelopeReturn">
    <w:name w:val="envelope return"/>
    <w:basedOn w:val="Normal"/>
    <w:rsid w:val="007511D0"/>
    <w:pPr>
      <w:spacing w:after="0"/>
    </w:pPr>
    <w:rPr>
      <w:rFonts w:asciiTheme="majorHAnsi" w:eastAsiaTheme="majorEastAsia" w:hAnsiTheme="majorHAnsi" w:cstheme="majorBidi"/>
      <w:sz w:val="20"/>
      <w:szCs w:val="20"/>
    </w:rPr>
  </w:style>
  <w:style w:type="numbering" w:customStyle="1" w:styleId="tudiants">
    <w:name w:val="étudiants"/>
    <w:uiPriority w:val="99"/>
    <w:rsid w:val="007511D0"/>
    <w:pPr>
      <w:numPr>
        <w:numId w:val="5"/>
      </w:numPr>
    </w:pPr>
  </w:style>
  <w:style w:type="character" w:styleId="FollowedHyperlink">
    <w:name w:val="FollowedHyperlink"/>
    <w:basedOn w:val="DefaultParagraphFont"/>
    <w:rsid w:val="007511D0"/>
    <w:rPr>
      <w:color w:val="954F72" w:themeColor="followedHyperlink"/>
      <w:u w:val="single"/>
    </w:rPr>
  </w:style>
  <w:style w:type="paragraph" w:styleId="Footer">
    <w:name w:val="footer"/>
    <w:basedOn w:val="Normal"/>
    <w:link w:val="FooterChar"/>
    <w:uiPriority w:val="99"/>
    <w:rsid w:val="007511D0"/>
    <w:pPr>
      <w:tabs>
        <w:tab w:val="center" w:pos="4320"/>
        <w:tab w:val="right" w:pos="8640"/>
      </w:tabs>
    </w:pPr>
  </w:style>
  <w:style w:type="character" w:customStyle="1" w:styleId="FooterChar">
    <w:name w:val="Footer Char"/>
    <w:basedOn w:val="DefaultParagraphFont"/>
    <w:link w:val="Footer"/>
    <w:uiPriority w:val="99"/>
    <w:rsid w:val="007511D0"/>
    <w:rPr>
      <w:rFonts w:eastAsia="Calibri" w:cs="Times New Roman"/>
      <w:bCs/>
      <w:sz w:val="24"/>
      <w:lang w:val="en-US"/>
    </w:rPr>
  </w:style>
  <w:style w:type="paragraph" w:customStyle="1" w:styleId="FooterOdd">
    <w:name w:val="Footer Odd"/>
    <w:basedOn w:val="Normal"/>
    <w:qFormat/>
    <w:rsid w:val="007511D0"/>
    <w:pPr>
      <w:pBdr>
        <w:top w:val="single" w:sz="4" w:space="1" w:color="5B9BD5" w:themeColor="accent1"/>
      </w:pBdr>
      <w:spacing w:after="180" w:line="264" w:lineRule="auto"/>
      <w:jc w:val="right"/>
    </w:pPr>
    <w:rPr>
      <w:rFonts w:eastAsiaTheme="minorHAnsi"/>
      <w:color w:val="44546A" w:themeColor="text2"/>
      <w:sz w:val="20"/>
      <w:szCs w:val="20"/>
      <w:lang w:eastAsia="ja-JP"/>
    </w:rPr>
  </w:style>
  <w:style w:type="character" w:styleId="FootnoteReference">
    <w:name w:val="footnote reference"/>
    <w:basedOn w:val="DefaultParagraphFont"/>
    <w:rsid w:val="007511D0"/>
    <w:rPr>
      <w:vertAlign w:val="superscript"/>
    </w:rPr>
  </w:style>
  <w:style w:type="paragraph" w:styleId="FootnoteText">
    <w:name w:val="footnote text"/>
    <w:basedOn w:val="Normal"/>
    <w:link w:val="FootnoteTextChar"/>
    <w:rsid w:val="007511D0"/>
    <w:pPr>
      <w:spacing w:after="0"/>
    </w:pPr>
    <w:rPr>
      <w:sz w:val="20"/>
      <w:szCs w:val="20"/>
    </w:rPr>
  </w:style>
  <w:style w:type="character" w:customStyle="1" w:styleId="FootnoteTextChar">
    <w:name w:val="Footnote Text Char"/>
    <w:basedOn w:val="DefaultParagraphFont"/>
    <w:link w:val="FootnoteText"/>
    <w:rsid w:val="007511D0"/>
    <w:rPr>
      <w:rFonts w:eastAsia="Calibri" w:cs="Times New Roman"/>
      <w:bCs/>
      <w:sz w:val="20"/>
      <w:szCs w:val="20"/>
      <w:lang w:val="en-US"/>
    </w:rPr>
  </w:style>
  <w:style w:type="table" w:styleId="GridTable4">
    <w:name w:val="Grid Table 4"/>
    <w:basedOn w:val="TableNormal"/>
    <w:uiPriority w:val="49"/>
    <w:rsid w:val="007511D0"/>
    <w:pPr>
      <w:spacing w:after="0" w:line="240" w:lineRule="auto"/>
    </w:pPr>
    <w:rPr>
      <w:rFonts w:eastAsiaTheme="minorEastAsia"/>
      <w:lang w:eastAsia="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rsid w:val="007511D0"/>
    <w:pPr>
      <w:tabs>
        <w:tab w:val="center" w:pos="4320"/>
        <w:tab w:val="right" w:pos="8640"/>
      </w:tabs>
    </w:pPr>
  </w:style>
  <w:style w:type="character" w:customStyle="1" w:styleId="HeaderChar">
    <w:name w:val="Header Char"/>
    <w:basedOn w:val="DefaultParagraphFont"/>
    <w:link w:val="Header"/>
    <w:rsid w:val="007511D0"/>
    <w:rPr>
      <w:rFonts w:eastAsia="Calibri" w:cs="Times New Roman"/>
      <w:bCs/>
      <w:sz w:val="24"/>
      <w:lang w:val="en-US"/>
    </w:rPr>
  </w:style>
  <w:style w:type="character" w:customStyle="1" w:styleId="Heading1Char">
    <w:name w:val="Heading 1 Char"/>
    <w:basedOn w:val="DefaultParagraphFont"/>
    <w:link w:val="Heading1"/>
    <w:uiPriority w:val="9"/>
    <w:rsid w:val="007511D0"/>
    <w:rPr>
      <w:rFonts w:asciiTheme="majorHAnsi" w:eastAsiaTheme="majorEastAsia" w:hAnsiTheme="majorHAnsi" w:cstheme="majorBidi"/>
      <w:b/>
      <w:bCs/>
      <w:color w:val="2E74B5" w:themeColor="accent1" w:themeShade="BF"/>
      <w:sz w:val="28"/>
      <w:szCs w:val="28"/>
      <w:lang w:eastAsia="fr-CA"/>
    </w:rPr>
  </w:style>
  <w:style w:type="character" w:customStyle="1" w:styleId="Heading2Char">
    <w:name w:val="Heading 2 Char"/>
    <w:basedOn w:val="DefaultParagraphFont"/>
    <w:link w:val="Heading2"/>
    <w:uiPriority w:val="9"/>
    <w:rsid w:val="007511D0"/>
    <w:rPr>
      <w:rFonts w:asciiTheme="majorHAnsi" w:eastAsiaTheme="majorEastAsia" w:hAnsiTheme="majorHAnsi" w:cstheme="majorBidi"/>
      <w:b/>
      <w:color w:val="5B9BD5" w:themeColor="accent1"/>
      <w:sz w:val="26"/>
      <w:szCs w:val="26"/>
      <w:lang w:eastAsia="fr-CA"/>
    </w:rPr>
  </w:style>
  <w:style w:type="character" w:customStyle="1" w:styleId="Heading3Char">
    <w:name w:val="Heading 3 Char"/>
    <w:basedOn w:val="DefaultParagraphFont"/>
    <w:link w:val="Heading3"/>
    <w:uiPriority w:val="9"/>
    <w:rsid w:val="007511D0"/>
    <w:rPr>
      <w:rFonts w:asciiTheme="majorHAnsi" w:eastAsiaTheme="majorEastAsia" w:hAnsiTheme="majorHAnsi" w:cstheme="majorBidi"/>
      <w:bCs/>
      <w:color w:val="5B9BD5" w:themeColor="accent1"/>
      <w:sz w:val="26"/>
      <w:szCs w:val="26"/>
      <w:lang w:eastAsia="fr-CA"/>
    </w:rPr>
  </w:style>
  <w:style w:type="character" w:customStyle="1" w:styleId="Heading4Char">
    <w:name w:val="Heading 4 Char"/>
    <w:basedOn w:val="DefaultParagraphFont"/>
    <w:link w:val="Heading4"/>
    <w:uiPriority w:val="9"/>
    <w:rsid w:val="007511D0"/>
    <w:rPr>
      <w:rFonts w:asciiTheme="majorHAnsi" w:eastAsiaTheme="majorEastAsia" w:hAnsiTheme="majorHAnsi" w:cstheme="majorBidi"/>
      <w:b/>
      <w:i/>
      <w:iCs/>
      <w:color w:val="5B9BD5" w:themeColor="accent1"/>
      <w:sz w:val="26"/>
      <w:szCs w:val="26"/>
      <w:lang w:eastAsia="fr-CA"/>
    </w:rPr>
  </w:style>
  <w:style w:type="character" w:customStyle="1" w:styleId="Heading5Char">
    <w:name w:val="Heading 5 Char"/>
    <w:basedOn w:val="DefaultParagraphFont"/>
    <w:link w:val="Heading5"/>
    <w:uiPriority w:val="9"/>
    <w:rsid w:val="007511D0"/>
    <w:rPr>
      <w:rFonts w:asciiTheme="majorHAnsi" w:eastAsiaTheme="majorEastAsia" w:hAnsiTheme="majorHAnsi" w:cstheme="majorBidi"/>
      <w:b/>
      <w:i/>
      <w:iCs/>
      <w:color w:val="1F4D78" w:themeColor="accent1" w:themeShade="7F"/>
      <w:sz w:val="26"/>
      <w:szCs w:val="26"/>
      <w:lang w:eastAsia="fr-CA"/>
    </w:rPr>
  </w:style>
  <w:style w:type="character" w:customStyle="1" w:styleId="Heading6Char">
    <w:name w:val="Heading 6 Char"/>
    <w:basedOn w:val="DefaultParagraphFont"/>
    <w:link w:val="Heading6"/>
    <w:uiPriority w:val="9"/>
    <w:semiHidden/>
    <w:rsid w:val="007511D0"/>
    <w:rPr>
      <w:rFonts w:asciiTheme="majorHAnsi" w:eastAsiaTheme="majorEastAsia" w:hAnsiTheme="majorHAnsi" w:cstheme="majorBidi"/>
      <w:b/>
      <w:color w:val="1F4D78" w:themeColor="accent1" w:themeShade="7F"/>
      <w:sz w:val="26"/>
      <w:szCs w:val="26"/>
      <w:lang w:eastAsia="fr-CA"/>
    </w:rPr>
  </w:style>
  <w:style w:type="character" w:customStyle="1" w:styleId="Heading7Char">
    <w:name w:val="Heading 7 Char"/>
    <w:basedOn w:val="DefaultParagraphFont"/>
    <w:link w:val="Heading7"/>
    <w:uiPriority w:val="9"/>
    <w:rsid w:val="007511D0"/>
    <w:rPr>
      <w:rFonts w:asciiTheme="majorHAnsi" w:eastAsiaTheme="majorEastAsia" w:hAnsiTheme="majorHAnsi" w:cstheme="majorBidi"/>
      <w:b/>
      <w:i/>
      <w:iCs/>
      <w:color w:val="5B9BD5" w:themeColor="accent1"/>
      <w:sz w:val="28"/>
      <w:szCs w:val="26"/>
      <w:lang w:eastAsia="fr-CA"/>
    </w:rPr>
  </w:style>
  <w:style w:type="character" w:customStyle="1" w:styleId="Heading8Char">
    <w:name w:val="Heading 8 Char"/>
    <w:basedOn w:val="DefaultParagraphFont"/>
    <w:link w:val="Heading8"/>
    <w:uiPriority w:val="9"/>
    <w:rsid w:val="007511D0"/>
    <w:rPr>
      <w:rFonts w:asciiTheme="majorHAnsi" w:eastAsiaTheme="majorEastAsia" w:hAnsiTheme="majorHAnsi" w:cstheme="majorBidi"/>
      <w:b/>
      <w:i/>
      <w:iCs/>
      <w:color w:val="5B9BD5" w:themeColor="accent1"/>
      <w:sz w:val="20"/>
      <w:szCs w:val="20"/>
      <w:lang w:eastAsia="fr-CA"/>
    </w:rPr>
  </w:style>
  <w:style w:type="character" w:customStyle="1" w:styleId="Heading9Char">
    <w:name w:val="Heading 9 Char"/>
    <w:basedOn w:val="DefaultParagraphFont"/>
    <w:link w:val="Heading9"/>
    <w:uiPriority w:val="9"/>
    <w:semiHidden/>
    <w:rsid w:val="007511D0"/>
    <w:rPr>
      <w:rFonts w:asciiTheme="majorHAnsi" w:eastAsiaTheme="majorEastAsia" w:hAnsiTheme="majorHAnsi" w:cstheme="majorBidi"/>
      <w:b/>
      <w:color w:val="5B9BD5" w:themeColor="accent1"/>
      <w:sz w:val="20"/>
      <w:szCs w:val="20"/>
      <w:lang w:eastAsia="fr-CA"/>
    </w:rPr>
  </w:style>
  <w:style w:type="numbering" w:customStyle="1" w:styleId="Headings">
    <w:name w:val="Headings"/>
    <w:uiPriority w:val="99"/>
    <w:rsid w:val="007511D0"/>
  </w:style>
  <w:style w:type="numbering" w:customStyle="1" w:styleId="Headings1">
    <w:name w:val="Headings1"/>
    <w:next w:val="Headings"/>
    <w:uiPriority w:val="99"/>
    <w:rsid w:val="007511D0"/>
  </w:style>
  <w:style w:type="paragraph" w:styleId="HTMLAddress">
    <w:name w:val="HTML Address"/>
    <w:basedOn w:val="Normal"/>
    <w:link w:val="HTMLAddressChar"/>
    <w:rsid w:val="007511D0"/>
    <w:pPr>
      <w:spacing w:after="0"/>
    </w:pPr>
    <w:rPr>
      <w:i/>
      <w:iCs/>
    </w:rPr>
  </w:style>
  <w:style w:type="character" w:customStyle="1" w:styleId="HTMLAddressChar">
    <w:name w:val="HTML Address Char"/>
    <w:basedOn w:val="DefaultParagraphFont"/>
    <w:link w:val="HTMLAddress"/>
    <w:rsid w:val="007511D0"/>
    <w:rPr>
      <w:rFonts w:eastAsia="Calibri" w:cs="Times New Roman"/>
      <w:bCs/>
      <w:i/>
      <w:iCs/>
      <w:sz w:val="24"/>
      <w:lang w:val="en-US"/>
    </w:rPr>
  </w:style>
  <w:style w:type="paragraph" w:styleId="HTMLPreformatted">
    <w:name w:val="HTML Preformatted"/>
    <w:basedOn w:val="Normal"/>
    <w:link w:val="HTMLPreformattedChar"/>
    <w:uiPriority w:val="99"/>
    <w:rsid w:val="007511D0"/>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7511D0"/>
    <w:rPr>
      <w:rFonts w:ascii="Consolas" w:eastAsia="Calibri" w:hAnsi="Consolas" w:cs="Consolas"/>
      <w:bCs/>
      <w:sz w:val="20"/>
      <w:szCs w:val="20"/>
      <w:lang w:val="en-US"/>
    </w:rPr>
  </w:style>
  <w:style w:type="character" w:styleId="Hyperlink">
    <w:name w:val="Hyperlink"/>
    <w:basedOn w:val="DefaultParagraphFont"/>
    <w:uiPriority w:val="99"/>
    <w:unhideWhenUsed/>
    <w:rsid w:val="007511D0"/>
    <w:rPr>
      <w:color w:val="0000FF"/>
      <w:u w:val="single"/>
    </w:rPr>
  </w:style>
  <w:style w:type="paragraph" w:styleId="Index1">
    <w:name w:val="index 1"/>
    <w:basedOn w:val="Normal"/>
    <w:next w:val="Normal"/>
    <w:autoRedefine/>
    <w:rsid w:val="007511D0"/>
    <w:pPr>
      <w:spacing w:after="0"/>
      <w:ind w:left="220" w:hanging="220"/>
    </w:pPr>
  </w:style>
  <w:style w:type="paragraph" w:styleId="Index2">
    <w:name w:val="index 2"/>
    <w:basedOn w:val="Normal"/>
    <w:next w:val="Normal"/>
    <w:autoRedefine/>
    <w:rsid w:val="007511D0"/>
    <w:pPr>
      <w:spacing w:after="0"/>
      <w:ind w:left="440" w:hanging="220"/>
    </w:pPr>
  </w:style>
  <w:style w:type="paragraph" w:styleId="Index3">
    <w:name w:val="index 3"/>
    <w:basedOn w:val="Normal"/>
    <w:next w:val="Normal"/>
    <w:autoRedefine/>
    <w:rsid w:val="007511D0"/>
    <w:pPr>
      <w:spacing w:after="0"/>
      <w:ind w:left="660" w:hanging="220"/>
    </w:pPr>
  </w:style>
  <w:style w:type="paragraph" w:styleId="Index4">
    <w:name w:val="index 4"/>
    <w:basedOn w:val="Normal"/>
    <w:next w:val="Normal"/>
    <w:autoRedefine/>
    <w:rsid w:val="007511D0"/>
    <w:pPr>
      <w:spacing w:after="0"/>
      <w:ind w:left="880" w:hanging="220"/>
    </w:pPr>
  </w:style>
  <w:style w:type="paragraph" w:styleId="Index5">
    <w:name w:val="index 5"/>
    <w:basedOn w:val="Normal"/>
    <w:next w:val="Normal"/>
    <w:autoRedefine/>
    <w:rsid w:val="007511D0"/>
    <w:pPr>
      <w:spacing w:after="0"/>
      <w:ind w:left="1100" w:hanging="220"/>
    </w:pPr>
  </w:style>
  <w:style w:type="paragraph" w:styleId="Index6">
    <w:name w:val="index 6"/>
    <w:basedOn w:val="Normal"/>
    <w:next w:val="Normal"/>
    <w:autoRedefine/>
    <w:rsid w:val="007511D0"/>
    <w:pPr>
      <w:spacing w:after="0"/>
      <w:ind w:left="1320" w:hanging="220"/>
    </w:pPr>
  </w:style>
  <w:style w:type="paragraph" w:styleId="Index7">
    <w:name w:val="index 7"/>
    <w:basedOn w:val="Normal"/>
    <w:next w:val="Normal"/>
    <w:autoRedefine/>
    <w:rsid w:val="007511D0"/>
    <w:pPr>
      <w:spacing w:after="0"/>
      <w:ind w:left="1540" w:hanging="220"/>
    </w:pPr>
  </w:style>
  <w:style w:type="paragraph" w:styleId="Index8">
    <w:name w:val="index 8"/>
    <w:basedOn w:val="Normal"/>
    <w:next w:val="Normal"/>
    <w:autoRedefine/>
    <w:rsid w:val="007511D0"/>
    <w:pPr>
      <w:spacing w:after="0"/>
      <w:ind w:left="1760" w:hanging="220"/>
    </w:pPr>
  </w:style>
  <w:style w:type="paragraph" w:styleId="Index9">
    <w:name w:val="index 9"/>
    <w:basedOn w:val="Normal"/>
    <w:next w:val="Normal"/>
    <w:autoRedefine/>
    <w:rsid w:val="007511D0"/>
    <w:pPr>
      <w:spacing w:after="0"/>
      <w:ind w:left="1980" w:hanging="220"/>
    </w:pPr>
  </w:style>
  <w:style w:type="paragraph" w:styleId="IndexHeading">
    <w:name w:val="index heading"/>
    <w:basedOn w:val="Normal"/>
    <w:next w:val="Index1"/>
    <w:rsid w:val="007511D0"/>
    <w:rPr>
      <w:rFonts w:asciiTheme="majorHAnsi" w:eastAsiaTheme="majorEastAsia" w:hAnsiTheme="majorHAnsi" w:cstheme="majorBidi"/>
      <w:b/>
      <w:bCs w:val="0"/>
    </w:rPr>
  </w:style>
  <w:style w:type="paragraph" w:styleId="IntenseQuote">
    <w:name w:val="Intense Quote"/>
    <w:basedOn w:val="Normal"/>
    <w:next w:val="Normal"/>
    <w:link w:val="IntenseQuoteChar"/>
    <w:uiPriority w:val="30"/>
    <w:qFormat/>
    <w:rsid w:val="007511D0"/>
    <w:pPr>
      <w:pBdr>
        <w:bottom w:val="single" w:sz="4" w:space="4" w:color="5B9BD5" w:themeColor="accent1"/>
      </w:pBdr>
      <w:spacing w:before="200" w:after="280"/>
      <w:ind w:left="936" w:right="936"/>
    </w:pPr>
    <w:rPr>
      <w:b/>
      <w:bCs w:val="0"/>
      <w:i/>
      <w:iCs/>
      <w:color w:val="5B9BD5" w:themeColor="accent1"/>
    </w:rPr>
  </w:style>
  <w:style w:type="character" w:customStyle="1" w:styleId="IntenseQuoteChar">
    <w:name w:val="Intense Quote Char"/>
    <w:basedOn w:val="DefaultParagraphFont"/>
    <w:link w:val="IntenseQuote"/>
    <w:uiPriority w:val="30"/>
    <w:rsid w:val="007511D0"/>
    <w:rPr>
      <w:rFonts w:eastAsia="Calibri" w:cs="Times New Roman"/>
      <w:b/>
      <w:i/>
      <w:iCs/>
      <w:color w:val="5B9BD5" w:themeColor="accent1"/>
      <w:sz w:val="24"/>
      <w:lang w:val="en-US"/>
    </w:rPr>
  </w:style>
  <w:style w:type="paragraph" w:customStyle="1" w:styleId="Lettreobjet">
    <w:name w:val="Lettre_objet"/>
    <w:basedOn w:val="Normal"/>
    <w:semiHidden/>
    <w:rsid w:val="007511D0"/>
    <w:pPr>
      <w:keepNext/>
      <w:spacing w:before="240" w:after="120"/>
      <w:outlineLvl w:val="2"/>
    </w:pPr>
    <w:rPr>
      <w:rFonts w:ascii="Arial" w:hAnsi="Arial" w:cs="Arial"/>
      <w:b/>
      <w:bCs w:val="0"/>
      <w:kern w:val="32"/>
    </w:rPr>
  </w:style>
  <w:style w:type="table" w:styleId="LightShading-Accent1">
    <w:name w:val="Light Shading Accent 1"/>
    <w:basedOn w:val="TableNormal"/>
    <w:uiPriority w:val="60"/>
    <w:rsid w:val="007511D0"/>
    <w:pPr>
      <w:spacing w:after="0" w:line="240" w:lineRule="auto"/>
    </w:pPr>
    <w:rPr>
      <w:rFonts w:eastAsiaTheme="minorEastAsia"/>
      <w:color w:val="2E74B5" w:themeColor="accent1" w:themeShade="BF"/>
      <w:lang w:eastAsia="fr-CA"/>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List">
    <w:name w:val="List"/>
    <w:basedOn w:val="Normal"/>
    <w:rsid w:val="007511D0"/>
    <w:pPr>
      <w:ind w:left="360" w:hanging="360"/>
      <w:contextualSpacing/>
    </w:pPr>
  </w:style>
  <w:style w:type="paragraph" w:styleId="List2">
    <w:name w:val="List 2"/>
    <w:basedOn w:val="Normal"/>
    <w:rsid w:val="007511D0"/>
    <w:pPr>
      <w:ind w:left="720" w:hanging="360"/>
      <w:contextualSpacing/>
    </w:pPr>
  </w:style>
  <w:style w:type="paragraph" w:styleId="List3">
    <w:name w:val="List 3"/>
    <w:basedOn w:val="Normal"/>
    <w:rsid w:val="007511D0"/>
    <w:pPr>
      <w:ind w:left="1080" w:hanging="360"/>
      <w:contextualSpacing/>
    </w:pPr>
  </w:style>
  <w:style w:type="paragraph" w:styleId="List4">
    <w:name w:val="List 4"/>
    <w:basedOn w:val="Normal"/>
    <w:rsid w:val="007511D0"/>
    <w:pPr>
      <w:ind w:left="1440" w:hanging="360"/>
      <w:contextualSpacing/>
    </w:pPr>
  </w:style>
  <w:style w:type="paragraph" w:styleId="List5">
    <w:name w:val="List 5"/>
    <w:basedOn w:val="Normal"/>
    <w:rsid w:val="007511D0"/>
    <w:pPr>
      <w:ind w:left="1800" w:hanging="360"/>
      <w:contextualSpacing/>
    </w:pPr>
  </w:style>
  <w:style w:type="paragraph" w:styleId="ListBullet">
    <w:name w:val="List Bullet"/>
    <w:basedOn w:val="Normal"/>
    <w:rsid w:val="007511D0"/>
    <w:pPr>
      <w:numPr>
        <w:numId w:val="16"/>
      </w:numPr>
      <w:contextualSpacing/>
    </w:pPr>
  </w:style>
  <w:style w:type="paragraph" w:styleId="ListBullet2">
    <w:name w:val="List Bullet 2"/>
    <w:basedOn w:val="Normal"/>
    <w:rsid w:val="007511D0"/>
    <w:pPr>
      <w:numPr>
        <w:numId w:val="18"/>
      </w:numPr>
      <w:contextualSpacing/>
    </w:pPr>
  </w:style>
  <w:style w:type="paragraph" w:styleId="ListBullet3">
    <w:name w:val="List Bullet 3"/>
    <w:basedOn w:val="Normal"/>
    <w:rsid w:val="007511D0"/>
    <w:pPr>
      <w:numPr>
        <w:numId w:val="20"/>
      </w:numPr>
      <w:contextualSpacing/>
    </w:pPr>
  </w:style>
  <w:style w:type="paragraph" w:styleId="ListBullet4">
    <w:name w:val="List Bullet 4"/>
    <w:basedOn w:val="Normal"/>
    <w:rsid w:val="007511D0"/>
    <w:pPr>
      <w:numPr>
        <w:numId w:val="22"/>
      </w:numPr>
      <w:contextualSpacing/>
    </w:pPr>
  </w:style>
  <w:style w:type="paragraph" w:styleId="ListBullet5">
    <w:name w:val="List Bullet 5"/>
    <w:basedOn w:val="Normal"/>
    <w:rsid w:val="007511D0"/>
    <w:pPr>
      <w:numPr>
        <w:numId w:val="24"/>
      </w:numPr>
      <w:contextualSpacing/>
    </w:pPr>
  </w:style>
  <w:style w:type="paragraph" w:styleId="ListContinue">
    <w:name w:val="List Continue"/>
    <w:basedOn w:val="Normal"/>
    <w:rsid w:val="007511D0"/>
    <w:pPr>
      <w:spacing w:after="120"/>
      <w:ind w:left="360"/>
      <w:contextualSpacing/>
    </w:pPr>
  </w:style>
  <w:style w:type="paragraph" w:styleId="ListContinue2">
    <w:name w:val="List Continue 2"/>
    <w:basedOn w:val="Normal"/>
    <w:rsid w:val="007511D0"/>
    <w:pPr>
      <w:spacing w:after="120"/>
      <w:ind w:left="720"/>
      <w:contextualSpacing/>
    </w:pPr>
  </w:style>
  <w:style w:type="paragraph" w:styleId="ListContinue3">
    <w:name w:val="List Continue 3"/>
    <w:basedOn w:val="Normal"/>
    <w:rsid w:val="007511D0"/>
    <w:pPr>
      <w:spacing w:after="120"/>
      <w:ind w:left="1080"/>
      <w:contextualSpacing/>
    </w:pPr>
  </w:style>
  <w:style w:type="paragraph" w:styleId="ListContinue4">
    <w:name w:val="List Continue 4"/>
    <w:basedOn w:val="Normal"/>
    <w:rsid w:val="007511D0"/>
    <w:pPr>
      <w:spacing w:after="120"/>
      <w:ind w:left="1440"/>
      <w:contextualSpacing/>
    </w:pPr>
  </w:style>
  <w:style w:type="paragraph" w:styleId="ListContinue5">
    <w:name w:val="List Continue 5"/>
    <w:basedOn w:val="Normal"/>
    <w:rsid w:val="007511D0"/>
    <w:pPr>
      <w:spacing w:after="120"/>
      <w:ind w:left="1800"/>
      <w:contextualSpacing/>
    </w:pPr>
  </w:style>
  <w:style w:type="paragraph" w:styleId="ListNumber">
    <w:name w:val="List Number"/>
    <w:basedOn w:val="Normal"/>
    <w:rsid w:val="007511D0"/>
    <w:pPr>
      <w:numPr>
        <w:numId w:val="26"/>
      </w:numPr>
      <w:contextualSpacing/>
    </w:pPr>
  </w:style>
  <w:style w:type="paragraph" w:styleId="ListNumber2">
    <w:name w:val="List Number 2"/>
    <w:basedOn w:val="Normal"/>
    <w:rsid w:val="007511D0"/>
    <w:pPr>
      <w:numPr>
        <w:numId w:val="28"/>
      </w:numPr>
      <w:contextualSpacing/>
    </w:pPr>
  </w:style>
  <w:style w:type="paragraph" w:styleId="ListNumber3">
    <w:name w:val="List Number 3"/>
    <w:basedOn w:val="Normal"/>
    <w:rsid w:val="007511D0"/>
    <w:pPr>
      <w:numPr>
        <w:numId w:val="30"/>
      </w:numPr>
      <w:contextualSpacing/>
    </w:pPr>
  </w:style>
  <w:style w:type="paragraph" w:styleId="ListNumber4">
    <w:name w:val="List Number 4"/>
    <w:basedOn w:val="Normal"/>
    <w:rsid w:val="007511D0"/>
    <w:pPr>
      <w:numPr>
        <w:numId w:val="32"/>
      </w:numPr>
      <w:contextualSpacing/>
    </w:pPr>
  </w:style>
  <w:style w:type="paragraph" w:styleId="ListNumber5">
    <w:name w:val="List Number 5"/>
    <w:basedOn w:val="Normal"/>
    <w:rsid w:val="007511D0"/>
    <w:pPr>
      <w:numPr>
        <w:numId w:val="34"/>
      </w:numPr>
      <w:contextualSpacing/>
    </w:pPr>
  </w:style>
  <w:style w:type="paragraph" w:styleId="ListParagraph">
    <w:name w:val="List Paragraph"/>
    <w:basedOn w:val="Normal"/>
    <w:uiPriority w:val="34"/>
    <w:qFormat/>
    <w:rsid w:val="007511D0"/>
    <w:pPr>
      <w:ind w:left="720"/>
      <w:contextualSpacing/>
    </w:pPr>
  </w:style>
  <w:style w:type="paragraph" w:styleId="MacroText">
    <w:name w:val="macro"/>
    <w:link w:val="MacroTextChar"/>
    <w:rsid w:val="007511D0"/>
    <w:pPr>
      <w:tabs>
        <w:tab w:val="left" w:pos="480"/>
        <w:tab w:val="left" w:pos="960"/>
        <w:tab w:val="left" w:pos="1440"/>
        <w:tab w:val="left" w:pos="1920"/>
        <w:tab w:val="left" w:pos="2400"/>
        <w:tab w:val="left" w:pos="2880"/>
        <w:tab w:val="left" w:pos="3360"/>
        <w:tab w:val="left" w:pos="3840"/>
        <w:tab w:val="left" w:pos="4320"/>
      </w:tabs>
      <w:spacing w:after="0" w:line="276" w:lineRule="auto"/>
      <w:jc w:val="both"/>
    </w:pPr>
    <w:rPr>
      <w:rFonts w:ascii="Consolas" w:eastAsiaTheme="minorEastAsia" w:hAnsi="Consolas" w:cs="Consolas"/>
      <w:sz w:val="20"/>
      <w:szCs w:val="20"/>
      <w:lang w:eastAsia="fr-CA"/>
    </w:rPr>
  </w:style>
  <w:style w:type="character" w:customStyle="1" w:styleId="MacroTextChar">
    <w:name w:val="Macro Text Char"/>
    <w:basedOn w:val="DefaultParagraphFont"/>
    <w:link w:val="MacroText"/>
    <w:rsid w:val="007511D0"/>
    <w:rPr>
      <w:rFonts w:ascii="Consolas" w:eastAsiaTheme="minorEastAsia" w:hAnsi="Consolas" w:cs="Consolas"/>
      <w:sz w:val="20"/>
      <w:szCs w:val="20"/>
      <w:lang w:eastAsia="fr-CA"/>
    </w:rPr>
  </w:style>
  <w:style w:type="table" w:customStyle="1" w:styleId="MediumShading1-Accent11">
    <w:name w:val="Medium Shading 1 - Accent 11"/>
    <w:basedOn w:val="TableNormal"/>
    <w:uiPriority w:val="63"/>
    <w:rsid w:val="007511D0"/>
    <w:pPr>
      <w:spacing w:after="200" w:line="276" w:lineRule="auto"/>
    </w:pPr>
    <w:rPr>
      <w:rFonts w:eastAsiaTheme="minorEastAsia"/>
      <w:lang w:eastAsia="fr-C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MessageHeader">
    <w:name w:val="Message Header"/>
    <w:basedOn w:val="Normal"/>
    <w:link w:val="MessageHeaderChar"/>
    <w:rsid w:val="007511D0"/>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7511D0"/>
    <w:rPr>
      <w:rFonts w:asciiTheme="majorHAnsi" w:eastAsiaTheme="majorEastAsia" w:hAnsiTheme="majorHAnsi" w:cstheme="majorBidi"/>
      <w:bCs/>
      <w:sz w:val="24"/>
      <w:szCs w:val="24"/>
      <w:shd w:val="pct20" w:color="auto" w:fill="auto"/>
      <w:lang w:val="en-US"/>
    </w:rPr>
  </w:style>
  <w:style w:type="paragraph" w:styleId="NoSpacing">
    <w:name w:val="No Spacing"/>
    <w:uiPriority w:val="1"/>
    <w:qFormat/>
    <w:rsid w:val="007511D0"/>
    <w:pPr>
      <w:spacing w:after="0" w:line="240" w:lineRule="auto"/>
    </w:pPr>
    <w:rPr>
      <w:rFonts w:eastAsiaTheme="minorEastAsia"/>
      <w:lang w:eastAsia="fr-CA"/>
    </w:rPr>
  </w:style>
  <w:style w:type="paragraph" w:styleId="NormalWeb">
    <w:name w:val="Normal (Web)"/>
    <w:basedOn w:val="Normal"/>
    <w:uiPriority w:val="99"/>
    <w:unhideWhenUsed/>
    <w:rsid w:val="007511D0"/>
    <w:pPr>
      <w:spacing w:before="100" w:beforeAutospacing="1" w:after="100" w:afterAutospacing="1"/>
    </w:pPr>
    <w:rPr>
      <w:rFonts w:ascii="Times New Roman" w:eastAsia="Times New Roman" w:hAnsi="Times New Roman"/>
      <w:szCs w:val="24"/>
    </w:rPr>
  </w:style>
  <w:style w:type="paragraph" w:styleId="NormalIndent">
    <w:name w:val="Normal Indent"/>
    <w:basedOn w:val="Normal"/>
    <w:rsid w:val="007511D0"/>
    <w:pPr>
      <w:ind w:left="720"/>
    </w:pPr>
  </w:style>
  <w:style w:type="paragraph" w:styleId="NoteHeading">
    <w:name w:val="Note Heading"/>
    <w:basedOn w:val="Normal"/>
    <w:next w:val="Normal"/>
    <w:link w:val="NoteHeadingChar"/>
    <w:rsid w:val="007511D0"/>
    <w:pPr>
      <w:spacing w:after="0"/>
    </w:pPr>
  </w:style>
  <w:style w:type="character" w:customStyle="1" w:styleId="NoteHeadingChar">
    <w:name w:val="Note Heading Char"/>
    <w:basedOn w:val="DefaultParagraphFont"/>
    <w:link w:val="NoteHeading"/>
    <w:rsid w:val="007511D0"/>
    <w:rPr>
      <w:rFonts w:eastAsia="Calibri" w:cs="Times New Roman"/>
      <w:bCs/>
      <w:sz w:val="24"/>
      <w:lang w:val="en-US"/>
    </w:rPr>
  </w:style>
  <w:style w:type="character" w:styleId="PageNumber">
    <w:name w:val="page number"/>
    <w:basedOn w:val="DefaultParagraphFont"/>
    <w:rsid w:val="007511D0"/>
  </w:style>
  <w:style w:type="character" w:styleId="PlaceholderText">
    <w:name w:val="Placeholder Text"/>
    <w:basedOn w:val="DefaultParagraphFont"/>
    <w:uiPriority w:val="99"/>
    <w:semiHidden/>
    <w:rsid w:val="007511D0"/>
    <w:rPr>
      <w:color w:val="808080"/>
    </w:rPr>
  </w:style>
  <w:style w:type="paragraph" w:styleId="PlainText">
    <w:name w:val="Plain Text"/>
    <w:basedOn w:val="Normal"/>
    <w:link w:val="PlainTextChar"/>
    <w:rsid w:val="007511D0"/>
    <w:pPr>
      <w:spacing w:after="0"/>
    </w:pPr>
    <w:rPr>
      <w:rFonts w:ascii="Consolas" w:hAnsi="Consolas" w:cs="Consolas"/>
      <w:sz w:val="21"/>
      <w:szCs w:val="21"/>
    </w:rPr>
  </w:style>
  <w:style w:type="character" w:customStyle="1" w:styleId="PlainTextChar">
    <w:name w:val="Plain Text Char"/>
    <w:basedOn w:val="DefaultParagraphFont"/>
    <w:link w:val="PlainText"/>
    <w:rsid w:val="007511D0"/>
    <w:rPr>
      <w:rFonts w:ascii="Consolas" w:eastAsia="Calibri" w:hAnsi="Consolas" w:cs="Consolas"/>
      <w:bCs/>
      <w:sz w:val="21"/>
      <w:szCs w:val="21"/>
      <w:lang w:val="en-US"/>
    </w:rPr>
  </w:style>
  <w:style w:type="numbering" w:customStyle="1" w:styleId="prsentationorale">
    <w:name w:val="présentation orale"/>
    <w:uiPriority w:val="99"/>
    <w:rsid w:val="007511D0"/>
    <w:pPr>
      <w:numPr>
        <w:numId w:val="35"/>
      </w:numPr>
    </w:pPr>
  </w:style>
  <w:style w:type="numbering" w:customStyle="1" w:styleId="professionnel">
    <w:name w:val="professionnel"/>
    <w:uiPriority w:val="99"/>
    <w:rsid w:val="007511D0"/>
    <w:pPr>
      <w:numPr>
        <w:numId w:val="36"/>
      </w:numPr>
    </w:pPr>
  </w:style>
  <w:style w:type="paragraph" w:styleId="Quote">
    <w:name w:val="Quote"/>
    <w:basedOn w:val="Normal"/>
    <w:next w:val="Normal"/>
    <w:link w:val="QuoteChar"/>
    <w:uiPriority w:val="29"/>
    <w:qFormat/>
    <w:rsid w:val="007511D0"/>
    <w:rPr>
      <w:i/>
      <w:iCs/>
      <w:color w:val="000000" w:themeColor="text1"/>
    </w:rPr>
  </w:style>
  <w:style w:type="character" w:customStyle="1" w:styleId="QuoteChar">
    <w:name w:val="Quote Char"/>
    <w:basedOn w:val="DefaultParagraphFont"/>
    <w:link w:val="Quote"/>
    <w:uiPriority w:val="29"/>
    <w:rsid w:val="007511D0"/>
    <w:rPr>
      <w:rFonts w:eastAsia="Calibri" w:cs="Times New Roman"/>
      <w:bCs/>
      <w:i/>
      <w:iCs/>
      <w:color w:val="000000" w:themeColor="text1"/>
      <w:sz w:val="24"/>
      <w:lang w:val="en-US"/>
    </w:rPr>
  </w:style>
  <w:style w:type="numbering" w:customStyle="1" w:styleId="rsums">
    <w:name w:val="résumés"/>
    <w:uiPriority w:val="99"/>
    <w:rsid w:val="007511D0"/>
    <w:pPr>
      <w:numPr>
        <w:numId w:val="37"/>
      </w:numPr>
    </w:pPr>
  </w:style>
  <w:style w:type="paragraph" w:styleId="Salutation">
    <w:name w:val="Salutation"/>
    <w:basedOn w:val="Normal"/>
    <w:next w:val="Normal"/>
    <w:link w:val="SalutationChar"/>
    <w:rsid w:val="007511D0"/>
  </w:style>
  <w:style w:type="character" w:customStyle="1" w:styleId="SalutationChar">
    <w:name w:val="Salutation Char"/>
    <w:basedOn w:val="DefaultParagraphFont"/>
    <w:link w:val="Salutation"/>
    <w:rsid w:val="007511D0"/>
    <w:rPr>
      <w:rFonts w:eastAsia="Calibri" w:cs="Times New Roman"/>
      <w:bCs/>
      <w:sz w:val="24"/>
      <w:lang w:val="en-US"/>
    </w:rPr>
  </w:style>
  <w:style w:type="paragraph" w:styleId="Signature">
    <w:name w:val="Signature"/>
    <w:basedOn w:val="Normal"/>
    <w:link w:val="SignatureChar"/>
    <w:rsid w:val="007511D0"/>
    <w:pPr>
      <w:spacing w:after="0"/>
      <w:ind w:left="4320"/>
    </w:pPr>
  </w:style>
  <w:style w:type="character" w:customStyle="1" w:styleId="SignatureChar">
    <w:name w:val="Signature Char"/>
    <w:basedOn w:val="DefaultParagraphFont"/>
    <w:link w:val="Signature"/>
    <w:rsid w:val="007511D0"/>
    <w:rPr>
      <w:rFonts w:eastAsia="Calibri" w:cs="Times New Roman"/>
      <w:bCs/>
      <w:sz w:val="24"/>
      <w:lang w:val="en-US"/>
    </w:rPr>
  </w:style>
  <w:style w:type="character" w:styleId="Strong">
    <w:name w:val="Strong"/>
    <w:basedOn w:val="DefaultParagraphFont"/>
    <w:uiPriority w:val="22"/>
    <w:qFormat/>
    <w:rsid w:val="007511D0"/>
    <w:rPr>
      <w:b/>
      <w:bCs/>
    </w:rPr>
  </w:style>
  <w:style w:type="paragraph" w:customStyle="1" w:styleId="Style1">
    <w:name w:val="Style1"/>
    <w:basedOn w:val="Heading2"/>
    <w:link w:val="Style1Char"/>
    <w:qFormat/>
    <w:rsid w:val="007511D0"/>
  </w:style>
  <w:style w:type="paragraph" w:styleId="Subtitle">
    <w:name w:val="Subtitle"/>
    <w:aliases w:val="Bullets point list"/>
    <w:basedOn w:val="ListParagraph"/>
    <w:next w:val="Normal"/>
    <w:link w:val="SubtitleChar"/>
    <w:uiPriority w:val="11"/>
    <w:qFormat/>
    <w:rsid w:val="007511D0"/>
    <w:pPr>
      <w:numPr>
        <w:ilvl w:val="1"/>
      </w:numPr>
      <w:ind w:left="720"/>
      <w:contextualSpacing w:val="0"/>
    </w:pPr>
    <w:rPr>
      <w:rFonts w:asciiTheme="majorHAnsi" w:eastAsiaTheme="majorEastAsia" w:hAnsiTheme="majorHAnsi" w:cstheme="majorBidi"/>
      <w:i/>
      <w:iCs/>
      <w:color w:val="5B9BD5" w:themeColor="accent1"/>
      <w:spacing w:val="15"/>
      <w:szCs w:val="24"/>
    </w:rPr>
  </w:style>
  <w:style w:type="character" w:customStyle="1" w:styleId="SubtitleChar">
    <w:name w:val="Subtitle Char"/>
    <w:aliases w:val="Bullets point list Char"/>
    <w:basedOn w:val="DefaultParagraphFont"/>
    <w:link w:val="Subtitle"/>
    <w:uiPriority w:val="11"/>
    <w:rsid w:val="007511D0"/>
    <w:rPr>
      <w:rFonts w:asciiTheme="majorHAnsi" w:eastAsiaTheme="majorEastAsia" w:hAnsiTheme="majorHAnsi" w:cstheme="majorBidi"/>
      <w:bCs/>
      <w:i/>
      <w:iCs/>
      <w:color w:val="5B9BD5" w:themeColor="accent1"/>
      <w:spacing w:val="15"/>
      <w:sz w:val="24"/>
      <w:szCs w:val="24"/>
      <w:lang w:val="en-US"/>
    </w:rPr>
  </w:style>
  <w:style w:type="character" w:styleId="SubtleReference">
    <w:name w:val="Subtle Reference"/>
    <w:basedOn w:val="DefaultParagraphFont"/>
    <w:uiPriority w:val="31"/>
    <w:qFormat/>
    <w:rsid w:val="007511D0"/>
    <w:rPr>
      <w:caps w:val="0"/>
      <w:smallCaps w:val="0"/>
      <w:color w:val="ED7D31" w:themeColor="accent2"/>
      <w:u w:val="single"/>
    </w:rPr>
  </w:style>
  <w:style w:type="numbering" w:customStyle="1" w:styleId="Subventions">
    <w:name w:val="Subventions"/>
    <w:uiPriority w:val="99"/>
    <w:rsid w:val="007511D0"/>
    <w:pPr>
      <w:numPr>
        <w:numId w:val="39"/>
      </w:numPr>
    </w:pPr>
  </w:style>
  <w:style w:type="table" w:styleId="TableGrid">
    <w:name w:val="Table Grid"/>
    <w:basedOn w:val="TableNormal"/>
    <w:rsid w:val="007511D0"/>
    <w:pPr>
      <w:spacing w:after="200" w:line="276" w:lineRule="auto"/>
    </w:pPr>
    <w:rPr>
      <w:rFonts w:eastAsiaTheme="minorEastAsia"/>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rsid w:val="007511D0"/>
    <w:pPr>
      <w:spacing w:after="0"/>
      <w:ind w:left="220" w:hanging="220"/>
    </w:pPr>
  </w:style>
  <w:style w:type="paragraph" w:styleId="TableofFigures">
    <w:name w:val="table of figures"/>
    <w:basedOn w:val="Normal"/>
    <w:next w:val="Normal"/>
    <w:rsid w:val="007511D0"/>
    <w:pPr>
      <w:spacing w:after="0"/>
    </w:pPr>
  </w:style>
  <w:style w:type="paragraph" w:styleId="Title">
    <w:name w:val="Title"/>
    <w:basedOn w:val="Normal"/>
    <w:next w:val="Normal"/>
    <w:link w:val="TitleChar"/>
    <w:uiPriority w:val="10"/>
    <w:qFormat/>
    <w:rsid w:val="007511D0"/>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511D0"/>
    <w:rPr>
      <w:rFonts w:asciiTheme="majorHAnsi" w:eastAsiaTheme="majorEastAsia" w:hAnsiTheme="majorHAnsi" w:cstheme="majorBidi"/>
      <w:bCs/>
      <w:color w:val="323E4F" w:themeColor="text2" w:themeShade="BF"/>
      <w:spacing w:val="5"/>
      <w:kern w:val="28"/>
      <w:sz w:val="52"/>
      <w:szCs w:val="52"/>
      <w:lang w:val="en-US"/>
    </w:rPr>
  </w:style>
  <w:style w:type="paragraph" w:styleId="TOAHeading">
    <w:name w:val="toa heading"/>
    <w:basedOn w:val="Normal"/>
    <w:next w:val="Normal"/>
    <w:rsid w:val="007511D0"/>
    <w:pPr>
      <w:spacing w:before="120"/>
    </w:pPr>
    <w:rPr>
      <w:rFonts w:asciiTheme="majorHAnsi" w:eastAsiaTheme="majorEastAsia" w:hAnsiTheme="majorHAnsi" w:cstheme="majorBidi"/>
      <w:b/>
      <w:bCs w:val="0"/>
      <w:szCs w:val="24"/>
    </w:rPr>
  </w:style>
  <w:style w:type="paragraph" w:styleId="TOC1">
    <w:name w:val="toc 1"/>
    <w:basedOn w:val="Normal"/>
    <w:next w:val="Normal"/>
    <w:autoRedefine/>
    <w:uiPriority w:val="39"/>
    <w:rsid w:val="007511D0"/>
    <w:pPr>
      <w:spacing w:after="100"/>
    </w:pPr>
  </w:style>
  <w:style w:type="paragraph" w:styleId="TOC2">
    <w:name w:val="toc 2"/>
    <w:basedOn w:val="Normal"/>
    <w:next w:val="Normal"/>
    <w:autoRedefine/>
    <w:uiPriority w:val="39"/>
    <w:rsid w:val="007511D0"/>
    <w:pPr>
      <w:spacing w:after="100"/>
      <w:ind w:left="220"/>
    </w:pPr>
  </w:style>
  <w:style w:type="paragraph" w:styleId="TOC3">
    <w:name w:val="toc 3"/>
    <w:basedOn w:val="Normal"/>
    <w:next w:val="Normal"/>
    <w:autoRedefine/>
    <w:uiPriority w:val="39"/>
    <w:rsid w:val="007511D0"/>
    <w:pPr>
      <w:spacing w:after="100"/>
      <w:ind w:left="440"/>
    </w:pPr>
  </w:style>
  <w:style w:type="paragraph" w:styleId="TOC4">
    <w:name w:val="toc 4"/>
    <w:basedOn w:val="Normal"/>
    <w:next w:val="Normal"/>
    <w:autoRedefine/>
    <w:rsid w:val="007511D0"/>
    <w:pPr>
      <w:spacing w:after="100"/>
      <w:ind w:left="660"/>
    </w:pPr>
  </w:style>
  <w:style w:type="paragraph" w:styleId="TOC5">
    <w:name w:val="toc 5"/>
    <w:basedOn w:val="Normal"/>
    <w:next w:val="Normal"/>
    <w:autoRedefine/>
    <w:rsid w:val="007511D0"/>
    <w:pPr>
      <w:spacing w:after="100"/>
      <w:ind w:left="880"/>
    </w:pPr>
  </w:style>
  <w:style w:type="paragraph" w:styleId="TOC6">
    <w:name w:val="toc 6"/>
    <w:basedOn w:val="Normal"/>
    <w:next w:val="Normal"/>
    <w:autoRedefine/>
    <w:rsid w:val="007511D0"/>
    <w:pPr>
      <w:spacing w:after="100"/>
      <w:ind w:left="1100"/>
    </w:pPr>
  </w:style>
  <w:style w:type="paragraph" w:styleId="TOC7">
    <w:name w:val="toc 7"/>
    <w:basedOn w:val="Normal"/>
    <w:next w:val="Normal"/>
    <w:autoRedefine/>
    <w:rsid w:val="007511D0"/>
    <w:pPr>
      <w:spacing w:after="100"/>
      <w:ind w:left="1320"/>
    </w:pPr>
  </w:style>
  <w:style w:type="paragraph" w:styleId="TOC8">
    <w:name w:val="toc 8"/>
    <w:basedOn w:val="Normal"/>
    <w:next w:val="Normal"/>
    <w:autoRedefine/>
    <w:rsid w:val="007511D0"/>
    <w:pPr>
      <w:spacing w:after="100"/>
      <w:ind w:left="1540"/>
    </w:pPr>
  </w:style>
  <w:style w:type="paragraph" w:styleId="TOC9">
    <w:name w:val="toc 9"/>
    <w:basedOn w:val="Normal"/>
    <w:next w:val="Normal"/>
    <w:autoRedefine/>
    <w:rsid w:val="007511D0"/>
    <w:pPr>
      <w:spacing w:after="100"/>
      <w:ind w:left="1760"/>
    </w:pPr>
  </w:style>
  <w:style w:type="paragraph" w:styleId="TOCHeading">
    <w:name w:val="TOC Heading"/>
    <w:basedOn w:val="Heading1"/>
    <w:next w:val="Normal"/>
    <w:uiPriority w:val="39"/>
    <w:semiHidden/>
    <w:unhideWhenUsed/>
    <w:qFormat/>
    <w:rsid w:val="007511D0"/>
    <w:pPr>
      <w:numPr>
        <w:numId w:val="0"/>
      </w:numPr>
      <w:jc w:val="both"/>
      <w:outlineLvl w:val="9"/>
    </w:pPr>
  </w:style>
  <w:style w:type="paragraph" w:customStyle="1" w:styleId="SI">
    <w:name w:val="SI"/>
    <w:basedOn w:val="Normal"/>
    <w:link w:val="SIChar"/>
    <w:qFormat/>
    <w:rsid w:val="00BE5874"/>
    <w:pPr>
      <w:numPr>
        <w:numId w:val="41"/>
      </w:numPr>
      <w:ind w:left="360"/>
    </w:pPr>
    <w:rPr>
      <w:b/>
      <w:color w:val="000000" w:themeColor="text1"/>
      <w:sz w:val="28"/>
    </w:rPr>
  </w:style>
  <w:style w:type="table" w:styleId="GridTable5Dark">
    <w:name w:val="Grid Table 5 Dark"/>
    <w:basedOn w:val="TableNormal"/>
    <w:uiPriority w:val="50"/>
    <w:rsid w:val="00781C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SIChar">
    <w:name w:val="SI Char"/>
    <w:basedOn w:val="DefaultParagraphFont"/>
    <w:link w:val="SI"/>
    <w:rsid w:val="00BE5874"/>
    <w:rPr>
      <w:rFonts w:cs="Times New Roman"/>
      <w:b/>
      <w:bCs/>
      <w:color w:val="000000" w:themeColor="text1"/>
      <w:sz w:val="28"/>
      <w:lang w:val="en-US"/>
    </w:rPr>
  </w:style>
  <w:style w:type="table" w:styleId="GridTable5Dark-Accent3">
    <w:name w:val="Grid Table 5 Dark Accent 3"/>
    <w:basedOn w:val="TableNormal"/>
    <w:uiPriority w:val="50"/>
    <w:rsid w:val="00781C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nd">
    <w:name w:val="nd"/>
    <w:basedOn w:val="DefaultParagraphFont"/>
    <w:rsid w:val="00B3640D"/>
  </w:style>
  <w:style w:type="character" w:customStyle="1" w:styleId="p">
    <w:name w:val="p"/>
    <w:basedOn w:val="DefaultParagraphFont"/>
    <w:rsid w:val="00B3640D"/>
  </w:style>
  <w:style w:type="character" w:customStyle="1" w:styleId="n">
    <w:name w:val="n"/>
    <w:basedOn w:val="DefaultParagraphFont"/>
    <w:rsid w:val="00B3640D"/>
  </w:style>
  <w:style w:type="character" w:customStyle="1" w:styleId="o">
    <w:name w:val="o"/>
    <w:basedOn w:val="DefaultParagraphFont"/>
    <w:rsid w:val="00B3640D"/>
  </w:style>
  <w:style w:type="character" w:customStyle="1" w:styleId="ow">
    <w:name w:val="ow"/>
    <w:basedOn w:val="DefaultParagraphFont"/>
    <w:rsid w:val="00B3640D"/>
  </w:style>
  <w:style w:type="character" w:customStyle="1" w:styleId="mi">
    <w:name w:val="mi"/>
    <w:basedOn w:val="DefaultParagraphFont"/>
    <w:rsid w:val="00B3640D"/>
  </w:style>
  <w:style w:type="paragraph" w:styleId="Revision">
    <w:name w:val="Revision"/>
    <w:hidden/>
    <w:uiPriority w:val="99"/>
    <w:semiHidden/>
    <w:rsid w:val="00C85824"/>
    <w:pPr>
      <w:spacing w:after="0" w:line="240" w:lineRule="auto"/>
    </w:pPr>
    <w:rPr>
      <w:rFonts w:cs="Times New Roman"/>
      <w:bCs/>
      <w:sz w:val="24"/>
      <w:lang w:val="en-US"/>
    </w:rPr>
  </w:style>
  <w:style w:type="character" w:customStyle="1" w:styleId="Style1Char">
    <w:name w:val="Style1 Char"/>
    <w:basedOn w:val="DefaultParagraphFont"/>
    <w:link w:val="Style1"/>
    <w:rsid w:val="003E73F2"/>
    <w:rPr>
      <w:rFonts w:asciiTheme="majorHAnsi" w:eastAsiaTheme="majorEastAsia" w:hAnsiTheme="majorHAnsi" w:cstheme="majorBidi"/>
      <w:b/>
      <w:color w:val="5B9BD5" w:themeColor="accent1"/>
      <w:sz w:val="26"/>
      <w:szCs w:val="26"/>
      <w:lang w:eastAsia="fr-CA"/>
    </w:rPr>
  </w:style>
  <w:style w:type="paragraph" w:customStyle="1" w:styleId="ReviewerComment">
    <w:name w:val="Reviewer Comment"/>
    <w:basedOn w:val="Style1"/>
    <w:link w:val="ReviewerCommentChar"/>
    <w:qFormat/>
    <w:rsid w:val="00C85E07"/>
    <w:pPr>
      <w:widowControl/>
      <w:numPr>
        <w:ilvl w:val="0"/>
        <w:numId w:val="0"/>
      </w:numPr>
      <w:spacing w:before="0" w:after="200" w:line="240" w:lineRule="auto"/>
      <w:ind w:left="284" w:hanging="284"/>
      <w:contextualSpacing/>
      <w:outlineLvl w:val="9"/>
    </w:pPr>
    <w:rPr>
      <w:rFonts w:eastAsiaTheme="minorHAnsi"/>
      <w:b w:val="0"/>
      <w:i/>
      <w:color w:val="A6A6A6" w:themeColor="background1" w:themeShade="A6"/>
      <w:lang w:val="en-CA"/>
    </w:rPr>
  </w:style>
  <w:style w:type="character" w:customStyle="1" w:styleId="ReviewerCommentChar">
    <w:name w:val="Reviewer Comment Char"/>
    <w:basedOn w:val="Style1Char"/>
    <w:link w:val="ReviewerComment"/>
    <w:rsid w:val="00C85E07"/>
    <w:rPr>
      <w:rFonts w:asciiTheme="majorHAnsi" w:eastAsiaTheme="minorHAnsi" w:hAnsiTheme="majorHAnsi" w:cstheme="majorBidi"/>
      <w:b w:val="0"/>
      <w:i/>
      <w:color w:val="A6A6A6" w:themeColor="background1" w:themeShade="A6"/>
      <w:sz w:val="26"/>
      <w:szCs w:val="26"/>
      <w:lang w:val="en-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95420">
      <w:bodyDiv w:val="1"/>
      <w:marLeft w:val="0"/>
      <w:marRight w:val="0"/>
      <w:marTop w:val="0"/>
      <w:marBottom w:val="0"/>
      <w:divBdr>
        <w:top w:val="none" w:sz="0" w:space="0" w:color="auto"/>
        <w:left w:val="none" w:sz="0" w:space="0" w:color="auto"/>
        <w:bottom w:val="none" w:sz="0" w:space="0" w:color="auto"/>
        <w:right w:val="none" w:sz="0" w:space="0" w:color="auto"/>
      </w:divBdr>
      <w:divsChild>
        <w:div w:id="1957716132">
          <w:marLeft w:val="360"/>
          <w:marRight w:val="0"/>
          <w:marTop w:val="200"/>
          <w:marBottom w:val="0"/>
          <w:divBdr>
            <w:top w:val="none" w:sz="0" w:space="0" w:color="auto"/>
            <w:left w:val="none" w:sz="0" w:space="0" w:color="auto"/>
            <w:bottom w:val="none" w:sz="0" w:space="0" w:color="auto"/>
            <w:right w:val="none" w:sz="0" w:space="0" w:color="auto"/>
          </w:divBdr>
        </w:div>
        <w:div w:id="4598876">
          <w:marLeft w:val="1080"/>
          <w:marRight w:val="0"/>
          <w:marTop w:val="100"/>
          <w:marBottom w:val="0"/>
          <w:divBdr>
            <w:top w:val="none" w:sz="0" w:space="0" w:color="auto"/>
            <w:left w:val="none" w:sz="0" w:space="0" w:color="auto"/>
            <w:bottom w:val="none" w:sz="0" w:space="0" w:color="auto"/>
            <w:right w:val="none" w:sz="0" w:space="0" w:color="auto"/>
          </w:divBdr>
        </w:div>
        <w:div w:id="279842283">
          <w:marLeft w:val="1080"/>
          <w:marRight w:val="0"/>
          <w:marTop w:val="100"/>
          <w:marBottom w:val="0"/>
          <w:divBdr>
            <w:top w:val="none" w:sz="0" w:space="0" w:color="auto"/>
            <w:left w:val="none" w:sz="0" w:space="0" w:color="auto"/>
            <w:bottom w:val="none" w:sz="0" w:space="0" w:color="auto"/>
            <w:right w:val="none" w:sz="0" w:space="0" w:color="auto"/>
          </w:divBdr>
        </w:div>
      </w:divsChild>
    </w:div>
    <w:div w:id="476453388">
      <w:bodyDiv w:val="1"/>
      <w:marLeft w:val="0"/>
      <w:marRight w:val="0"/>
      <w:marTop w:val="0"/>
      <w:marBottom w:val="0"/>
      <w:divBdr>
        <w:top w:val="none" w:sz="0" w:space="0" w:color="auto"/>
        <w:left w:val="none" w:sz="0" w:space="0" w:color="auto"/>
        <w:bottom w:val="none" w:sz="0" w:space="0" w:color="auto"/>
        <w:right w:val="none" w:sz="0" w:space="0" w:color="auto"/>
      </w:divBdr>
    </w:div>
    <w:div w:id="536047488">
      <w:bodyDiv w:val="1"/>
      <w:marLeft w:val="0"/>
      <w:marRight w:val="0"/>
      <w:marTop w:val="0"/>
      <w:marBottom w:val="0"/>
      <w:divBdr>
        <w:top w:val="none" w:sz="0" w:space="0" w:color="auto"/>
        <w:left w:val="none" w:sz="0" w:space="0" w:color="auto"/>
        <w:bottom w:val="none" w:sz="0" w:space="0" w:color="auto"/>
        <w:right w:val="none" w:sz="0" w:space="0" w:color="auto"/>
      </w:divBdr>
      <w:divsChild>
        <w:div w:id="503322314">
          <w:marLeft w:val="979"/>
          <w:marRight w:val="0"/>
          <w:marTop w:val="0"/>
          <w:marBottom w:val="0"/>
          <w:divBdr>
            <w:top w:val="none" w:sz="0" w:space="0" w:color="auto"/>
            <w:left w:val="none" w:sz="0" w:space="0" w:color="auto"/>
            <w:bottom w:val="none" w:sz="0" w:space="0" w:color="auto"/>
            <w:right w:val="none" w:sz="0" w:space="0" w:color="auto"/>
          </w:divBdr>
        </w:div>
        <w:div w:id="1103261545">
          <w:marLeft w:val="979"/>
          <w:marRight w:val="0"/>
          <w:marTop w:val="0"/>
          <w:marBottom w:val="0"/>
          <w:divBdr>
            <w:top w:val="none" w:sz="0" w:space="0" w:color="auto"/>
            <w:left w:val="none" w:sz="0" w:space="0" w:color="auto"/>
            <w:bottom w:val="none" w:sz="0" w:space="0" w:color="auto"/>
            <w:right w:val="none" w:sz="0" w:space="0" w:color="auto"/>
          </w:divBdr>
        </w:div>
        <w:div w:id="1962298190">
          <w:marLeft w:val="979"/>
          <w:marRight w:val="0"/>
          <w:marTop w:val="0"/>
          <w:marBottom w:val="0"/>
          <w:divBdr>
            <w:top w:val="none" w:sz="0" w:space="0" w:color="auto"/>
            <w:left w:val="none" w:sz="0" w:space="0" w:color="auto"/>
            <w:bottom w:val="none" w:sz="0" w:space="0" w:color="auto"/>
            <w:right w:val="none" w:sz="0" w:space="0" w:color="auto"/>
          </w:divBdr>
        </w:div>
      </w:divsChild>
    </w:div>
    <w:div w:id="599141190">
      <w:bodyDiv w:val="1"/>
      <w:marLeft w:val="0"/>
      <w:marRight w:val="0"/>
      <w:marTop w:val="0"/>
      <w:marBottom w:val="0"/>
      <w:divBdr>
        <w:top w:val="none" w:sz="0" w:space="0" w:color="auto"/>
        <w:left w:val="none" w:sz="0" w:space="0" w:color="auto"/>
        <w:bottom w:val="none" w:sz="0" w:space="0" w:color="auto"/>
        <w:right w:val="none" w:sz="0" w:space="0" w:color="auto"/>
      </w:divBdr>
      <w:divsChild>
        <w:div w:id="100539054">
          <w:marLeft w:val="432"/>
          <w:marRight w:val="0"/>
          <w:marTop w:val="120"/>
          <w:marBottom w:val="0"/>
          <w:divBdr>
            <w:top w:val="none" w:sz="0" w:space="0" w:color="auto"/>
            <w:left w:val="none" w:sz="0" w:space="0" w:color="auto"/>
            <w:bottom w:val="none" w:sz="0" w:space="0" w:color="auto"/>
            <w:right w:val="none" w:sz="0" w:space="0" w:color="auto"/>
          </w:divBdr>
        </w:div>
      </w:divsChild>
    </w:div>
    <w:div w:id="811825856">
      <w:bodyDiv w:val="1"/>
      <w:marLeft w:val="0"/>
      <w:marRight w:val="0"/>
      <w:marTop w:val="0"/>
      <w:marBottom w:val="0"/>
      <w:divBdr>
        <w:top w:val="none" w:sz="0" w:space="0" w:color="auto"/>
        <w:left w:val="none" w:sz="0" w:space="0" w:color="auto"/>
        <w:bottom w:val="none" w:sz="0" w:space="0" w:color="auto"/>
        <w:right w:val="none" w:sz="0" w:space="0" w:color="auto"/>
      </w:divBdr>
    </w:div>
    <w:div w:id="895625957">
      <w:bodyDiv w:val="1"/>
      <w:marLeft w:val="0"/>
      <w:marRight w:val="0"/>
      <w:marTop w:val="0"/>
      <w:marBottom w:val="0"/>
      <w:divBdr>
        <w:top w:val="none" w:sz="0" w:space="0" w:color="auto"/>
        <w:left w:val="none" w:sz="0" w:space="0" w:color="auto"/>
        <w:bottom w:val="none" w:sz="0" w:space="0" w:color="auto"/>
        <w:right w:val="none" w:sz="0" w:space="0" w:color="auto"/>
      </w:divBdr>
      <w:divsChild>
        <w:div w:id="134294897">
          <w:marLeft w:val="720"/>
          <w:marRight w:val="0"/>
          <w:marTop w:val="0"/>
          <w:marBottom w:val="0"/>
          <w:divBdr>
            <w:top w:val="none" w:sz="0" w:space="0" w:color="auto"/>
            <w:left w:val="none" w:sz="0" w:space="0" w:color="auto"/>
            <w:bottom w:val="none" w:sz="0" w:space="0" w:color="auto"/>
            <w:right w:val="none" w:sz="0" w:space="0" w:color="auto"/>
          </w:divBdr>
        </w:div>
        <w:div w:id="1334378948">
          <w:marLeft w:val="720"/>
          <w:marRight w:val="0"/>
          <w:marTop w:val="0"/>
          <w:marBottom w:val="0"/>
          <w:divBdr>
            <w:top w:val="none" w:sz="0" w:space="0" w:color="auto"/>
            <w:left w:val="none" w:sz="0" w:space="0" w:color="auto"/>
            <w:bottom w:val="none" w:sz="0" w:space="0" w:color="auto"/>
            <w:right w:val="none" w:sz="0" w:space="0" w:color="auto"/>
          </w:divBdr>
        </w:div>
      </w:divsChild>
    </w:div>
    <w:div w:id="903372612">
      <w:bodyDiv w:val="1"/>
      <w:marLeft w:val="0"/>
      <w:marRight w:val="0"/>
      <w:marTop w:val="0"/>
      <w:marBottom w:val="0"/>
      <w:divBdr>
        <w:top w:val="none" w:sz="0" w:space="0" w:color="auto"/>
        <w:left w:val="none" w:sz="0" w:space="0" w:color="auto"/>
        <w:bottom w:val="none" w:sz="0" w:space="0" w:color="auto"/>
        <w:right w:val="none" w:sz="0" w:space="0" w:color="auto"/>
      </w:divBdr>
    </w:div>
    <w:div w:id="1110468452">
      <w:bodyDiv w:val="1"/>
      <w:marLeft w:val="0"/>
      <w:marRight w:val="0"/>
      <w:marTop w:val="0"/>
      <w:marBottom w:val="0"/>
      <w:divBdr>
        <w:top w:val="none" w:sz="0" w:space="0" w:color="auto"/>
        <w:left w:val="none" w:sz="0" w:space="0" w:color="auto"/>
        <w:bottom w:val="none" w:sz="0" w:space="0" w:color="auto"/>
        <w:right w:val="none" w:sz="0" w:space="0" w:color="auto"/>
      </w:divBdr>
      <w:divsChild>
        <w:div w:id="439305148">
          <w:marLeft w:val="720"/>
          <w:marRight w:val="0"/>
          <w:marTop w:val="0"/>
          <w:marBottom w:val="0"/>
          <w:divBdr>
            <w:top w:val="none" w:sz="0" w:space="0" w:color="auto"/>
            <w:left w:val="none" w:sz="0" w:space="0" w:color="auto"/>
            <w:bottom w:val="none" w:sz="0" w:space="0" w:color="auto"/>
            <w:right w:val="none" w:sz="0" w:space="0" w:color="auto"/>
          </w:divBdr>
        </w:div>
      </w:divsChild>
    </w:div>
    <w:div w:id="1180200242">
      <w:bodyDiv w:val="1"/>
      <w:marLeft w:val="0"/>
      <w:marRight w:val="0"/>
      <w:marTop w:val="0"/>
      <w:marBottom w:val="0"/>
      <w:divBdr>
        <w:top w:val="none" w:sz="0" w:space="0" w:color="auto"/>
        <w:left w:val="none" w:sz="0" w:space="0" w:color="auto"/>
        <w:bottom w:val="none" w:sz="0" w:space="0" w:color="auto"/>
        <w:right w:val="none" w:sz="0" w:space="0" w:color="auto"/>
      </w:divBdr>
    </w:div>
    <w:div w:id="1552112674">
      <w:bodyDiv w:val="1"/>
      <w:marLeft w:val="0"/>
      <w:marRight w:val="0"/>
      <w:marTop w:val="0"/>
      <w:marBottom w:val="0"/>
      <w:divBdr>
        <w:top w:val="none" w:sz="0" w:space="0" w:color="auto"/>
        <w:left w:val="none" w:sz="0" w:space="0" w:color="auto"/>
        <w:bottom w:val="none" w:sz="0" w:space="0" w:color="auto"/>
        <w:right w:val="none" w:sz="0" w:space="0" w:color="auto"/>
      </w:divBdr>
      <w:divsChild>
        <w:div w:id="1616136809">
          <w:marLeft w:val="720"/>
          <w:marRight w:val="0"/>
          <w:marTop w:val="120"/>
          <w:marBottom w:val="0"/>
          <w:divBdr>
            <w:top w:val="none" w:sz="0" w:space="0" w:color="auto"/>
            <w:left w:val="none" w:sz="0" w:space="0" w:color="auto"/>
            <w:bottom w:val="none" w:sz="0" w:space="0" w:color="auto"/>
            <w:right w:val="none" w:sz="0" w:space="0" w:color="auto"/>
          </w:divBdr>
        </w:div>
        <w:div w:id="175266066">
          <w:marLeft w:val="720"/>
          <w:marRight w:val="0"/>
          <w:marTop w:val="120"/>
          <w:marBottom w:val="0"/>
          <w:divBdr>
            <w:top w:val="none" w:sz="0" w:space="0" w:color="auto"/>
            <w:left w:val="none" w:sz="0" w:space="0" w:color="auto"/>
            <w:bottom w:val="none" w:sz="0" w:space="0" w:color="auto"/>
            <w:right w:val="none" w:sz="0" w:space="0" w:color="auto"/>
          </w:divBdr>
        </w:div>
        <w:div w:id="1065420933">
          <w:marLeft w:val="720"/>
          <w:marRight w:val="0"/>
          <w:marTop w:val="120"/>
          <w:marBottom w:val="0"/>
          <w:divBdr>
            <w:top w:val="none" w:sz="0" w:space="0" w:color="auto"/>
            <w:left w:val="none" w:sz="0" w:space="0" w:color="auto"/>
            <w:bottom w:val="none" w:sz="0" w:space="0" w:color="auto"/>
            <w:right w:val="none" w:sz="0" w:space="0" w:color="auto"/>
          </w:divBdr>
        </w:div>
      </w:divsChild>
    </w:div>
    <w:div w:id="1685665364">
      <w:bodyDiv w:val="1"/>
      <w:marLeft w:val="0"/>
      <w:marRight w:val="0"/>
      <w:marTop w:val="0"/>
      <w:marBottom w:val="0"/>
      <w:divBdr>
        <w:top w:val="none" w:sz="0" w:space="0" w:color="auto"/>
        <w:left w:val="none" w:sz="0" w:space="0" w:color="auto"/>
        <w:bottom w:val="none" w:sz="0" w:space="0" w:color="auto"/>
        <w:right w:val="none" w:sz="0" w:space="0" w:color="auto"/>
      </w:divBdr>
    </w:div>
    <w:div w:id="1789003095">
      <w:bodyDiv w:val="1"/>
      <w:marLeft w:val="0"/>
      <w:marRight w:val="0"/>
      <w:marTop w:val="0"/>
      <w:marBottom w:val="0"/>
      <w:divBdr>
        <w:top w:val="none" w:sz="0" w:space="0" w:color="auto"/>
        <w:left w:val="none" w:sz="0" w:space="0" w:color="auto"/>
        <w:bottom w:val="none" w:sz="0" w:space="0" w:color="auto"/>
        <w:right w:val="none" w:sz="0" w:space="0" w:color="auto"/>
      </w:divBdr>
    </w:div>
    <w:div w:id="1799910610">
      <w:bodyDiv w:val="1"/>
      <w:marLeft w:val="0"/>
      <w:marRight w:val="0"/>
      <w:marTop w:val="0"/>
      <w:marBottom w:val="0"/>
      <w:divBdr>
        <w:top w:val="none" w:sz="0" w:space="0" w:color="auto"/>
        <w:left w:val="none" w:sz="0" w:space="0" w:color="auto"/>
        <w:bottom w:val="none" w:sz="0" w:space="0" w:color="auto"/>
        <w:right w:val="none" w:sz="0" w:space="0" w:color="auto"/>
      </w:divBdr>
    </w:div>
    <w:div w:id="1909727430">
      <w:bodyDiv w:val="1"/>
      <w:marLeft w:val="0"/>
      <w:marRight w:val="0"/>
      <w:marTop w:val="0"/>
      <w:marBottom w:val="0"/>
      <w:divBdr>
        <w:top w:val="none" w:sz="0" w:space="0" w:color="auto"/>
        <w:left w:val="none" w:sz="0" w:space="0" w:color="auto"/>
        <w:bottom w:val="none" w:sz="0" w:space="0" w:color="auto"/>
        <w:right w:val="none" w:sz="0" w:space="0" w:color="auto"/>
      </w:divBdr>
    </w:div>
    <w:div w:id="2045402664">
      <w:bodyDiv w:val="1"/>
      <w:marLeft w:val="0"/>
      <w:marRight w:val="0"/>
      <w:marTop w:val="0"/>
      <w:marBottom w:val="0"/>
      <w:divBdr>
        <w:top w:val="none" w:sz="0" w:space="0" w:color="auto"/>
        <w:left w:val="none" w:sz="0" w:space="0" w:color="auto"/>
        <w:bottom w:val="none" w:sz="0" w:space="0" w:color="auto"/>
        <w:right w:val="none" w:sz="0" w:space="0" w:color="auto"/>
      </w:divBdr>
      <w:divsChild>
        <w:div w:id="1457525028">
          <w:marLeft w:val="720"/>
          <w:marRight w:val="0"/>
          <w:marTop w:val="0"/>
          <w:marBottom w:val="0"/>
          <w:divBdr>
            <w:top w:val="none" w:sz="0" w:space="0" w:color="auto"/>
            <w:left w:val="none" w:sz="0" w:space="0" w:color="auto"/>
            <w:bottom w:val="none" w:sz="0" w:space="0" w:color="auto"/>
            <w:right w:val="none" w:sz="0" w:space="0" w:color="auto"/>
          </w:divBdr>
        </w:div>
        <w:div w:id="16456260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53E728737EA4B9060CE775E97621F" ma:contentTypeVersion="13" ma:contentTypeDescription="Crée un document." ma:contentTypeScope="" ma:versionID="f74887a09ef087d5e6932ab16439e454">
  <xsd:schema xmlns:xsd="http://www.w3.org/2001/XMLSchema" xmlns:xs="http://www.w3.org/2001/XMLSchema" xmlns:p="http://schemas.microsoft.com/office/2006/metadata/properties" xmlns:ns1="http://schemas.microsoft.com/sharepoint/v3" xmlns:ns3="61f4298d-917c-41ed-9e00-44560d64fbf2" xmlns:ns4="5cd34cc4-4df3-4297-8004-db5d28e031f9" targetNamespace="http://schemas.microsoft.com/office/2006/metadata/properties" ma:root="true" ma:fieldsID="0577881f5a606ff49b0ecf3bd84a01b6" ns1:_="" ns3:_="" ns4:_="">
    <xsd:import namespace="http://schemas.microsoft.com/sharepoint/v3"/>
    <xsd:import namespace="61f4298d-917c-41ed-9e00-44560d64fbf2"/>
    <xsd:import namespace="5cd34cc4-4df3-4297-8004-db5d28e031f9"/>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AutoTags" minOccurs="0"/>
                <xsd:element ref="ns4:MediaServiceOCR" minOccurs="0"/>
                <xsd:element ref="ns4:MediaServiceDateTaken" minOccurs="0"/>
                <xsd:element ref="ns4:MediaServiceLocation" minOccurs="0"/>
                <xsd:element ref="ns1:_ip_UnifiedCompliancePolicyProperties" minOccurs="0"/>
                <xsd:element ref="ns1:_ip_UnifiedCompliancePolicyUIAc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Propriétés de la stratégie de conformité unifiée" ma:hidden="true" ma:internalName="_ip_UnifiedCompliancePolicyProperties">
      <xsd:simpleType>
        <xsd:restriction base="dms:Note"/>
      </xsd:simpleType>
    </xsd:element>
    <xsd:element name="_ip_UnifiedCompliancePolicyUIAction" ma:index="18"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4298d-917c-41ed-9e00-44560d64fbf2"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d34cc4-4df3-4297-8004-db5d28e031f9"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04EA0-2205-4DD3-B404-929E6ECFA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f4298d-917c-41ed-9e00-44560d64fbf2"/>
    <ds:schemaRef ds:uri="5cd34cc4-4df3-4297-8004-db5d28e03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84B3A5-4C9E-4674-8B8F-FEA0142C8DE0}">
  <ds:schemaRefs>
    <ds:schemaRef ds:uri="http://schemas.microsoft.com/sharepoint/v3/contenttype/forms"/>
  </ds:schemaRefs>
</ds:datastoreItem>
</file>

<file path=customXml/itemProps3.xml><?xml version="1.0" encoding="utf-8"?>
<ds:datastoreItem xmlns:ds="http://schemas.openxmlformats.org/officeDocument/2006/customXml" ds:itemID="{0229144C-7654-4BE5-A3E4-E6E2976D3A8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B254BB9-E0FC-44B6-B4E0-E8B10C406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3455</Words>
  <Characters>19005</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 Braidy</dc:creator>
  <cp:keywords/>
  <dc:description/>
  <cp:lastModifiedBy>Nadi Braidy</cp:lastModifiedBy>
  <cp:revision>3</cp:revision>
  <dcterms:created xsi:type="dcterms:W3CDTF">2019-10-23T02:29:00Z</dcterms:created>
  <dcterms:modified xsi:type="dcterms:W3CDTF">2019-10-23T02:29:00Z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0x0101009ED53E728737EA4B9060CE775E97621F</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6th edition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http://www.zotero.org/styles/journal-of-nanoscience-and-nanotechnology</vt:lpwstr>
  </property>
  <property fmtid="{D5CDD505-2E9C-101B-9397-08002B2CF9AE}" pid="14" name="Mendeley Recent Style Name 5_1">
    <vt:lpwstr>Journal of Nanoscience and Nanotechnology</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http://www.zotero.org/styles/scientific-reports</vt:lpwstr>
  </property>
  <property fmtid="{D5CDD505-2E9C-101B-9397-08002B2CF9AE}" pid="22" name="Mendeley Recent Style Name 9_1">
    <vt:lpwstr>Scientific Reports</vt:lpwstr>
  </property>
  <property fmtid="{D5CDD505-2E9C-101B-9397-08002B2CF9AE}" pid="23" name="Mendeley Document_1">
    <vt:lpwstr>True</vt:lpwstr>
  </property>
  <property fmtid="{D5CDD505-2E9C-101B-9397-08002B2CF9AE}" pid="24" name="Mendeley Unique User Id_1">
    <vt:lpwstr>5c435a32-97d3-3f7a-9a7f-dbbbd3621145</vt:lpwstr>
  </property>
  <property fmtid="{D5CDD505-2E9C-101B-9397-08002B2CF9AE}" pid="25" name="Mendeley Citation Style_1">
    <vt:lpwstr>http://www.zotero.org/styles/scientific-reports</vt:lpwstr>
  </property>
</Properties>
</file>