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6BD" w:rsidRDefault="005636BD" w:rsidP="005636BD">
      <w:pPr>
        <w:jc w:val="center"/>
        <w:rPr>
          <w:rFonts w:ascii="Times New Roman" w:eastAsia="DengXian" w:hAnsi="Times New Roman" w:cs="Times New Roman"/>
          <w:b/>
          <w:sz w:val="28"/>
          <w:szCs w:val="28"/>
          <w:lang w:val="en-GB"/>
        </w:rPr>
      </w:pPr>
    </w:p>
    <w:p w:rsidR="001C457F" w:rsidRDefault="001C457F" w:rsidP="001C457F">
      <w:pPr>
        <w:rPr>
          <w:rFonts w:ascii="Times New Roman" w:eastAsia="DengXian" w:hAnsi="Times New Roman" w:cs="Times New Roman"/>
          <w:b/>
          <w:sz w:val="28"/>
          <w:szCs w:val="28"/>
          <w:lang w:val="en-GB"/>
        </w:rPr>
      </w:pPr>
      <w:r w:rsidRPr="00FE2895">
        <w:rPr>
          <w:rFonts w:ascii="Times New Roman" w:eastAsia="DengXian" w:hAnsi="Times New Roman" w:cs="Times New Roman"/>
          <w:b/>
          <w:sz w:val="28"/>
          <w:szCs w:val="28"/>
          <w:lang w:val="en-GB"/>
        </w:rPr>
        <w:t>Assessment of Local Clim</w:t>
      </w:r>
      <w:r>
        <w:rPr>
          <w:rFonts w:ascii="Times New Roman" w:eastAsia="DengXian" w:hAnsi="Times New Roman" w:cs="Times New Roman"/>
          <w:b/>
          <w:sz w:val="28"/>
          <w:szCs w:val="28"/>
          <w:lang w:val="en-GB"/>
        </w:rPr>
        <w:t>at</w:t>
      </w:r>
      <w:r w:rsidRPr="00FE2895">
        <w:rPr>
          <w:rFonts w:ascii="Times New Roman" w:eastAsia="DengXian" w:hAnsi="Times New Roman" w:cs="Times New Roman"/>
          <w:b/>
          <w:sz w:val="28"/>
          <w:szCs w:val="28"/>
          <w:lang w:val="en-GB"/>
        </w:rPr>
        <w:t>e Zone Classification Maps of Cities in China and Feasible Refinement</w:t>
      </w:r>
      <w:r>
        <w:rPr>
          <w:rFonts w:ascii="Times New Roman" w:eastAsia="DengXian" w:hAnsi="Times New Roman" w:cs="Times New Roman"/>
          <w:b/>
          <w:sz w:val="28"/>
          <w:szCs w:val="28"/>
          <w:lang w:val="en-GB"/>
        </w:rPr>
        <w:t>s</w:t>
      </w:r>
    </w:p>
    <w:p w:rsidR="001C457F" w:rsidRPr="00920BBD" w:rsidRDefault="001C457F" w:rsidP="001C457F">
      <w:pPr>
        <w:jc w:val="center"/>
        <w:rPr>
          <w:rFonts w:ascii="Times New Roman" w:eastAsia="DengXian" w:hAnsi="Times New Roman" w:cs="Times New Roman"/>
          <w:sz w:val="24"/>
          <w:szCs w:val="24"/>
        </w:rPr>
      </w:pPr>
      <w:r w:rsidRPr="00920BBD">
        <w:rPr>
          <w:rFonts w:ascii="Times New Roman" w:eastAsia="DengXian" w:hAnsi="Times New Roman" w:cs="Times New Roman" w:hint="eastAsia"/>
          <w:sz w:val="24"/>
          <w:szCs w:val="24"/>
        </w:rPr>
        <w:t>Chao</w:t>
      </w:r>
      <w:r w:rsidRPr="00920BBD">
        <w:rPr>
          <w:rFonts w:ascii="Times New Roman" w:eastAsia="DengXian" w:hAnsi="Times New Roman" w:cs="Times New Roman"/>
          <w:sz w:val="24"/>
          <w:szCs w:val="24"/>
        </w:rPr>
        <w:t xml:space="preserve"> Ren</w:t>
      </w:r>
      <w:r>
        <w:rPr>
          <w:rFonts w:ascii="Times New Roman" w:eastAsia="DengXian" w:hAnsi="Times New Roman" w:cs="Times New Roman"/>
          <w:sz w:val="24"/>
          <w:szCs w:val="24"/>
          <w:vertAlign w:val="superscript"/>
        </w:rPr>
        <w:t>1,2</w:t>
      </w:r>
      <w:r w:rsidRPr="00920BBD">
        <w:rPr>
          <w:rFonts w:ascii="Times New Roman" w:eastAsia="DengXian" w:hAnsi="Times New Roman" w:cs="Times New Roman"/>
          <w:sz w:val="24"/>
          <w:szCs w:val="24"/>
        </w:rPr>
        <w:t>, Meng Cai</w:t>
      </w:r>
      <w:r>
        <w:rPr>
          <w:rFonts w:ascii="Times New Roman" w:eastAsia="DengXian" w:hAnsi="Times New Roman" w:cs="Times New Roman"/>
          <w:sz w:val="24"/>
          <w:szCs w:val="24"/>
          <w:vertAlign w:val="superscript"/>
        </w:rPr>
        <w:t>3</w:t>
      </w:r>
      <w:r w:rsidRPr="00920BBD">
        <w:rPr>
          <w:rFonts w:ascii="Times New Roman" w:eastAsia="DengXian" w:hAnsi="Times New Roman" w:cs="Times New Roman"/>
          <w:sz w:val="24"/>
          <w:szCs w:val="24"/>
        </w:rPr>
        <w:t>, Xinwei L</w:t>
      </w:r>
      <w:r w:rsidRPr="00920BBD">
        <w:rPr>
          <w:rFonts w:ascii="Times New Roman" w:eastAsia="DengXian" w:hAnsi="Times New Roman" w:cs="Times New Roman" w:hint="eastAsia"/>
          <w:sz w:val="24"/>
          <w:szCs w:val="24"/>
        </w:rPr>
        <w:t>i</w:t>
      </w:r>
      <w:r w:rsidRPr="00920BBD">
        <w:rPr>
          <w:rFonts w:ascii="Times New Roman" w:eastAsia="DengXian" w:hAnsi="Times New Roman" w:cs="Times New Roman"/>
          <w:sz w:val="24"/>
          <w:szCs w:val="24"/>
          <w:vertAlign w:val="superscript"/>
        </w:rPr>
        <w:t>1</w:t>
      </w:r>
      <w:r w:rsidRPr="00920BBD">
        <w:rPr>
          <w:rFonts w:ascii="Times New Roman" w:eastAsia="DengXian" w:hAnsi="Times New Roman" w:cs="Times New Roman" w:hint="eastAsia"/>
          <w:sz w:val="24"/>
          <w:szCs w:val="24"/>
          <w:vertAlign w:val="superscript"/>
        </w:rPr>
        <w:t>*</w:t>
      </w:r>
      <w:r w:rsidRPr="00920BBD">
        <w:rPr>
          <w:rFonts w:ascii="Times New Roman" w:eastAsia="DengXian" w:hAnsi="Times New Roman" w:cs="Times New Roman"/>
          <w:sz w:val="24"/>
          <w:szCs w:val="24"/>
        </w:rPr>
        <w:t>, Lei Zhang</w:t>
      </w:r>
      <w:r w:rsidRPr="00920BBD">
        <w:rPr>
          <w:rFonts w:ascii="Times New Roman" w:eastAsia="DengXian" w:hAnsi="Times New Roman" w:cs="Times New Roman"/>
          <w:sz w:val="24"/>
          <w:szCs w:val="24"/>
          <w:vertAlign w:val="superscript"/>
        </w:rPr>
        <w:t>1</w:t>
      </w:r>
      <w:r w:rsidRPr="00920BBD">
        <w:rPr>
          <w:rFonts w:ascii="Times New Roman" w:eastAsia="DengXian" w:hAnsi="Times New Roman" w:cs="Times New Roman"/>
          <w:sz w:val="24"/>
          <w:szCs w:val="24"/>
        </w:rPr>
        <w:t>, Ran Wang</w:t>
      </w:r>
      <w:r>
        <w:rPr>
          <w:rFonts w:ascii="Times New Roman" w:eastAsia="DengXian" w:hAnsi="Times New Roman" w:cs="Times New Roman"/>
          <w:sz w:val="24"/>
          <w:szCs w:val="24"/>
          <w:vertAlign w:val="superscript"/>
        </w:rPr>
        <w:t>3</w:t>
      </w:r>
      <w:r w:rsidRPr="00920BBD">
        <w:rPr>
          <w:rFonts w:ascii="Times New Roman" w:eastAsia="DengXian" w:hAnsi="Times New Roman" w:cs="Times New Roman"/>
          <w:sz w:val="24"/>
          <w:szCs w:val="24"/>
        </w:rPr>
        <w:t>, Yong Xu</w:t>
      </w:r>
      <w:r>
        <w:rPr>
          <w:rFonts w:ascii="Times New Roman" w:eastAsia="DengXian" w:hAnsi="Times New Roman" w:cs="Times New Roman"/>
          <w:sz w:val="24"/>
          <w:szCs w:val="24"/>
          <w:vertAlign w:val="superscript"/>
        </w:rPr>
        <w:t>4</w:t>
      </w:r>
      <w:r w:rsidRPr="00920BBD">
        <w:rPr>
          <w:rFonts w:ascii="Times New Roman" w:eastAsia="DengXian" w:hAnsi="Times New Roman" w:cs="Times New Roman"/>
          <w:sz w:val="24"/>
          <w:szCs w:val="24"/>
        </w:rPr>
        <w:t xml:space="preserve"> and Edward Ng</w:t>
      </w:r>
      <w:r>
        <w:rPr>
          <w:rFonts w:ascii="Times New Roman" w:eastAsia="DengXian" w:hAnsi="Times New Roman" w:cs="Times New Roman"/>
          <w:sz w:val="24"/>
          <w:szCs w:val="24"/>
          <w:vertAlign w:val="superscript"/>
        </w:rPr>
        <w:t>3</w:t>
      </w:r>
    </w:p>
    <w:p w:rsidR="001C457F" w:rsidRPr="00920BBD" w:rsidRDefault="001C457F" w:rsidP="001C457F">
      <w:pPr>
        <w:rPr>
          <w:rFonts w:ascii="Times New Roman" w:eastAsia="DengXian" w:hAnsi="Times New Roman" w:cs="Times New Roman"/>
          <w:sz w:val="24"/>
          <w:szCs w:val="24"/>
        </w:rPr>
      </w:pPr>
      <w:r w:rsidRPr="00920BBD">
        <w:rPr>
          <w:rFonts w:ascii="Times New Roman" w:eastAsia="DengXian" w:hAnsi="Times New Roman" w:cs="Times New Roman"/>
          <w:sz w:val="24"/>
          <w:szCs w:val="24"/>
        </w:rPr>
        <w:t>1. Faculty of Architecture, The University of Hong Kong, Hong Kong China</w:t>
      </w:r>
    </w:p>
    <w:p w:rsidR="001C457F" w:rsidRPr="00920BBD" w:rsidRDefault="001C457F" w:rsidP="001C457F">
      <w:pPr>
        <w:rPr>
          <w:rFonts w:ascii="Times New Roman" w:eastAsia="DengXian" w:hAnsi="Times New Roman" w:cs="Times New Roman"/>
          <w:sz w:val="24"/>
          <w:szCs w:val="24"/>
        </w:rPr>
      </w:pPr>
      <w:r w:rsidRPr="00920BBD">
        <w:rPr>
          <w:rFonts w:ascii="Calibri" w:eastAsia="DengXian" w:hAnsi="Calibri" w:cs="Times New Roman"/>
        </w:rPr>
        <w:t xml:space="preserve">2. </w:t>
      </w:r>
      <w:r w:rsidRPr="00920BBD">
        <w:rPr>
          <w:rFonts w:ascii="Times New Roman" w:eastAsia="DengXian" w:hAnsi="Times New Roman" w:cs="Times New Roman"/>
          <w:sz w:val="24"/>
          <w:szCs w:val="24"/>
        </w:rPr>
        <w:t xml:space="preserve">Institute of Future Cities, The Chinese University of Hong Kong, Hong Kong, China </w:t>
      </w:r>
    </w:p>
    <w:p w:rsidR="001C457F" w:rsidRPr="00920BBD" w:rsidRDefault="001C457F" w:rsidP="001C457F">
      <w:pPr>
        <w:rPr>
          <w:rFonts w:ascii="Calibri" w:eastAsia="DengXian" w:hAnsi="Calibri" w:cs="Times New Roman"/>
        </w:rPr>
      </w:pPr>
      <w:r w:rsidRPr="00920BBD">
        <w:rPr>
          <w:rFonts w:ascii="Times New Roman" w:eastAsia="DengXian" w:hAnsi="Times New Roman" w:cs="Times New Roman"/>
          <w:sz w:val="24"/>
          <w:szCs w:val="24"/>
        </w:rPr>
        <w:t>3. School of Architecture, The Chinese University of Hong Kong, Hong Kong, China</w:t>
      </w:r>
    </w:p>
    <w:p w:rsidR="001C457F" w:rsidRPr="00920BBD" w:rsidRDefault="001C457F" w:rsidP="001C457F">
      <w:pPr>
        <w:rPr>
          <w:rFonts w:ascii="Times New Roman" w:eastAsia="DengXian" w:hAnsi="Times New Roman" w:cs="Times New Roman"/>
          <w:sz w:val="24"/>
          <w:szCs w:val="24"/>
        </w:rPr>
      </w:pPr>
      <w:r w:rsidRPr="00920BBD">
        <w:rPr>
          <w:rFonts w:ascii="Times New Roman" w:eastAsia="DengXian" w:hAnsi="Times New Roman" w:cs="Times New Roman"/>
          <w:sz w:val="24"/>
          <w:szCs w:val="24"/>
        </w:rPr>
        <w:t>4. School of Geographical Sciences, Guangzhou University, China</w:t>
      </w:r>
    </w:p>
    <w:p w:rsidR="005636BD" w:rsidRDefault="001C457F" w:rsidP="001C457F">
      <w:r w:rsidRPr="00920BBD">
        <w:rPr>
          <w:rFonts w:ascii="Times New Roman" w:eastAsia="DengXian" w:hAnsi="Times New Roman" w:cs="Times New Roman" w:hint="eastAsia"/>
          <w:sz w:val="24"/>
          <w:szCs w:val="24"/>
        </w:rPr>
        <w:t>*</w:t>
      </w:r>
      <w:r w:rsidRPr="00920BBD">
        <w:rPr>
          <w:rFonts w:ascii="Calibri" w:eastAsia="DengXian" w:hAnsi="Calibri" w:cs="Times New Roman"/>
        </w:rPr>
        <w:t xml:space="preserve"> </w:t>
      </w:r>
      <w:r w:rsidRPr="00920BBD">
        <w:rPr>
          <w:rFonts w:ascii="Times New Roman" w:eastAsia="DengXian" w:hAnsi="Times New Roman" w:cs="Times New Roman"/>
          <w:sz w:val="24"/>
          <w:szCs w:val="24"/>
        </w:rPr>
        <w:t>Corresponding Author: lixinwei@hku.hk</w:t>
      </w:r>
      <w:bookmarkStart w:id="0" w:name="_GoBack"/>
      <w:bookmarkEnd w:id="0"/>
      <w:r w:rsidR="005636BD">
        <w:br w:type="page"/>
      </w:r>
    </w:p>
    <w:p w:rsidR="0056616A" w:rsidRDefault="00217BB0">
      <w:r w:rsidRPr="00217BB0">
        <w:lastRenderedPageBreak/>
        <w:t>Supplementary Table S1</w:t>
      </w:r>
      <w:r w:rsidR="0056616A">
        <w:t xml:space="preserve">. </w:t>
      </w:r>
      <w:r w:rsidR="0056616A" w:rsidRPr="0056616A">
        <w:t xml:space="preserve">The </w:t>
      </w:r>
      <w:r w:rsidR="0056616A">
        <w:t xml:space="preserve">accuracy and the status </w:t>
      </w:r>
      <w:r w:rsidR="0056616A" w:rsidRPr="0056616A">
        <w:t xml:space="preserve">on the WUDAPT platform </w:t>
      </w:r>
      <w:r w:rsidR="002377FA">
        <w:t>of</w:t>
      </w:r>
      <w:r w:rsidR="0056616A">
        <w:t xml:space="preserve"> selected 20 cities and 3 regions</w:t>
      </w:r>
    </w:p>
    <w:tbl>
      <w:tblPr>
        <w:tblStyle w:val="PlainTable5"/>
        <w:tblW w:w="9886" w:type="dxa"/>
        <w:tblLook w:val="04A0" w:firstRow="1" w:lastRow="0" w:firstColumn="1" w:lastColumn="0" w:noHBand="0" w:noVBand="1"/>
      </w:tblPr>
      <w:tblGrid>
        <w:gridCol w:w="1526"/>
        <w:gridCol w:w="2040"/>
        <w:gridCol w:w="1640"/>
        <w:gridCol w:w="1780"/>
        <w:gridCol w:w="1640"/>
        <w:gridCol w:w="1260"/>
      </w:tblGrid>
      <w:tr w:rsidR="0056616A" w:rsidRPr="0056616A" w:rsidTr="005661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26" w:type="dxa"/>
            <w:noWrap/>
            <w:hideMark/>
          </w:tcPr>
          <w:p w:rsidR="0056616A" w:rsidRDefault="0056616A" w:rsidP="0056616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:rsidR="0056616A" w:rsidRPr="0056616A" w:rsidRDefault="0056616A" w:rsidP="0056616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WUDAPT status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Overall Accuracy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Built-up Accuracy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Nature Accuracy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Kappa coefficient</w:t>
            </w:r>
          </w:p>
        </w:tc>
      </w:tr>
      <w:tr w:rsidR="0056616A" w:rsidRPr="0056616A" w:rsidTr="005661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Nanning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N/A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60.6%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50.7%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57.1%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0.576</w:t>
            </w:r>
          </w:p>
        </w:tc>
      </w:tr>
      <w:tr w:rsidR="0056616A" w:rsidRPr="0056616A" w:rsidTr="0056616A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Xiamen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In preparation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73.8%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55.8%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78.6%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0.698</w:t>
            </w:r>
          </w:p>
        </w:tc>
      </w:tr>
      <w:tr w:rsidR="0056616A" w:rsidRPr="0056616A" w:rsidTr="005661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Harbin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N/A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78.1%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43.5%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84.4%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0.686</w:t>
            </w:r>
          </w:p>
        </w:tc>
      </w:tr>
      <w:tr w:rsidR="0056616A" w:rsidRPr="0056616A" w:rsidTr="0056616A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Xian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Minor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85.1%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41.7%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90.8%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0.719</w:t>
            </w:r>
          </w:p>
        </w:tc>
      </w:tr>
      <w:tr w:rsidR="0056616A" w:rsidRPr="0056616A" w:rsidTr="005661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Jinan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Major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83.2%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47.0%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89.2%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0.787</w:t>
            </w:r>
          </w:p>
        </w:tc>
      </w:tr>
      <w:tr w:rsidR="0056616A" w:rsidRPr="0056616A" w:rsidTr="0056616A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Yantai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N/A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84.6%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67.5%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86.2%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0.813</w:t>
            </w:r>
          </w:p>
        </w:tc>
      </w:tr>
      <w:tr w:rsidR="0056616A" w:rsidRPr="0056616A" w:rsidTr="005661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Shenyang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Accept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71.9%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37.4%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74.1%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0.652</w:t>
            </w:r>
          </w:p>
        </w:tc>
      </w:tr>
      <w:tr w:rsidR="0056616A" w:rsidRPr="0056616A" w:rsidTr="0056616A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Dalian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N/A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73.8%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51.0%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84.0%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0.700</w:t>
            </w:r>
          </w:p>
        </w:tc>
      </w:tr>
      <w:tr w:rsidR="0056616A" w:rsidRPr="0056616A" w:rsidTr="005661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Wuxi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In preparation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69.8%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39.5%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83.4%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0.633</w:t>
            </w:r>
          </w:p>
        </w:tc>
      </w:tr>
      <w:tr w:rsidR="0056616A" w:rsidRPr="0056616A" w:rsidTr="0056616A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Changsha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Minor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80.4%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46.7%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88.4%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0.770</w:t>
            </w:r>
          </w:p>
        </w:tc>
      </w:tr>
      <w:tr w:rsidR="0056616A" w:rsidRPr="0056616A" w:rsidTr="005661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Qingdao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Minor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80.5%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55.0%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86.5%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0.768</w:t>
            </w:r>
          </w:p>
        </w:tc>
      </w:tr>
      <w:tr w:rsidR="0056616A" w:rsidRPr="0056616A" w:rsidTr="0056616A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Nanjing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In preparation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84.0%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52.3%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88.1%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0.790</w:t>
            </w:r>
          </w:p>
        </w:tc>
      </w:tr>
      <w:tr w:rsidR="0056616A" w:rsidRPr="0056616A" w:rsidTr="005661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Hangzhou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Major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75.5%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45.9%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83.2%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0.722</w:t>
            </w:r>
          </w:p>
        </w:tc>
      </w:tr>
      <w:tr w:rsidR="0056616A" w:rsidRPr="0056616A" w:rsidTr="0056616A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Wuhan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Minor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75.2%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57.2%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76.2%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0.701</w:t>
            </w:r>
          </w:p>
        </w:tc>
      </w:tr>
      <w:tr w:rsidR="0056616A" w:rsidRPr="0056616A" w:rsidTr="005661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Suzhou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In preparation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89.3%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63.9%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98.4%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0.842</w:t>
            </w:r>
          </w:p>
        </w:tc>
      </w:tr>
      <w:tr w:rsidR="0056616A" w:rsidRPr="0056616A" w:rsidTr="0056616A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Chongqing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N/A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83.1%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52.8%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87.1%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0.777</w:t>
            </w:r>
          </w:p>
        </w:tc>
      </w:tr>
      <w:tr w:rsidR="0056616A" w:rsidRPr="0056616A" w:rsidTr="005661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Tianjin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Major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64.9%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36.1%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70.6%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0.586</w:t>
            </w:r>
          </w:p>
        </w:tc>
      </w:tr>
      <w:tr w:rsidR="0056616A" w:rsidRPr="0056616A" w:rsidTr="0056616A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Hong Kong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In preparation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67.7%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54.4%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68.2%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0.648</w:t>
            </w:r>
          </w:p>
        </w:tc>
      </w:tr>
      <w:tr w:rsidR="0056616A" w:rsidRPr="0056616A" w:rsidTr="005661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Guangzhou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4F49FE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N/A</w:t>
            </w:r>
          </w:p>
        </w:tc>
        <w:tc>
          <w:tcPr>
            <w:tcW w:w="1640" w:type="dxa"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80.6%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38.1%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86.2%</w:t>
            </w:r>
          </w:p>
        </w:tc>
        <w:tc>
          <w:tcPr>
            <w:tcW w:w="1260" w:type="dxa"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0.728</w:t>
            </w:r>
          </w:p>
        </w:tc>
      </w:tr>
      <w:tr w:rsidR="0056616A" w:rsidRPr="0056616A" w:rsidTr="0056616A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Shanghai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Minor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76.3%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31.3%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81.7%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0.662</w:t>
            </w:r>
          </w:p>
        </w:tc>
      </w:tr>
      <w:tr w:rsidR="0056616A" w:rsidRPr="0056616A" w:rsidTr="005661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PRD Region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N/A</w:t>
            </w:r>
          </w:p>
        </w:tc>
        <w:tc>
          <w:tcPr>
            <w:tcW w:w="1640" w:type="dxa"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76.0%</w:t>
            </w:r>
          </w:p>
        </w:tc>
        <w:tc>
          <w:tcPr>
            <w:tcW w:w="1780" w:type="dxa"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55.8%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79.4%</w:t>
            </w:r>
          </w:p>
        </w:tc>
        <w:tc>
          <w:tcPr>
            <w:tcW w:w="1260" w:type="dxa"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0.731</w:t>
            </w:r>
          </w:p>
        </w:tc>
      </w:tr>
      <w:tr w:rsidR="0056616A" w:rsidRPr="0056616A" w:rsidTr="0056616A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YRD Region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N/A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66.5%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54.6%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62.8%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0.637</w:t>
            </w:r>
          </w:p>
        </w:tc>
      </w:tr>
      <w:tr w:rsidR="0056616A" w:rsidRPr="0056616A" w:rsidTr="005661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noWrap/>
            <w:hideMark/>
          </w:tcPr>
          <w:p w:rsidR="0056616A" w:rsidRPr="0056616A" w:rsidRDefault="0056616A" w:rsidP="0056616A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Jing-Jin-Ji Region</w:t>
            </w:r>
          </w:p>
        </w:tc>
        <w:tc>
          <w:tcPr>
            <w:tcW w:w="20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N/A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74.6%</w:t>
            </w:r>
          </w:p>
        </w:tc>
        <w:tc>
          <w:tcPr>
            <w:tcW w:w="178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25.5%</w:t>
            </w:r>
          </w:p>
        </w:tc>
        <w:tc>
          <w:tcPr>
            <w:tcW w:w="164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81.8%</w:t>
            </w:r>
          </w:p>
        </w:tc>
        <w:tc>
          <w:tcPr>
            <w:tcW w:w="1260" w:type="dxa"/>
            <w:noWrap/>
            <w:hideMark/>
          </w:tcPr>
          <w:p w:rsidR="0056616A" w:rsidRPr="0056616A" w:rsidRDefault="0056616A" w:rsidP="005661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</w:pPr>
            <w:r w:rsidRPr="0056616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zh-CN"/>
              </w:rPr>
              <w:t>0.656</w:t>
            </w:r>
          </w:p>
        </w:tc>
      </w:tr>
    </w:tbl>
    <w:p w:rsidR="00F677F7" w:rsidRDefault="00F677F7"/>
    <w:sectPr w:rsidR="00F677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117" w:rsidRDefault="00C96117" w:rsidP="0056616A">
      <w:pPr>
        <w:spacing w:after="0" w:line="240" w:lineRule="auto"/>
      </w:pPr>
      <w:r>
        <w:separator/>
      </w:r>
    </w:p>
  </w:endnote>
  <w:endnote w:type="continuationSeparator" w:id="0">
    <w:p w:rsidR="00C96117" w:rsidRDefault="00C96117" w:rsidP="00566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117" w:rsidRDefault="00C96117" w:rsidP="0056616A">
      <w:pPr>
        <w:spacing w:after="0" w:line="240" w:lineRule="auto"/>
      </w:pPr>
      <w:r>
        <w:separator/>
      </w:r>
    </w:p>
  </w:footnote>
  <w:footnote w:type="continuationSeparator" w:id="0">
    <w:p w:rsidR="00C96117" w:rsidRDefault="00C96117" w:rsidP="005661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16A"/>
    <w:rsid w:val="0014791A"/>
    <w:rsid w:val="001C457F"/>
    <w:rsid w:val="00217BB0"/>
    <w:rsid w:val="002377FA"/>
    <w:rsid w:val="004F49FE"/>
    <w:rsid w:val="005636BD"/>
    <w:rsid w:val="0056616A"/>
    <w:rsid w:val="005A40DF"/>
    <w:rsid w:val="00A27E06"/>
    <w:rsid w:val="00C926DA"/>
    <w:rsid w:val="00C96117"/>
    <w:rsid w:val="00F6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6EE7ABA-B772-4969-9ACC-943BCDFFA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5">
    <w:name w:val="Plain Table 5"/>
    <w:basedOn w:val="TableNormal"/>
    <w:uiPriority w:val="45"/>
    <w:rsid w:val="0056616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636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6BD"/>
  </w:style>
  <w:style w:type="paragraph" w:styleId="Footer">
    <w:name w:val="footer"/>
    <w:basedOn w:val="Normal"/>
    <w:link w:val="FooterChar"/>
    <w:uiPriority w:val="99"/>
    <w:unhideWhenUsed/>
    <w:rsid w:val="005636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6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6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lixinwei</dc:creator>
  <cp:keywords/>
  <dc:description/>
  <cp:lastModifiedBy>lixinwei</cp:lastModifiedBy>
  <cp:revision>7</cp:revision>
  <dcterms:created xsi:type="dcterms:W3CDTF">2019-09-09T05:22:00Z</dcterms:created>
  <dcterms:modified xsi:type="dcterms:W3CDTF">2019-11-19T03:04:00Z</dcterms:modified>
</cp:coreProperties>
</file>