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AC7A57" w14:textId="5E50044C" w:rsidR="0033308E" w:rsidRDefault="00865273" w:rsidP="0033308E">
      <w:pPr>
        <w:wordWrap/>
        <w:spacing w:after="0" w:line="480" w:lineRule="auto"/>
        <w:jc w:val="left"/>
        <w:rPr>
          <w:rFonts w:ascii="Times New Roman" w:hAnsi="Times New Roman" w:cs="Times New Roman"/>
          <w:b/>
          <w:sz w:val="28"/>
          <w:szCs w:val="24"/>
        </w:rPr>
      </w:pPr>
      <w:r w:rsidRPr="00865273">
        <w:rPr>
          <w:rFonts w:ascii="Times New Roman" w:hAnsi="Times New Roman" w:cs="Times New Roman"/>
          <w:b/>
          <w:sz w:val="28"/>
          <w:szCs w:val="24"/>
        </w:rPr>
        <w:t>Predictors of neovascular activity during neovascular age-related macular degeneration treatment based on optical coherence tomography angiography</w:t>
      </w:r>
    </w:p>
    <w:p w14:paraId="3EC1C5AE" w14:textId="77777777" w:rsidR="00865273" w:rsidRPr="0033308E" w:rsidRDefault="00865273" w:rsidP="0033308E">
      <w:pPr>
        <w:wordWrap/>
        <w:spacing w:after="0"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1FDE1D8B" w14:textId="77777777" w:rsidR="0033308E" w:rsidRPr="0033308E" w:rsidRDefault="0033308E" w:rsidP="0033308E">
      <w:pPr>
        <w:tabs>
          <w:tab w:val="left" w:pos="6300"/>
        </w:tabs>
        <w:wordWrap/>
        <w:adjustRightInd w:val="0"/>
        <w:snapToGrid w:val="0"/>
        <w:spacing w:after="0" w:line="480" w:lineRule="auto"/>
        <w:contextualSpacing/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3308E">
        <w:rPr>
          <w:rFonts w:ascii="Times New Roman" w:hAnsi="Times New Roman" w:cs="Times New Roman"/>
          <w:sz w:val="24"/>
          <w:szCs w:val="24"/>
          <w:shd w:val="clear" w:color="auto" w:fill="FFFFFF"/>
        </w:rPr>
        <w:t>Kunho Bae,</w:t>
      </w:r>
      <w:r w:rsidRPr="0033308E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1,2</w:t>
      </w:r>
      <w:r w:rsidRPr="003330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Hyo Jung Kim,</w:t>
      </w:r>
      <w:r w:rsidRPr="0033308E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2</w:t>
      </w:r>
      <w:r w:rsidRPr="003330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Yong Kyun Shin,</w:t>
      </w:r>
      <w:r w:rsidRPr="0033308E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2</w:t>
      </w:r>
      <w:r w:rsidRPr="003330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Woong Kang</w:t>
      </w:r>
      <w:r w:rsidRPr="0033308E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2</w:t>
      </w:r>
    </w:p>
    <w:p w14:paraId="27203158" w14:textId="77777777" w:rsidR="0033308E" w:rsidRPr="0033308E" w:rsidRDefault="0033308E" w:rsidP="0033308E">
      <w:pPr>
        <w:tabs>
          <w:tab w:val="left" w:pos="6300"/>
        </w:tabs>
        <w:wordWrap/>
        <w:adjustRightInd w:val="0"/>
        <w:snapToGrid w:val="0"/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1911BA43" w14:textId="77777777" w:rsidR="0033308E" w:rsidRPr="0033308E" w:rsidRDefault="0033308E" w:rsidP="0033308E">
      <w:pPr>
        <w:tabs>
          <w:tab w:val="left" w:pos="6300"/>
        </w:tabs>
        <w:wordWrap/>
        <w:adjustRightInd w:val="0"/>
        <w:snapToGrid w:val="0"/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33308E">
        <w:rPr>
          <w:rFonts w:ascii="Times New Roman" w:hAnsi="Times New Roman" w:cs="Times New Roman"/>
          <w:b/>
          <w:bCs/>
          <w:sz w:val="24"/>
          <w:szCs w:val="24"/>
        </w:rPr>
        <w:t>Institutional affiliations:</w:t>
      </w:r>
    </w:p>
    <w:p w14:paraId="58236625" w14:textId="77777777" w:rsidR="0033308E" w:rsidRPr="0033308E" w:rsidRDefault="0033308E" w:rsidP="0033308E">
      <w:pPr>
        <w:tabs>
          <w:tab w:val="left" w:pos="6300"/>
        </w:tabs>
        <w:wordWrap/>
        <w:adjustRightInd w:val="0"/>
        <w:snapToGrid w:val="0"/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3308E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1</w:t>
      </w:r>
      <w:r w:rsidRPr="0033308E">
        <w:rPr>
          <w:rFonts w:ascii="Times New Roman" w:hAnsi="Times New Roman" w:cs="Times New Roman"/>
          <w:sz w:val="24"/>
          <w:szCs w:val="24"/>
          <w:shd w:val="clear" w:color="auto" w:fill="FFFFFF"/>
        </w:rPr>
        <w:t>Department of Ophthalmology, Dongguk University, Ilsan Hospital, Goyang, South Korea</w:t>
      </w:r>
    </w:p>
    <w:p w14:paraId="11516F1C" w14:textId="6D5A24BB" w:rsidR="0033308E" w:rsidRPr="0033308E" w:rsidRDefault="0033308E" w:rsidP="0033308E">
      <w:pPr>
        <w:tabs>
          <w:tab w:val="left" w:pos="6300"/>
        </w:tabs>
        <w:wordWrap/>
        <w:adjustRightInd w:val="0"/>
        <w:snapToGrid w:val="0"/>
        <w:spacing w:after="0" w:line="480" w:lineRule="auto"/>
        <w:contextualSpacing/>
        <w:rPr>
          <w:rFonts w:ascii="Times New Roman" w:hAnsi="Times New Roman" w:cs="Times New Roman"/>
          <w:b/>
          <w:sz w:val="22"/>
          <w:shd w:val="clear" w:color="auto" w:fill="FFFFFF"/>
        </w:rPr>
      </w:pPr>
      <w:r w:rsidRPr="0033308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3308E">
        <w:rPr>
          <w:rFonts w:ascii="Times New Roman" w:hAnsi="Times New Roman" w:cs="Times New Roman"/>
          <w:sz w:val="24"/>
          <w:szCs w:val="24"/>
        </w:rPr>
        <w:t>Department of Ophthalmology, Samsung Medical Center, Sungkyunkwan University School of Medicine, Seoul, Korea</w:t>
      </w:r>
    </w:p>
    <w:p w14:paraId="3C3683B6" w14:textId="77777777" w:rsidR="0033308E" w:rsidRPr="0033308E" w:rsidRDefault="0033308E">
      <w:pPr>
        <w:widowControl/>
        <w:wordWrap/>
        <w:autoSpaceDE/>
        <w:autoSpaceDN/>
        <w:rPr>
          <w:rFonts w:ascii="Times New Roman" w:hAnsi="Times New Roman" w:cs="Times New Roman"/>
          <w:b/>
          <w:sz w:val="22"/>
          <w:shd w:val="clear" w:color="auto" w:fill="FFFFFF"/>
        </w:rPr>
      </w:pPr>
      <w:r w:rsidRPr="0033308E">
        <w:rPr>
          <w:rFonts w:ascii="Times New Roman" w:hAnsi="Times New Roman" w:cs="Times New Roman"/>
          <w:b/>
          <w:sz w:val="22"/>
          <w:shd w:val="clear" w:color="auto" w:fill="FFFFFF"/>
        </w:rPr>
        <w:br w:type="page"/>
      </w:r>
    </w:p>
    <w:p w14:paraId="3164D22E" w14:textId="1B61C864" w:rsidR="00FA7DE1" w:rsidRPr="0033308E" w:rsidRDefault="00FA7DE1" w:rsidP="00FA7DE1">
      <w:pPr>
        <w:spacing w:line="480" w:lineRule="auto"/>
        <w:rPr>
          <w:rFonts w:ascii="Times New Roman" w:hAnsi="Times New Roman" w:cs="Times New Roman"/>
          <w:sz w:val="22"/>
        </w:rPr>
      </w:pPr>
      <w:r w:rsidRPr="0033308E">
        <w:rPr>
          <w:rFonts w:ascii="Times New Roman" w:hAnsi="Times New Roman" w:cs="Times New Roman"/>
          <w:b/>
          <w:sz w:val="22"/>
          <w:shd w:val="clear" w:color="auto" w:fill="FFFFFF"/>
        </w:rPr>
        <w:lastRenderedPageBreak/>
        <w:t>Supplemental Table 1.</w:t>
      </w:r>
      <w:r w:rsidRPr="0033308E">
        <w:rPr>
          <w:rFonts w:ascii="Times New Roman" w:hAnsi="Times New Roman" w:cs="Times New Roman"/>
          <w:sz w:val="22"/>
          <w:shd w:val="clear" w:color="auto" w:fill="FFFFFF"/>
        </w:rPr>
        <w:t xml:space="preserve"> </w:t>
      </w:r>
      <w:r w:rsidRPr="0033308E">
        <w:rPr>
          <w:rFonts w:ascii="Times New Roman" w:hAnsi="Times New Roman" w:cs="Times New Roman"/>
          <w:sz w:val="22"/>
        </w:rPr>
        <w:t>Optical coherence tomography angiography characteristics of patients with age-related macular degeneration according to the subtype of choroidal neovascularization.</w:t>
      </w:r>
    </w:p>
    <w:p w14:paraId="3164D22F" w14:textId="77777777" w:rsidR="00FA7DE1" w:rsidRPr="0033308E" w:rsidRDefault="00FA7DE1" w:rsidP="00FA7DE1">
      <w:pPr>
        <w:spacing w:beforeLines="50" w:before="120" w:after="0" w:line="240" w:lineRule="auto"/>
        <w:rPr>
          <w:rFonts w:ascii="Times New Roman" w:hAnsi="Times New Roman" w:cs="Times New Roman"/>
          <w:sz w:val="22"/>
        </w:rPr>
      </w:pPr>
    </w:p>
    <w:tbl>
      <w:tblPr>
        <w:tblStyle w:val="a3"/>
        <w:tblW w:w="9782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8"/>
        <w:gridCol w:w="1289"/>
        <w:gridCol w:w="1620"/>
        <w:gridCol w:w="836"/>
        <w:gridCol w:w="1224"/>
        <w:gridCol w:w="1669"/>
        <w:gridCol w:w="836"/>
      </w:tblGrid>
      <w:tr w:rsidR="00FA7DE1" w:rsidRPr="0033308E" w14:paraId="3164D233" w14:textId="77777777" w:rsidTr="00BE6F0F">
        <w:trPr>
          <w:trHeight w:val="447"/>
        </w:trPr>
        <w:tc>
          <w:tcPr>
            <w:tcW w:w="2308" w:type="dxa"/>
            <w:vMerge w:val="restart"/>
            <w:tcBorders>
              <w:top w:val="single" w:sz="4" w:space="0" w:color="auto"/>
            </w:tcBorders>
            <w:vAlign w:val="center"/>
          </w:tcPr>
          <w:p w14:paraId="3164D230" w14:textId="77777777" w:rsidR="00FA7DE1" w:rsidRPr="0033308E" w:rsidRDefault="00FA7DE1" w:rsidP="00BE6F0F">
            <w:pPr>
              <w:spacing w:line="480" w:lineRule="auto"/>
              <w:rPr>
                <w:rFonts w:ascii="Times New Roman" w:hAnsi="Times New Roman" w:cs="Times New Roman"/>
                <w:b/>
                <w:sz w:val="22"/>
              </w:rPr>
            </w:pPr>
            <w:r w:rsidRPr="0033308E">
              <w:rPr>
                <w:rFonts w:ascii="Times New Roman" w:hAnsi="Times New Roman" w:cs="Times New Roman"/>
                <w:b/>
                <w:sz w:val="22"/>
              </w:rPr>
              <w:t>Parameters</w:t>
            </w:r>
          </w:p>
        </w:tc>
        <w:tc>
          <w:tcPr>
            <w:tcW w:w="374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64D231" w14:textId="77777777" w:rsidR="00FA7DE1" w:rsidRPr="0033308E" w:rsidRDefault="00FA7DE1" w:rsidP="00BE6F0F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33308E">
              <w:rPr>
                <w:rFonts w:ascii="Times New Roman" w:hAnsi="Times New Roman" w:cs="Times New Roman"/>
                <w:b/>
                <w:sz w:val="22"/>
              </w:rPr>
              <w:t>Typical AMD</w:t>
            </w:r>
          </w:p>
        </w:tc>
        <w:tc>
          <w:tcPr>
            <w:tcW w:w="372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64D232" w14:textId="77777777" w:rsidR="00FA7DE1" w:rsidRPr="0033308E" w:rsidRDefault="00FA7DE1" w:rsidP="00BE6F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b/>
                <w:sz w:val="22"/>
              </w:rPr>
              <w:t>PCV</w:t>
            </w:r>
          </w:p>
        </w:tc>
      </w:tr>
      <w:tr w:rsidR="00FA7DE1" w:rsidRPr="0033308E" w14:paraId="3164D23B" w14:textId="77777777" w:rsidTr="00BE6F0F">
        <w:trPr>
          <w:trHeight w:val="20"/>
        </w:trPr>
        <w:tc>
          <w:tcPr>
            <w:tcW w:w="2308" w:type="dxa"/>
            <w:vMerge/>
            <w:tcBorders>
              <w:bottom w:val="single" w:sz="4" w:space="0" w:color="auto"/>
            </w:tcBorders>
            <w:vAlign w:val="center"/>
          </w:tcPr>
          <w:p w14:paraId="3164D234" w14:textId="77777777" w:rsidR="00FA7DE1" w:rsidRPr="0033308E" w:rsidRDefault="00FA7DE1" w:rsidP="00BE6F0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64D235" w14:textId="77777777" w:rsidR="00FA7DE1" w:rsidRPr="0033308E" w:rsidRDefault="00FA7DE1" w:rsidP="00BE6F0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33308E">
              <w:rPr>
                <w:rFonts w:ascii="Times New Roman" w:hAnsi="Times New Roman" w:cs="Times New Roman"/>
                <w:bCs/>
                <w:sz w:val="22"/>
              </w:rPr>
              <w:t>Stop group</w:t>
            </w:r>
            <w:r w:rsidRPr="0033308E">
              <w:rPr>
                <w:rFonts w:ascii="Times New Roman" w:hAnsi="Times New Roman" w:cs="Times New Roman"/>
                <w:bCs/>
                <w:sz w:val="22"/>
              </w:rPr>
              <w:br/>
              <w:t>(n =17)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64D236" w14:textId="77777777" w:rsidR="00FA7DE1" w:rsidRPr="0033308E" w:rsidRDefault="00FA7DE1" w:rsidP="00BE6F0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33308E">
              <w:rPr>
                <w:rFonts w:ascii="Times New Roman" w:hAnsi="Times New Roman" w:cs="Times New Roman"/>
                <w:bCs/>
                <w:sz w:val="22"/>
              </w:rPr>
              <w:t xml:space="preserve">Non-stop group (n =30) 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64D237" w14:textId="77777777" w:rsidR="00FA7DE1" w:rsidRPr="0033308E" w:rsidRDefault="00FA7DE1" w:rsidP="00BE6F0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33308E">
              <w:rPr>
                <w:rFonts w:ascii="Times New Roman" w:hAnsi="Times New Roman" w:cs="Times New Roman"/>
                <w:bCs/>
                <w:sz w:val="22"/>
              </w:rPr>
              <w:t>p</w:t>
            </w:r>
            <w:r w:rsidRPr="0033308E">
              <w:rPr>
                <w:rFonts w:ascii="Times New Roman" w:hAnsi="Times New Roman" w:cs="Times New Roman"/>
                <w:bCs/>
                <w:i/>
                <w:sz w:val="22"/>
              </w:rPr>
              <w:t>-</w:t>
            </w:r>
            <w:r w:rsidRPr="0033308E">
              <w:rPr>
                <w:rFonts w:ascii="Times New Roman" w:hAnsi="Times New Roman" w:cs="Times New Roman"/>
                <w:bCs/>
                <w:sz w:val="22"/>
              </w:rPr>
              <w:t>value</w:t>
            </w:r>
          </w:p>
        </w:tc>
        <w:tc>
          <w:tcPr>
            <w:tcW w:w="12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64D238" w14:textId="77777777" w:rsidR="00FA7DE1" w:rsidRPr="0033308E" w:rsidRDefault="00FA7DE1" w:rsidP="00BE6F0F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bCs/>
                <w:sz w:val="22"/>
              </w:rPr>
              <w:t>Stop group (n =27)</w:t>
            </w:r>
          </w:p>
        </w:tc>
        <w:tc>
          <w:tcPr>
            <w:tcW w:w="16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64D239" w14:textId="77777777" w:rsidR="00FA7DE1" w:rsidRPr="0033308E" w:rsidRDefault="00FA7DE1" w:rsidP="00BE6F0F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bCs/>
                <w:sz w:val="22"/>
              </w:rPr>
              <w:t xml:space="preserve">Non-stop group (n =60)  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64D23A" w14:textId="77777777" w:rsidR="00FA7DE1" w:rsidRPr="0033308E" w:rsidRDefault="00FA7DE1" w:rsidP="00BE6F0F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bCs/>
                <w:sz w:val="22"/>
              </w:rPr>
              <w:t>p</w:t>
            </w:r>
            <w:r w:rsidRPr="0033308E">
              <w:rPr>
                <w:rFonts w:ascii="Times New Roman" w:hAnsi="Times New Roman" w:cs="Times New Roman"/>
                <w:bCs/>
                <w:i/>
                <w:sz w:val="22"/>
              </w:rPr>
              <w:t>-</w:t>
            </w:r>
            <w:r w:rsidRPr="0033308E">
              <w:rPr>
                <w:rFonts w:ascii="Times New Roman" w:hAnsi="Times New Roman" w:cs="Times New Roman"/>
                <w:bCs/>
                <w:sz w:val="22"/>
              </w:rPr>
              <w:t>value</w:t>
            </w:r>
          </w:p>
        </w:tc>
      </w:tr>
      <w:tr w:rsidR="00FA7DE1" w:rsidRPr="0033308E" w14:paraId="3164D243" w14:textId="77777777" w:rsidTr="00BE6F0F">
        <w:tc>
          <w:tcPr>
            <w:tcW w:w="2308" w:type="dxa"/>
            <w:tcBorders>
              <w:top w:val="single" w:sz="4" w:space="0" w:color="auto"/>
            </w:tcBorders>
            <w:vAlign w:val="center"/>
          </w:tcPr>
          <w:p w14:paraId="3164D23C" w14:textId="77777777" w:rsidR="00FA7DE1" w:rsidRPr="0033308E" w:rsidRDefault="00FA7DE1" w:rsidP="00BE6F0F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3308E">
              <w:rPr>
                <w:rFonts w:ascii="Times New Roman" w:hAnsi="Times New Roman" w:cs="Times New Roman"/>
                <w:szCs w:val="20"/>
              </w:rPr>
              <w:t>Area of CNV, mm</w:t>
            </w:r>
            <w:r w:rsidRPr="0033308E">
              <w:rPr>
                <w:rFonts w:ascii="Times New Roman" w:hAnsi="Times New Roman" w:cs="Times New Roman"/>
                <w:szCs w:val="20"/>
                <w:vertAlign w:val="superscript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</w:tcBorders>
            <w:vAlign w:val="center"/>
          </w:tcPr>
          <w:p w14:paraId="3164D23D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0.50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14:paraId="3164D23E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0.64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center"/>
          </w:tcPr>
          <w:p w14:paraId="3164D23F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.317</w:t>
            </w:r>
          </w:p>
        </w:tc>
        <w:tc>
          <w:tcPr>
            <w:tcW w:w="1224" w:type="dxa"/>
            <w:tcBorders>
              <w:top w:val="single" w:sz="4" w:space="0" w:color="auto"/>
            </w:tcBorders>
            <w:vAlign w:val="center"/>
          </w:tcPr>
          <w:p w14:paraId="3164D240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0.55</w:t>
            </w:r>
          </w:p>
        </w:tc>
        <w:tc>
          <w:tcPr>
            <w:tcW w:w="1669" w:type="dxa"/>
            <w:tcBorders>
              <w:top w:val="single" w:sz="4" w:space="0" w:color="auto"/>
            </w:tcBorders>
            <w:vAlign w:val="center"/>
          </w:tcPr>
          <w:p w14:paraId="3164D241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0.82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center"/>
          </w:tcPr>
          <w:p w14:paraId="3164D242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.019</w:t>
            </w:r>
          </w:p>
        </w:tc>
      </w:tr>
      <w:tr w:rsidR="00FA7DE1" w:rsidRPr="0033308E" w14:paraId="3164D24B" w14:textId="77777777" w:rsidTr="00BE6F0F">
        <w:tc>
          <w:tcPr>
            <w:tcW w:w="2308" w:type="dxa"/>
            <w:vAlign w:val="center"/>
          </w:tcPr>
          <w:p w14:paraId="3164D244" w14:textId="77777777" w:rsidR="00FA7DE1" w:rsidRPr="0033308E" w:rsidRDefault="00FA7DE1" w:rsidP="00BE6F0F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3308E">
              <w:rPr>
                <w:rFonts w:ascii="Times New Roman" w:hAnsi="Times New Roman" w:cs="Times New Roman"/>
                <w:szCs w:val="20"/>
              </w:rPr>
              <w:t>Total length of CNV, mm</w:t>
            </w:r>
          </w:p>
        </w:tc>
        <w:tc>
          <w:tcPr>
            <w:tcW w:w="1289" w:type="dxa"/>
            <w:vAlign w:val="center"/>
          </w:tcPr>
          <w:p w14:paraId="3164D245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13.3</w:t>
            </w:r>
          </w:p>
        </w:tc>
        <w:tc>
          <w:tcPr>
            <w:tcW w:w="1620" w:type="dxa"/>
            <w:vAlign w:val="center"/>
          </w:tcPr>
          <w:p w14:paraId="3164D246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17.3</w:t>
            </w:r>
          </w:p>
        </w:tc>
        <w:tc>
          <w:tcPr>
            <w:tcW w:w="836" w:type="dxa"/>
            <w:vAlign w:val="center"/>
          </w:tcPr>
          <w:p w14:paraId="3164D247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.281</w:t>
            </w:r>
          </w:p>
        </w:tc>
        <w:tc>
          <w:tcPr>
            <w:tcW w:w="1224" w:type="dxa"/>
            <w:vAlign w:val="center"/>
          </w:tcPr>
          <w:p w14:paraId="3164D248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14.7</w:t>
            </w:r>
          </w:p>
        </w:tc>
        <w:tc>
          <w:tcPr>
            <w:tcW w:w="1669" w:type="dxa"/>
            <w:vAlign w:val="center"/>
          </w:tcPr>
          <w:p w14:paraId="3164D249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21.6</w:t>
            </w:r>
          </w:p>
        </w:tc>
        <w:tc>
          <w:tcPr>
            <w:tcW w:w="836" w:type="dxa"/>
            <w:vAlign w:val="center"/>
          </w:tcPr>
          <w:p w14:paraId="3164D24A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.018</w:t>
            </w:r>
          </w:p>
        </w:tc>
      </w:tr>
      <w:tr w:rsidR="00FA7DE1" w:rsidRPr="0033308E" w14:paraId="3164D253" w14:textId="77777777" w:rsidTr="00BE6F0F">
        <w:tc>
          <w:tcPr>
            <w:tcW w:w="2308" w:type="dxa"/>
            <w:vAlign w:val="center"/>
          </w:tcPr>
          <w:p w14:paraId="3164D24C" w14:textId="77777777" w:rsidR="00FA7DE1" w:rsidRPr="0033308E" w:rsidRDefault="00FA7DE1" w:rsidP="00BE6F0F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3308E">
              <w:rPr>
                <w:rFonts w:ascii="Times New Roman" w:hAnsi="Times New Roman" w:cs="Times New Roman"/>
                <w:szCs w:val="20"/>
              </w:rPr>
              <w:t>CNV junctions, No.</w:t>
            </w:r>
          </w:p>
        </w:tc>
        <w:tc>
          <w:tcPr>
            <w:tcW w:w="1289" w:type="dxa"/>
            <w:vAlign w:val="center"/>
          </w:tcPr>
          <w:p w14:paraId="3164D24D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72.5</w:t>
            </w:r>
          </w:p>
        </w:tc>
        <w:tc>
          <w:tcPr>
            <w:tcW w:w="1620" w:type="dxa"/>
            <w:vAlign w:val="center"/>
          </w:tcPr>
          <w:p w14:paraId="3164D24E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89.9</w:t>
            </w:r>
          </w:p>
        </w:tc>
        <w:tc>
          <w:tcPr>
            <w:tcW w:w="836" w:type="dxa"/>
            <w:vAlign w:val="center"/>
          </w:tcPr>
          <w:p w14:paraId="3164D24F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.431</w:t>
            </w:r>
          </w:p>
        </w:tc>
        <w:tc>
          <w:tcPr>
            <w:tcW w:w="1224" w:type="dxa"/>
            <w:vAlign w:val="center"/>
          </w:tcPr>
          <w:p w14:paraId="3164D250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73.1</w:t>
            </w:r>
          </w:p>
        </w:tc>
        <w:tc>
          <w:tcPr>
            <w:tcW w:w="1669" w:type="dxa"/>
            <w:vAlign w:val="center"/>
          </w:tcPr>
          <w:p w14:paraId="3164D251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110.6</w:t>
            </w:r>
          </w:p>
        </w:tc>
        <w:tc>
          <w:tcPr>
            <w:tcW w:w="836" w:type="dxa"/>
            <w:vAlign w:val="center"/>
          </w:tcPr>
          <w:p w14:paraId="3164D252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.016</w:t>
            </w:r>
          </w:p>
        </w:tc>
      </w:tr>
      <w:tr w:rsidR="00FA7DE1" w:rsidRPr="0033308E" w14:paraId="3164D25B" w14:textId="77777777" w:rsidTr="00BE6F0F">
        <w:tc>
          <w:tcPr>
            <w:tcW w:w="2308" w:type="dxa"/>
            <w:vAlign w:val="center"/>
          </w:tcPr>
          <w:p w14:paraId="3164D254" w14:textId="77777777" w:rsidR="00FA7DE1" w:rsidRPr="0033308E" w:rsidRDefault="00FA7DE1" w:rsidP="00BE6F0F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3308E">
              <w:rPr>
                <w:rFonts w:ascii="Times New Roman" w:hAnsi="Times New Roman" w:cs="Times New Roman"/>
                <w:szCs w:val="20"/>
              </w:rPr>
              <w:t>CNV end points, No.</w:t>
            </w:r>
          </w:p>
        </w:tc>
        <w:tc>
          <w:tcPr>
            <w:tcW w:w="1289" w:type="dxa"/>
            <w:vAlign w:val="center"/>
          </w:tcPr>
          <w:p w14:paraId="3164D255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49.1</w:t>
            </w:r>
          </w:p>
        </w:tc>
        <w:tc>
          <w:tcPr>
            <w:tcW w:w="1620" w:type="dxa"/>
            <w:vAlign w:val="center"/>
          </w:tcPr>
          <w:p w14:paraId="3164D256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67.0</w:t>
            </w:r>
          </w:p>
        </w:tc>
        <w:tc>
          <w:tcPr>
            <w:tcW w:w="836" w:type="dxa"/>
            <w:vAlign w:val="center"/>
          </w:tcPr>
          <w:p w14:paraId="3164D257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.164</w:t>
            </w:r>
          </w:p>
        </w:tc>
        <w:tc>
          <w:tcPr>
            <w:tcW w:w="1224" w:type="dxa"/>
            <w:vAlign w:val="center"/>
          </w:tcPr>
          <w:p w14:paraId="3164D258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57.1</w:t>
            </w:r>
          </w:p>
        </w:tc>
        <w:tc>
          <w:tcPr>
            <w:tcW w:w="1669" w:type="dxa"/>
            <w:vAlign w:val="center"/>
          </w:tcPr>
          <w:p w14:paraId="3164D259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79.8</w:t>
            </w:r>
          </w:p>
        </w:tc>
        <w:tc>
          <w:tcPr>
            <w:tcW w:w="836" w:type="dxa"/>
            <w:vAlign w:val="center"/>
          </w:tcPr>
          <w:p w14:paraId="3164D25A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.021</w:t>
            </w:r>
          </w:p>
        </w:tc>
      </w:tr>
      <w:tr w:rsidR="00FA7DE1" w:rsidRPr="0033308E" w14:paraId="3164D263" w14:textId="77777777" w:rsidTr="00BE6F0F">
        <w:tc>
          <w:tcPr>
            <w:tcW w:w="2308" w:type="dxa"/>
            <w:vAlign w:val="center"/>
          </w:tcPr>
          <w:p w14:paraId="3164D25C" w14:textId="77777777" w:rsidR="00FA7DE1" w:rsidRPr="0033308E" w:rsidRDefault="00FA7DE1" w:rsidP="00BE6F0F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3308E">
              <w:rPr>
                <w:rFonts w:ascii="Times New Roman" w:hAnsi="Times New Roman" w:cs="Times New Roman"/>
                <w:szCs w:val="20"/>
              </w:rPr>
              <w:t>Undetectable CNV</w:t>
            </w:r>
          </w:p>
        </w:tc>
        <w:tc>
          <w:tcPr>
            <w:tcW w:w="1289" w:type="dxa"/>
            <w:vAlign w:val="center"/>
          </w:tcPr>
          <w:p w14:paraId="3164D25D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12 (70.6%)</w:t>
            </w:r>
          </w:p>
        </w:tc>
        <w:tc>
          <w:tcPr>
            <w:tcW w:w="1620" w:type="dxa"/>
            <w:vAlign w:val="center"/>
          </w:tcPr>
          <w:p w14:paraId="3164D25E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36" w:type="dxa"/>
            <w:vAlign w:val="center"/>
          </w:tcPr>
          <w:p w14:paraId="3164D25F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&lt;.001</w:t>
            </w:r>
          </w:p>
        </w:tc>
        <w:tc>
          <w:tcPr>
            <w:tcW w:w="1224" w:type="dxa"/>
            <w:vAlign w:val="center"/>
          </w:tcPr>
          <w:p w14:paraId="3164D260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5 (18.5%)</w:t>
            </w:r>
          </w:p>
        </w:tc>
        <w:tc>
          <w:tcPr>
            <w:tcW w:w="1669" w:type="dxa"/>
            <w:vAlign w:val="center"/>
          </w:tcPr>
          <w:p w14:paraId="3164D261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36" w:type="dxa"/>
            <w:vAlign w:val="center"/>
          </w:tcPr>
          <w:p w14:paraId="3164D262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&lt;.001</w:t>
            </w:r>
          </w:p>
        </w:tc>
      </w:tr>
      <w:tr w:rsidR="00FA7DE1" w:rsidRPr="0033308E" w14:paraId="3164D26B" w14:textId="77777777" w:rsidTr="00BE6F0F">
        <w:tc>
          <w:tcPr>
            <w:tcW w:w="2308" w:type="dxa"/>
            <w:vAlign w:val="center"/>
          </w:tcPr>
          <w:p w14:paraId="3164D264" w14:textId="77777777" w:rsidR="00FA7DE1" w:rsidRPr="0033308E" w:rsidRDefault="00FA7DE1" w:rsidP="00BE6F0F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3308E">
              <w:rPr>
                <w:rFonts w:ascii="Times New Roman" w:hAnsi="Times New Roman" w:cs="Times New Roman"/>
                <w:szCs w:val="20"/>
              </w:rPr>
              <w:t>Pattern of CNV</w:t>
            </w:r>
          </w:p>
        </w:tc>
        <w:tc>
          <w:tcPr>
            <w:tcW w:w="1289" w:type="dxa"/>
            <w:vAlign w:val="center"/>
          </w:tcPr>
          <w:p w14:paraId="3164D265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20" w:type="dxa"/>
            <w:vAlign w:val="center"/>
          </w:tcPr>
          <w:p w14:paraId="3164D266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6" w:type="dxa"/>
            <w:vAlign w:val="center"/>
          </w:tcPr>
          <w:p w14:paraId="3164D267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&lt;.001</w:t>
            </w:r>
          </w:p>
        </w:tc>
        <w:tc>
          <w:tcPr>
            <w:tcW w:w="1224" w:type="dxa"/>
            <w:vAlign w:val="center"/>
          </w:tcPr>
          <w:p w14:paraId="3164D268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9" w:type="dxa"/>
            <w:vAlign w:val="center"/>
          </w:tcPr>
          <w:p w14:paraId="3164D269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6" w:type="dxa"/>
            <w:vAlign w:val="center"/>
          </w:tcPr>
          <w:p w14:paraId="3164D26A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&lt;.001</w:t>
            </w:r>
          </w:p>
        </w:tc>
      </w:tr>
      <w:tr w:rsidR="00FA7DE1" w:rsidRPr="0033308E" w14:paraId="3164D273" w14:textId="77777777" w:rsidTr="00BE6F0F">
        <w:tc>
          <w:tcPr>
            <w:tcW w:w="2308" w:type="dxa"/>
            <w:vAlign w:val="center"/>
          </w:tcPr>
          <w:p w14:paraId="3164D26C" w14:textId="77777777" w:rsidR="00FA7DE1" w:rsidRPr="0033308E" w:rsidRDefault="00FA7DE1" w:rsidP="00BE6F0F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3308E">
              <w:rPr>
                <w:rFonts w:ascii="Times New Roman" w:hAnsi="Times New Roman" w:cs="Times New Roman"/>
                <w:szCs w:val="20"/>
              </w:rPr>
              <w:t xml:space="preserve">   Open-circuit</w:t>
            </w:r>
          </w:p>
        </w:tc>
        <w:tc>
          <w:tcPr>
            <w:tcW w:w="1289" w:type="dxa"/>
            <w:vAlign w:val="center"/>
          </w:tcPr>
          <w:p w14:paraId="3164D26D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5 (29.4%)</w:t>
            </w:r>
          </w:p>
        </w:tc>
        <w:tc>
          <w:tcPr>
            <w:tcW w:w="1620" w:type="dxa"/>
            <w:vAlign w:val="center"/>
          </w:tcPr>
          <w:p w14:paraId="3164D26E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9 (30.0%)</w:t>
            </w:r>
          </w:p>
        </w:tc>
        <w:tc>
          <w:tcPr>
            <w:tcW w:w="836" w:type="dxa"/>
            <w:vAlign w:val="center"/>
          </w:tcPr>
          <w:p w14:paraId="3164D26F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24" w:type="dxa"/>
            <w:vAlign w:val="center"/>
          </w:tcPr>
          <w:p w14:paraId="3164D270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16 (59.3%)</w:t>
            </w:r>
          </w:p>
        </w:tc>
        <w:tc>
          <w:tcPr>
            <w:tcW w:w="1669" w:type="dxa"/>
            <w:vAlign w:val="center"/>
          </w:tcPr>
          <w:p w14:paraId="3164D271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24 (40.0%)</w:t>
            </w:r>
          </w:p>
        </w:tc>
        <w:tc>
          <w:tcPr>
            <w:tcW w:w="836" w:type="dxa"/>
            <w:vAlign w:val="center"/>
          </w:tcPr>
          <w:p w14:paraId="3164D272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FA7DE1" w:rsidRPr="0033308E" w14:paraId="3164D27B" w14:textId="77777777" w:rsidTr="00BE6F0F">
        <w:tc>
          <w:tcPr>
            <w:tcW w:w="2308" w:type="dxa"/>
            <w:vAlign w:val="center"/>
          </w:tcPr>
          <w:p w14:paraId="3164D274" w14:textId="77777777" w:rsidR="00FA7DE1" w:rsidRPr="0033308E" w:rsidRDefault="00FA7DE1" w:rsidP="00BE6F0F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3308E">
              <w:rPr>
                <w:rFonts w:ascii="Times New Roman" w:hAnsi="Times New Roman" w:cs="Times New Roman"/>
                <w:szCs w:val="20"/>
              </w:rPr>
              <w:t xml:space="preserve">   Closed-circuit</w:t>
            </w:r>
          </w:p>
        </w:tc>
        <w:tc>
          <w:tcPr>
            <w:tcW w:w="1289" w:type="dxa"/>
            <w:vAlign w:val="center"/>
          </w:tcPr>
          <w:p w14:paraId="3164D275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1620" w:type="dxa"/>
            <w:vAlign w:val="center"/>
          </w:tcPr>
          <w:p w14:paraId="3164D276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21 (70.0%)</w:t>
            </w:r>
          </w:p>
        </w:tc>
        <w:tc>
          <w:tcPr>
            <w:tcW w:w="836" w:type="dxa"/>
            <w:vAlign w:val="center"/>
          </w:tcPr>
          <w:p w14:paraId="3164D277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24" w:type="dxa"/>
            <w:vAlign w:val="center"/>
          </w:tcPr>
          <w:p w14:paraId="3164D278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6 (22.2%)</w:t>
            </w:r>
          </w:p>
        </w:tc>
        <w:tc>
          <w:tcPr>
            <w:tcW w:w="1669" w:type="dxa"/>
            <w:vAlign w:val="center"/>
          </w:tcPr>
          <w:p w14:paraId="3164D279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36 (60.0%)</w:t>
            </w:r>
          </w:p>
        </w:tc>
        <w:tc>
          <w:tcPr>
            <w:tcW w:w="836" w:type="dxa"/>
            <w:vAlign w:val="center"/>
          </w:tcPr>
          <w:p w14:paraId="3164D27A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FA7DE1" w:rsidRPr="0033308E" w14:paraId="3164D283" w14:textId="77777777" w:rsidTr="00BE6F0F">
        <w:tc>
          <w:tcPr>
            <w:tcW w:w="2308" w:type="dxa"/>
            <w:vAlign w:val="center"/>
          </w:tcPr>
          <w:p w14:paraId="3164D27C" w14:textId="77777777" w:rsidR="00FA7DE1" w:rsidRPr="0033308E" w:rsidRDefault="00FA7DE1" w:rsidP="00BE6F0F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3308E">
              <w:rPr>
                <w:rFonts w:ascii="Times New Roman" w:hAnsi="Times New Roman" w:cs="Times New Roman"/>
                <w:szCs w:val="20"/>
              </w:rPr>
              <w:t>Peripheral loop</w:t>
            </w:r>
          </w:p>
        </w:tc>
        <w:tc>
          <w:tcPr>
            <w:tcW w:w="1289" w:type="dxa"/>
            <w:vAlign w:val="center"/>
          </w:tcPr>
          <w:p w14:paraId="3164D27D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1 (5.9%)</w:t>
            </w:r>
          </w:p>
        </w:tc>
        <w:tc>
          <w:tcPr>
            <w:tcW w:w="1620" w:type="dxa"/>
            <w:vAlign w:val="center"/>
          </w:tcPr>
          <w:p w14:paraId="3164D27E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17 (56.7%)</w:t>
            </w:r>
          </w:p>
        </w:tc>
        <w:tc>
          <w:tcPr>
            <w:tcW w:w="836" w:type="dxa"/>
            <w:vAlign w:val="center"/>
          </w:tcPr>
          <w:p w14:paraId="3164D27F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.001</w:t>
            </w:r>
          </w:p>
        </w:tc>
        <w:tc>
          <w:tcPr>
            <w:tcW w:w="1224" w:type="dxa"/>
            <w:vAlign w:val="center"/>
          </w:tcPr>
          <w:p w14:paraId="3164D280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7 (25.9%)</w:t>
            </w:r>
          </w:p>
        </w:tc>
        <w:tc>
          <w:tcPr>
            <w:tcW w:w="1669" w:type="dxa"/>
            <w:vAlign w:val="center"/>
          </w:tcPr>
          <w:p w14:paraId="3164D281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46 (76.7%)</w:t>
            </w:r>
          </w:p>
        </w:tc>
        <w:tc>
          <w:tcPr>
            <w:tcW w:w="836" w:type="dxa"/>
            <w:vAlign w:val="center"/>
          </w:tcPr>
          <w:p w14:paraId="3164D282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&lt;.001</w:t>
            </w:r>
          </w:p>
        </w:tc>
      </w:tr>
      <w:tr w:rsidR="00FA7DE1" w:rsidRPr="0033308E" w14:paraId="3164D28B" w14:textId="77777777" w:rsidTr="00BE6F0F">
        <w:tc>
          <w:tcPr>
            <w:tcW w:w="2308" w:type="dxa"/>
            <w:tcBorders>
              <w:bottom w:val="single" w:sz="4" w:space="0" w:color="auto"/>
            </w:tcBorders>
            <w:vAlign w:val="center"/>
          </w:tcPr>
          <w:p w14:paraId="3164D284" w14:textId="77777777" w:rsidR="00FA7DE1" w:rsidRPr="0033308E" w:rsidRDefault="00FA7DE1" w:rsidP="00BE6F0F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3308E">
              <w:rPr>
                <w:rFonts w:ascii="Times New Roman" w:hAnsi="Times New Roman" w:cs="Times New Roman"/>
                <w:szCs w:val="20"/>
              </w:rPr>
              <w:t>Capillary fringe</w:t>
            </w:r>
          </w:p>
        </w:tc>
        <w:tc>
          <w:tcPr>
            <w:tcW w:w="1289" w:type="dxa"/>
            <w:tcBorders>
              <w:bottom w:val="single" w:sz="4" w:space="0" w:color="auto"/>
            </w:tcBorders>
            <w:vAlign w:val="center"/>
          </w:tcPr>
          <w:p w14:paraId="3164D285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4 (23.5%)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3164D286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20 (66.7%)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vAlign w:val="center"/>
          </w:tcPr>
          <w:p w14:paraId="3164D287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.006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14:paraId="3164D288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16 (59.3%)</w:t>
            </w:r>
          </w:p>
        </w:tc>
        <w:tc>
          <w:tcPr>
            <w:tcW w:w="1669" w:type="dxa"/>
            <w:tcBorders>
              <w:bottom w:val="single" w:sz="4" w:space="0" w:color="auto"/>
            </w:tcBorders>
            <w:vAlign w:val="center"/>
          </w:tcPr>
          <w:p w14:paraId="3164D289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46 (76.7%)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vAlign w:val="center"/>
          </w:tcPr>
          <w:p w14:paraId="3164D28A" w14:textId="77777777" w:rsidR="00FA7DE1" w:rsidRPr="0033308E" w:rsidRDefault="00FA7DE1" w:rsidP="00BE6F0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3308E">
              <w:rPr>
                <w:rFonts w:ascii="Times New Roman" w:hAnsi="Times New Roman" w:cs="Times New Roman"/>
                <w:sz w:val="22"/>
              </w:rPr>
              <w:t>.126</w:t>
            </w:r>
          </w:p>
        </w:tc>
      </w:tr>
    </w:tbl>
    <w:p w14:paraId="3164D28C" w14:textId="77777777" w:rsidR="00FA7DE1" w:rsidRPr="0033308E" w:rsidRDefault="00FA7DE1" w:rsidP="00FA7DE1">
      <w:pPr>
        <w:spacing w:beforeLines="50" w:before="120" w:after="0" w:line="240" w:lineRule="auto"/>
        <w:rPr>
          <w:rFonts w:ascii="Times New Roman" w:hAnsi="Times New Roman" w:cs="Times New Roman"/>
          <w:sz w:val="22"/>
        </w:rPr>
      </w:pPr>
      <w:r w:rsidRPr="0033308E">
        <w:rPr>
          <w:rFonts w:ascii="Times New Roman" w:hAnsi="Times New Roman" w:cs="Times New Roman"/>
          <w:sz w:val="22"/>
        </w:rPr>
        <w:t xml:space="preserve">AMD, age-related macular degeneration; PCV, polypoidal choroidal vasculopathy; CNV, choroidal neovascularization. </w:t>
      </w:r>
    </w:p>
    <w:p w14:paraId="3164D28D" w14:textId="77777777" w:rsidR="00FA7DE1" w:rsidRPr="0033308E" w:rsidRDefault="00FA7DE1" w:rsidP="00FA7DE1">
      <w:pPr>
        <w:spacing w:beforeLines="50" w:before="120" w:after="0" w:line="240" w:lineRule="auto"/>
        <w:rPr>
          <w:rFonts w:ascii="Times New Roman" w:hAnsi="Times New Roman" w:cs="Times New Roman"/>
          <w:sz w:val="22"/>
        </w:rPr>
      </w:pPr>
      <w:r w:rsidRPr="0033308E">
        <w:rPr>
          <w:rFonts w:ascii="Times New Roman" w:hAnsi="Times New Roman" w:cs="Times New Roman"/>
          <w:sz w:val="22"/>
        </w:rPr>
        <w:t>Continuous variables are reported as mean values. All other data are n (%).</w:t>
      </w:r>
    </w:p>
    <w:p w14:paraId="3164D28E" w14:textId="77777777" w:rsidR="00454D6A" w:rsidRPr="0033308E" w:rsidRDefault="00454D6A">
      <w:pPr>
        <w:rPr>
          <w:rFonts w:ascii="Times New Roman" w:hAnsi="Times New Roman" w:cs="Times New Roman"/>
        </w:rPr>
      </w:pPr>
    </w:p>
    <w:sectPr w:rsidR="00454D6A" w:rsidRPr="0033308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21E692" w14:textId="77777777" w:rsidR="00865273" w:rsidRDefault="00865273" w:rsidP="00865273">
      <w:pPr>
        <w:spacing w:after="0" w:line="240" w:lineRule="auto"/>
      </w:pPr>
      <w:r>
        <w:separator/>
      </w:r>
    </w:p>
  </w:endnote>
  <w:endnote w:type="continuationSeparator" w:id="0">
    <w:p w14:paraId="2E99773D" w14:textId="77777777" w:rsidR="00865273" w:rsidRDefault="00865273" w:rsidP="00865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342F45" w14:textId="77777777" w:rsidR="00865273" w:rsidRDefault="00865273" w:rsidP="00865273">
      <w:pPr>
        <w:spacing w:after="0" w:line="240" w:lineRule="auto"/>
      </w:pPr>
      <w:r>
        <w:separator/>
      </w:r>
    </w:p>
  </w:footnote>
  <w:footnote w:type="continuationSeparator" w:id="0">
    <w:p w14:paraId="14FC8626" w14:textId="77777777" w:rsidR="00865273" w:rsidRDefault="00865273" w:rsidP="008652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DE1"/>
    <w:rsid w:val="0033308E"/>
    <w:rsid w:val="00454D6A"/>
    <w:rsid w:val="00865273"/>
    <w:rsid w:val="008C6163"/>
    <w:rsid w:val="00FA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64D22E"/>
  <w15:chartTrackingRefBased/>
  <w15:docId w15:val="{9C2DC7AF-F534-411E-A304-913F394CB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DE1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A7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86527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865273"/>
  </w:style>
  <w:style w:type="paragraph" w:styleId="a5">
    <w:name w:val="footer"/>
    <w:basedOn w:val="a"/>
    <w:link w:val="Char0"/>
    <w:uiPriority w:val="99"/>
    <w:unhideWhenUsed/>
    <w:rsid w:val="0086527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8652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</dc:creator>
  <cp:keywords/>
  <dc:description/>
  <cp:lastModifiedBy>Kevin</cp:lastModifiedBy>
  <cp:revision>3</cp:revision>
  <dcterms:created xsi:type="dcterms:W3CDTF">2019-11-05T01:06:00Z</dcterms:created>
  <dcterms:modified xsi:type="dcterms:W3CDTF">2019-11-15T04:35:00Z</dcterms:modified>
</cp:coreProperties>
</file>