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0E3EC" w14:textId="77777777" w:rsidR="00BD4AE0" w:rsidRPr="00714386" w:rsidRDefault="00BD4AE0" w:rsidP="00BD4AE0">
      <w:pPr>
        <w:spacing w:line="360" w:lineRule="auto"/>
        <w:rPr>
          <w:rFonts w:eastAsia="Calibri"/>
          <w:b/>
        </w:rPr>
      </w:pPr>
      <w:r w:rsidRPr="00714386">
        <w:rPr>
          <w:rFonts w:eastAsia="Calibri"/>
          <w:b/>
        </w:rPr>
        <w:t>Deep learning, computer-aided radiography reading for tuberculosis: a diagnostic accuracy study from a tertiary hospital in India</w:t>
      </w:r>
    </w:p>
    <w:p w14:paraId="39E4B398" w14:textId="77777777" w:rsidR="00BD4AE0" w:rsidRPr="00714386" w:rsidRDefault="00BD4AE0" w:rsidP="00BD4AE0">
      <w:pPr>
        <w:spacing w:line="360" w:lineRule="auto"/>
        <w:rPr>
          <w:rFonts w:eastAsia="Calibri"/>
          <w:b/>
        </w:rPr>
      </w:pPr>
    </w:p>
    <w:p w14:paraId="15CAA66A" w14:textId="77777777" w:rsidR="00BD4AE0" w:rsidRPr="00714386" w:rsidRDefault="00BD4AE0" w:rsidP="00BD4AE0">
      <w:pPr>
        <w:spacing w:line="360" w:lineRule="auto"/>
        <w:rPr>
          <w:rFonts w:eastAsia="Calibri"/>
          <w:b/>
        </w:rPr>
      </w:pPr>
      <w:proofErr w:type="spellStart"/>
      <w:r w:rsidRPr="00714386">
        <w:rPr>
          <w:rFonts w:eastAsia="Times New Roman"/>
          <w:color w:val="000000"/>
        </w:rPr>
        <w:t>Madlen</w:t>
      </w:r>
      <w:proofErr w:type="spellEnd"/>
      <w:r w:rsidRPr="00714386">
        <w:rPr>
          <w:rFonts w:eastAsia="Times New Roman"/>
          <w:color w:val="000000"/>
        </w:rPr>
        <w:t xml:space="preserve"> Nash</w:t>
      </w:r>
      <w:r w:rsidRPr="00714386">
        <w:rPr>
          <w:rFonts w:eastAsia="Times New Roman"/>
          <w:color w:val="000000"/>
          <w:vertAlign w:val="superscript"/>
        </w:rPr>
        <w:t>1,2</w:t>
      </w:r>
      <w:r w:rsidRPr="00714386">
        <w:rPr>
          <w:rFonts w:eastAsia="Times New Roman"/>
          <w:color w:val="000000"/>
        </w:rPr>
        <w:t xml:space="preserve">, </w:t>
      </w:r>
      <w:proofErr w:type="spellStart"/>
      <w:r w:rsidRPr="00714386">
        <w:rPr>
          <w:rFonts w:eastAsia="Times New Roman"/>
          <w:color w:val="000000"/>
        </w:rPr>
        <w:t>Rajagopal</w:t>
      </w:r>
      <w:proofErr w:type="spellEnd"/>
      <w:r w:rsidRPr="00714386">
        <w:rPr>
          <w:rFonts w:eastAsia="Times New Roman"/>
          <w:color w:val="000000"/>
        </w:rPr>
        <w:t> </w:t>
      </w:r>
      <w:r w:rsidRPr="00714386">
        <w:rPr>
          <w:rFonts w:eastAsia="Times New Roman"/>
          <w:color w:val="000000"/>
          <w:shd w:val="clear" w:color="auto" w:fill="FFFFFF"/>
        </w:rPr>
        <w:t>Kadavigere</w:t>
      </w:r>
      <w:r>
        <w:rPr>
          <w:rFonts w:eastAsia="Times New Roman"/>
          <w:color w:val="000000"/>
          <w:shd w:val="clear" w:color="auto" w:fill="FFFFFF"/>
          <w:vertAlign w:val="superscript"/>
        </w:rPr>
        <w:t>3</w:t>
      </w:r>
      <w:r w:rsidRPr="00714386">
        <w:rPr>
          <w:rFonts w:eastAsia="Times New Roman"/>
          <w:color w:val="000000"/>
          <w:shd w:val="clear" w:color="auto" w:fill="FFFFFF"/>
        </w:rPr>
        <w:t xml:space="preserve">, </w:t>
      </w:r>
      <w:proofErr w:type="spellStart"/>
      <w:r w:rsidRPr="00714386">
        <w:rPr>
          <w:rFonts w:eastAsia="Times New Roman"/>
          <w:color w:val="000000"/>
          <w:shd w:val="clear" w:color="auto" w:fill="FFFFFF"/>
        </w:rPr>
        <w:t>Jasbon</w:t>
      </w:r>
      <w:proofErr w:type="spellEnd"/>
      <w:r w:rsidRPr="00714386">
        <w:rPr>
          <w:rFonts w:eastAsia="Times New Roman"/>
          <w:color w:val="000000"/>
          <w:shd w:val="clear" w:color="auto" w:fill="FFFFFF"/>
        </w:rPr>
        <w:t xml:space="preserve"> Andrade</w:t>
      </w:r>
      <w:r>
        <w:rPr>
          <w:rFonts w:eastAsia="Times New Roman"/>
          <w:color w:val="000000"/>
          <w:shd w:val="clear" w:color="auto" w:fill="FFFFFF"/>
          <w:vertAlign w:val="superscript"/>
        </w:rPr>
        <w:t>3</w:t>
      </w:r>
      <w:r w:rsidRPr="00714386">
        <w:rPr>
          <w:rFonts w:eastAsia="Times New Roman"/>
          <w:color w:val="000000"/>
          <w:shd w:val="clear" w:color="auto" w:fill="FFFFFF"/>
        </w:rPr>
        <w:t xml:space="preserve">, </w:t>
      </w:r>
      <w:r w:rsidRPr="00714386">
        <w:rPr>
          <w:rFonts w:eastAsia="Times New Roman"/>
          <w:color w:val="000000"/>
        </w:rPr>
        <w:t xml:space="preserve">Cynthia </w:t>
      </w:r>
      <w:proofErr w:type="spellStart"/>
      <w:r w:rsidRPr="00714386">
        <w:rPr>
          <w:rFonts w:eastAsia="Times New Roman"/>
          <w:color w:val="000000"/>
        </w:rPr>
        <w:t>Amrutha</w:t>
      </w:r>
      <w:proofErr w:type="spellEnd"/>
      <w:r w:rsidRPr="00714386">
        <w:rPr>
          <w:rFonts w:eastAsia="Times New Roman"/>
          <w:color w:val="000000"/>
        </w:rPr>
        <w:t xml:space="preserve"> Sukumar</w:t>
      </w:r>
      <w:r>
        <w:rPr>
          <w:rFonts w:eastAsia="Times New Roman"/>
          <w:color w:val="000000"/>
          <w:vertAlign w:val="superscript"/>
        </w:rPr>
        <w:t>4</w:t>
      </w:r>
      <w:r w:rsidRPr="00714386">
        <w:rPr>
          <w:rFonts w:eastAsia="Times New Roman"/>
          <w:color w:val="000000"/>
          <w:shd w:val="clear" w:color="auto" w:fill="FFFFFF"/>
        </w:rPr>
        <w:t>, </w:t>
      </w:r>
      <w:proofErr w:type="spellStart"/>
      <w:r w:rsidRPr="00714386">
        <w:rPr>
          <w:rFonts w:eastAsia="Times New Roman"/>
          <w:color w:val="000000"/>
          <w:shd w:val="clear" w:color="auto" w:fill="FFFFFF"/>
          <w:lang w:val="en-CA"/>
        </w:rPr>
        <w:t>Kiran</w:t>
      </w:r>
      <w:proofErr w:type="spellEnd"/>
      <w:r w:rsidRPr="00714386">
        <w:rPr>
          <w:rFonts w:eastAsia="Times New Roman"/>
          <w:color w:val="000000"/>
          <w:shd w:val="clear" w:color="auto" w:fill="FFFFFF"/>
          <w:lang w:val="en-CA"/>
        </w:rPr>
        <w:t xml:space="preserve"> Chawla</w:t>
      </w:r>
      <w:r>
        <w:rPr>
          <w:rFonts w:eastAsia="Times New Roman"/>
          <w:color w:val="000000"/>
          <w:shd w:val="clear" w:color="auto" w:fill="FFFFFF"/>
          <w:vertAlign w:val="superscript"/>
          <w:lang w:val="en-CA"/>
        </w:rPr>
        <w:t>5</w:t>
      </w:r>
      <w:r w:rsidRPr="00714386">
        <w:rPr>
          <w:rFonts w:eastAsia="Times New Roman"/>
          <w:color w:val="000000"/>
          <w:shd w:val="clear" w:color="auto" w:fill="FFFFFF"/>
          <w:lang w:val="en-CA"/>
        </w:rPr>
        <w:t>, </w:t>
      </w:r>
      <w:r w:rsidRPr="00714386">
        <w:rPr>
          <w:rFonts w:eastAsia="Times New Roman"/>
          <w:color w:val="000000"/>
          <w:lang w:val="en-CA"/>
        </w:rPr>
        <w:t>Vishnu Prasad Shenoy</w:t>
      </w:r>
      <w:r>
        <w:rPr>
          <w:rFonts w:eastAsia="Times New Roman"/>
          <w:color w:val="000000"/>
          <w:vertAlign w:val="superscript"/>
          <w:lang w:val="en-CA"/>
        </w:rPr>
        <w:t>5</w:t>
      </w:r>
      <w:r w:rsidRPr="00714386">
        <w:rPr>
          <w:rFonts w:eastAsia="Times New Roman"/>
          <w:color w:val="000000"/>
          <w:lang w:val="en-CA"/>
        </w:rPr>
        <w:t xml:space="preserve">, </w:t>
      </w:r>
      <w:proofErr w:type="spellStart"/>
      <w:r w:rsidRPr="00714386">
        <w:rPr>
          <w:rFonts w:eastAsia="Times New Roman"/>
          <w:color w:val="000000"/>
          <w:lang w:val="en-CA"/>
        </w:rPr>
        <w:t>Tripti</w:t>
      </w:r>
      <w:proofErr w:type="spellEnd"/>
      <w:r w:rsidRPr="00714386">
        <w:rPr>
          <w:rFonts w:eastAsia="Times New Roman"/>
          <w:color w:val="000000"/>
          <w:lang w:val="en-CA"/>
        </w:rPr>
        <w:t xml:space="preserve"> Pande</w:t>
      </w:r>
      <w:r w:rsidRPr="00714386">
        <w:rPr>
          <w:rFonts w:eastAsia="Times New Roman"/>
          <w:color w:val="000000"/>
          <w:vertAlign w:val="superscript"/>
          <w:lang w:val="en-CA"/>
        </w:rPr>
        <w:t>2</w:t>
      </w:r>
      <w:r w:rsidRPr="00714386">
        <w:rPr>
          <w:rFonts w:eastAsia="Times New Roman"/>
          <w:color w:val="000000"/>
          <w:lang w:val="en-CA"/>
        </w:rPr>
        <w:t>, </w:t>
      </w:r>
      <w:r w:rsidRPr="00714386">
        <w:rPr>
          <w:rFonts w:eastAsia="Times New Roman"/>
          <w:color w:val="000000"/>
          <w:shd w:val="clear" w:color="auto" w:fill="FFFFFF"/>
        </w:rPr>
        <w:t>Sophie Huddart</w:t>
      </w:r>
      <w:r w:rsidRPr="00714386">
        <w:rPr>
          <w:rFonts w:eastAsia="Times New Roman"/>
          <w:color w:val="000000"/>
          <w:shd w:val="clear" w:color="auto" w:fill="FFFFFF"/>
          <w:vertAlign w:val="superscript"/>
        </w:rPr>
        <w:t>1,2</w:t>
      </w:r>
      <w:r w:rsidRPr="00714386">
        <w:rPr>
          <w:rFonts w:eastAsia="Times New Roman"/>
          <w:color w:val="000000"/>
          <w:lang w:val="en-CA"/>
        </w:rPr>
        <w:t>, </w:t>
      </w:r>
      <w:proofErr w:type="spellStart"/>
      <w:r w:rsidRPr="00714386">
        <w:rPr>
          <w:rFonts w:eastAsia="Times New Roman"/>
          <w:color w:val="000000"/>
          <w:lang w:val="en-CA"/>
        </w:rPr>
        <w:t>Madhukar</w:t>
      </w:r>
      <w:proofErr w:type="spellEnd"/>
      <w:r w:rsidRPr="00714386">
        <w:rPr>
          <w:rFonts w:eastAsia="Times New Roman"/>
          <w:color w:val="000000"/>
          <w:lang w:val="en-CA"/>
        </w:rPr>
        <w:t xml:space="preserve"> </w:t>
      </w:r>
      <w:proofErr w:type="spellStart"/>
      <w:r w:rsidRPr="00714386">
        <w:rPr>
          <w:rFonts w:eastAsia="Times New Roman"/>
          <w:color w:val="000000"/>
          <w:lang w:val="en-CA"/>
        </w:rPr>
        <w:t>Pai</w:t>
      </w:r>
      <w:proofErr w:type="spellEnd"/>
      <w:r w:rsidRPr="00714386">
        <w:rPr>
          <w:rFonts w:eastAsia="Times New Roman"/>
          <w:color w:val="000000"/>
          <w:lang w:val="en-CA"/>
        </w:rPr>
        <w:t>*</w:t>
      </w:r>
      <w:r>
        <w:rPr>
          <w:rFonts w:eastAsia="Times New Roman"/>
          <w:color w:val="000000"/>
          <w:vertAlign w:val="superscript"/>
          <w:lang w:val="en-CA"/>
        </w:rPr>
        <w:t>1,2,7</w:t>
      </w:r>
      <w:r w:rsidRPr="00714386">
        <w:rPr>
          <w:rFonts w:eastAsia="Times New Roman"/>
          <w:color w:val="000000"/>
          <w:lang w:val="en-CA"/>
        </w:rPr>
        <w:t xml:space="preserve">, </w:t>
      </w:r>
      <w:proofErr w:type="spellStart"/>
      <w:r w:rsidRPr="00714386">
        <w:rPr>
          <w:rFonts w:eastAsia="Times New Roman"/>
          <w:color w:val="000000"/>
          <w:lang w:val="en-CA"/>
        </w:rPr>
        <w:t>Kavitha</w:t>
      </w:r>
      <w:proofErr w:type="spellEnd"/>
      <w:r w:rsidRPr="00714386">
        <w:rPr>
          <w:rFonts w:eastAsia="Times New Roman"/>
          <w:color w:val="000000"/>
          <w:lang w:val="en-CA"/>
        </w:rPr>
        <w:t xml:space="preserve"> </w:t>
      </w:r>
      <w:proofErr w:type="spellStart"/>
      <w:r w:rsidRPr="00714386">
        <w:rPr>
          <w:rFonts w:eastAsia="Times New Roman"/>
          <w:color w:val="000000"/>
          <w:lang w:val="en-CA"/>
        </w:rPr>
        <w:t>Saravu</w:t>
      </w:r>
      <w:proofErr w:type="spellEnd"/>
      <w:r w:rsidRPr="00714386">
        <w:rPr>
          <w:rFonts w:eastAsia="Times New Roman"/>
          <w:color w:val="000000"/>
          <w:lang w:val="en-CA"/>
        </w:rPr>
        <w:t>*</w:t>
      </w:r>
      <w:r>
        <w:rPr>
          <w:rFonts w:eastAsia="Times New Roman"/>
          <w:color w:val="000000"/>
          <w:vertAlign w:val="superscript"/>
          <w:lang w:val="en-CA"/>
        </w:rPr>
        <w:t>6,7</w:t>
      </w:r>
      <w:r w:rsidRPr="00714386">
        <w:rPr>
          <w:rFonts w:eastAsia="Times New Roman"/>
          <w:color w:val="000000"/>
          <w:lang w:val="en-CA"/>
        </w:rPr>
        <w:t>.</w:t>
      </w:r>
    </w:p>
    <w:p w14:paraId="1A5EDBF8" w14:textId="77777777" w:rsidR="00BD4AE0" w:rsidRPr="00714386" w:rsidRDefault="00BD4AE0" w:rsidP="00BD4AE0">
      <w:pPr>
        <w:spacing w:line="360" w:lineRule="auto"/>
        <w:rPr>
          <w:rFonts w:eastAsia="Calibri"/>
        </w:rPr>
      </w:pPr>
      <w:r w:rsidRPr="00714386">
        <w:rPr>
          <w:rFonts w:eastAsia="Calibri"/>
        </w:rPr>
        <w:t>*Contributed equally</w:t>
      </w:r>
    </w:p>
    <w:p w14:paraId="44297A0F" w14:textId="77777777" w:rsidR="00BD4AE0" w:rsidRPr="00714386" w:rsidRDefault="00BD4AE0" w:rsidP="00BD4AE0">
      <w:pPr>
        <w:spacing w:line="360" w:lineRule="auto"/>
        <w:rPr>
          <w:rFonts w:eastAsia="Calibri"/>
          <w:b/>
        </w:rPr>
      </w:pPr>
    </w:p>
    <w:p w14:paraId="063C5770" w14:textId="77777777" w:rsidR="00BD4AE0" w:rsidRPr="00714386" w:rsidRDefault="00BD4AE0" w:rsidP="00BD4AE0">
      <w:pPr>
        <w:tabs>
          <w:tab w:val="left" w:pos="1131"/>
        </w:tabs>
        <w:spacing w:line="360" w:lineRule="auto"/>
        <w:ind w:left="180" w:hanging="180"/>
        <w:rPr>
          <w:rFonts w:eastAsia="Calibri" w:cs="Calibri"/>
        </w:rPr>
      </w:pPr>
      <w:r w:rsidRPr="00714386">
        <w:rPr>
          <w:rFonts w:eastAsia="Calibri" w:cs="Calibri"/>
        </w:rPr>
        <w:t xml:space="preserve">1 Department of Epidemiology, Biostatistics and Occupational Health, McGill University, </w:t>
      </w:r>
      <w:r>
        <w:rPr>
          <w:rFonts w:eastAsia="Calibri" w:cs="Calibri"/>
        </w:rPr>
        <w:t>Montreal</w:t>
      </w:r>
      <w:r w:rsidRPr="00714386">
        <w:rPr>
          <w:rFonts w:eastAsia="Calibri" w:cs="Calibri"/>
        </w:rPr>
        <w:t>, Canada</w:t>
      </w:r>
    </w:p>
    <w:p w14:paraId="53F309D3" w14:textId="77777777" w:rsidR="00BD4AE0" w:rsidRPr="00714386" w:rsidRDefault="00BD4AE0" w:rsidP="00BD4AE0">
      <w:pPr>
        <w:spacing w:line="360" w:lineRule="auto"/>
        <w:rPr>
          <w:rFonts w:eastAsia="Calibri" w:cs="Calibri"/>
        </w:rPr>
      </w:pPr>
      <w:r w:rsidRPr="00714386">
        <w:rPr>
          <w:rFonts w:eastAsia="Calibri" w:cs="Calibri"/>
        </w:rPr>
        <w:t>2 McGill International TB Centre, McGill University, Montreal, Canada</w:t>
      </w:r>
    </w:p>
    <w:p w14:paraId="2DCCCEF3" w14:textId="77777777" w:rsidR="00BD4AE0" w:rsidRPr="00714386" w:rsidRDefault="00BD4AE0" w:rsidP="00BD4AE0">
      <w:pPr>
        <w:spacing w:line="360" w:lineRule="auto"/>
        <w:ind w:left="180" w:hanging="180"/>
        <w:rPr>
          <w:rFonts w:eastAsia="Calibri" w:cs="Calibri"/>
        </w:rPr>
      </w:pPr>
      <w:r w:rsidRPr="00714386">
        <w:rPr>
          <w:rFonts w:eastAsia="Calibri" w:cs="Calibri"/>
        </w:rPr>
        <w:t xml:space="preserve">3 Department of </w:t>
      </w:r>
      <w:proofErr w:type="spellStart"/>
      <w:r w:rsidRPr="007350BE">
        <w:rPr>
          <w:rFonts w:eastAsia="Calibri" w:cs="Calibri"/>
        </w:rPr>
        <w:t>Radiodiagnosis</w:t>
      </w:r>
      <w:proofErr w:type="spellEnd"/>
      <w:r w:rsidRPr="00714386">
        <w:rPr>
          <w:rFonts w:eastAsia="Calibri" w:cs="Calibri"/>
        </w:rPr>
        <w:t xml:space="preserve">, Kasturba Medical College, Manipal, </w:t>
      </w:r>
      <w:r w:rsidRPr="00714386">
        <w:rPr>
          <w:rFonts w:eastAsia="Calibri"/>
        </w:rPr>
        <w:t>Manipal Academy of Higher Education</w:t>
      </w:r>
      <w:r w:rsidRPr="00714386">
        <w:rPr>
          <w:rFonts w:eastAsia="Calibri" w:cs="Calibri"/>
        </w:rPr>
        <w:t>, Manipal, India</w:t>
      </w:r>
    </w:p>
    <w:p w14:paraId="252C1E50" w14:textId="77777777" w:rsidR="00BD4AE0" w:rsidRDefault="00BD4AE0" w:rsidP="00BD4AE0">
      <w:pPr>
        <w:spacing w:line="360" w:lineRule="auto"/>
        <w:ind w:left="180" w:hanging="180"/>
        <w:rPr>
          <w:rFonts w:eastAsia="Calibri" w:cs="Calibri"/>
        </w:rPr>
      </w:pPr>
      <w:r>
        <w:rPr>
          <w:rFonts w:eastAsia="Calibri" w:cs="Calibri"/>
        </w:rPr>
        <w:t xml:space="preserve">4 </w:t>
      </w:r>
      <w:r w:rsidRPr="00714386">
        <w:rPr>
          <w:rFonts w:eastAsia="Calibri" w:cs="Calibri"/>
        </w:rPr>
        <w:t xml:space="preserve">Department of </w:t>
      </w:r>
      <w:r>
        <w:rPr>
          <w:rFonts w:eastAsia="Calibri" w:cs="Calibri"/>
        </w:rPr>
        <w:t>Medicine</w:t>
      </w:r>
      <w:r w:rsidRPr="00714386">
        <w:rPr>
          <w:rFonts w:eastAsia="Calibri" w:cs="Calibri"/>
        </w:rPr>
        <w:t xml:space="preserve">, Kasturba Medical College, Manipal, </w:t>
      </w:r>
      <w:r w:rsidRPr="00714386">
        <w:rPr>
          <w:rFonts w:eastAsia="Calibri"/>
        </w:rPr>
        <w:t>Manipal Academy of Higher Education</w:t>
      </w:r>
      <w:r w:rsidRPr="00714386">
        <w:rPr>
          <w:rFonts w:eastAsia="Calibri" w:cs="Calibri"/>
        </w:rPr>
        <w:t>, Manipal, India</w:t>
      </w:r>
    </w:p>
    <w:p w14:paraId="2893BB54" w14:textId="77777777" w:rsidR="00BD4AE0" w:rsidRDefault="00BD4AE0" w:rsidP="00BD4AE0">
      <w:pPr>
        <w:spacing w:line="360" w:lineRule="auto"/>
        <w:ind w:left="180" w:hanging="180"/>
        <w:rPr>
          <w:rFonts w:eastAsia="Calibri" w:cs="Calibri"/>
        </w:rPr>
      </w:pPr>
      <w:r>
        <w:rPr>
          <w:rFonts w:eastAsia="Calibri" w:cs="Calibri"/>
        </w:rPr>
        <w:t xml:space="preserve">5 </w:t>
      </w:r>
      <w:r w:rsidRPr="00714386">
        <w:rPr>
          <w:rFonts w:eastAsia="Calibri" w:cs="Calibri"/>
        </w:rPr>
        <w:t xml:space="preserve">Department of Microbiology, Kasturba Medical College, Manipal, </w:t>
      </w:r>
      <w:r w:rsidRPr="00714386">
        <w:rPr>
          <w:rFonts w:eastAsia="Calibri"/>
        </w:rPr>
        <w:t>Manipal Academy of Higher Education</w:t>
      </w:r>
      <w:r w:rsidRPr="00714386">
        <w:rPr>
          <w:rFonts w:eastAsia="Calibri" w:cs="Calibri"/>
        </w:rPr>
        <w:t>, Manipal, India</w:t>
      </w:r>
    </w:p>
    <w:p w14:paraId="46865E4E" w14:textId="77777777" w:rsidR="00BD4AE0" w:rsidRPr="00714386" w:rsidRDefault="00BD4AE0" w:rsidP="00BD4AE0">
      <w:pPr>
        <w:spacing w:line="360" w:lineRule="auto"/>
        <w:ind w:left="180" w:hanging="180"/>
        <w:rPr>
          <w:rFonts w:eastAsia="Calibri" w:cs="Calibri"/>
        </w:rPr>
      </w:pPr>
      <w:r>
        <w:rPr>
          <w:rFonts w:eastAsia="Calibri" w:cs="Calibri"/>
        </w:rPr>
        <w:t xml:space="preserve">6 </w:t>
      </w:r>
      <w:r w:rsidRPr="00714386">
        <w:rPr>
          <w:rFonts w:eastAsia="Calibri" w:cs="Calibri"/>
        </w:rPr>
        <w:t xml:space="preserve">Department of Infectious Diseases, Kasturba Medical College, Manipal, </w:t>
      </w:r>
      <w:r w:rsidRPr="00714386">
        <w:rPr>
          <w:rFonts w:eastAsia="Calibri"/>
        </w:rPr>
        <w:t>Manipal Academy of Higher Education</w:t>
      </w:r>
      <w:r>
        <w:rPr>
          <w:rFonts w:eastAsia="Calibri" w:cs="Calibri"/>
        </w:rPr>
        <w:t>, Manipal, India</w:t>
      </w:r>
    </w:p>
    <w:p w14:paraId="2BDCB98B" w14:textId="77777777" w:rsidR="00BD4AE0" w:rsidRPr="00714386" w:rsidRDefault="00BD4AE0" w:rsidP="00BD4AE0">
      <w:pPr>
        <w:spacing w:line="360" w:lineRule="auto"/>
        <w:ind w:left="180" w:hanging="180"/>
        <w:rPr>
          <w:rFonts w:eastAsia="Calibri" w:cs="Calibri"/>
        </w:rPr>
      </w:pPr>
      <w:r>
        <w:rPr>
          <w:rFonts w:eastAsia="Calibri" w:cs="Calibri"/>
        </w:rPr>
        <w:t>7</w:t>
      </w:r>
      <w:r w:rsidRPr="00714386">
        <w:rPr>
          <w:rFonts w:eastAsia="Calibri" w:cs="Calibri"/>
        </w:rPr>
        <w:t xml:space="preserve"> Manipal McGill Program for Infectious Diseases, Manipal Centre for Infectious Diseases, </w:t>
      </w:r>
      <w:proofErr w:type="spellStart"/>
      <w:r w:rsidRPr="00714386">
        <w:rPr>
          <w:rFonts w:eastAsia="Calibri" w:cs="Calibri"/>
        </w:rPr>
        <w:t>Prasanna</w:t>
      </w:r>
      <w:proofErr w:type="spellEnd"/>
      <w:r w:rsidRPr="00714386">
        <w:rPr>
          <w:rFonts w:eastAsia="Calibri" w:cs="Calibri"/>
        </w:rPr>
        <w:t xml:space="preserve"> School of Public Health, </w:t>
      </w:r>
      <w:r w:rsidRPr="00714386">
        <w:rPr>
          <w:rFonts w:eastAsia="Calibri"/>
        </w:rPr>
        <w:t>Manipal Academy of Higher Education</w:t>
      </w:r>
      <w:r w:rsidRPr="00714386">
        <w:rPr>
          <w:rFonts w:eastAsia="Calibri" w:cs="Calibri"/>
        </w:rPr>
        <w:t>, Manipal, India</w:t>
      </w:r>
    </w:p>
    <w:p w14:paraId="4DC6CFDA" w14:textId="77777777" w:rsidR="00BD4AE0" w:rsidRPr="00714386" w:rsidRDefault="00BD4AE0" w:rsidP="00BD4AE0">
      <w:pPr>
        <w:spacing w:line="480" w:lineRule="auto"/>
        <w:rPr>
          <w:rFonts w:eastAsia="Calibri" w:cs="Calibri"/>
        </w:rPr>
      </w:pPr>
    </w:p>
    <w:p w14:paraId="5F20CD8A" w14:textId="77777777" w:rsidR="00BD4AE0" w:rsidRPr="00714386" w:rsidRDefault="00BD4AE0" w:rsidP="00BD4AE0">
      <w:pPr>
        <w:rPr>
          <w:rFonts w:eastAsia="Calibri"/>
          <w:b/>
        </w:rPr>
      </w:pPr>
      <w:r w:rsidRPr="00714386">
        <w:rPr>
          <w:rFonts w:eastAsia="Calibri"/>
          <w:b/>
        </w:rPr>
        <w:t>Author Emails:</w:t>
      </w:r>
    </w:p>
    <w:p w14:paraId="0879FDD4" w14:textId="77777777" w:rsidR="00BD4AE0" w:rsidRPr="00714386" w:rsidRDefault="00BD4AE0" w:rsidP="00BD4AE0">
      <w:pPr>
        <w:rPr>
          <w:rFonts w:eastAsia="Calibri"/>
        </w:rPr>
      </w:pPr>
      <w:hyperlink r:id="rId4" w:history="1">
        <w:r w:rsidRPr="00714386">
          <w:rPr>
            <w:rFonts w:eastAsia="Calibri"/>
            <w:color w:val="0563C1"/>
            <w:u w:val="single"/>
          </w:rPr>
          <w:t>madlen.nash@mail.mcgill.ca</w:t>
        </w:r>
      </w:hyperlink>
      <w:r w:rsidRPr="00714386">
        <w:rPr>
          <w:rFonts w:eastAsia="Calibri"/>
        </w:rPr>
        <w:t xml:space="preserve"> </w:t>
      </w:r>
    </w:p>
    <w:p w14:paraId="4B0B678F" w14:textId="77777777" w:rsidR="00BD4AE0" w:rsidRPr="00714386" w:rsidRDefault="00BD4AE0" w:rsidP="00BD4AE0">
      <w:pPr>
        <w:rPr>
          <w:rFonts w:eastAsia="Calibri"/>
        </w:rPr>
      </w:pPr>
      <w:hyperlink r:id="rId5" w:history="1">
        <w:r w:rsidRPr="00714386">
          <w:rPr>
            <w:rFonts w:eastAsia="Calibri"/>
            <w:color w:val="0563C1"/>
            <w:u w:val="single"/>
          </w:rPr>
          <w:t>rajarad@gmail.com</w:t>
        </w:r>
      </w:hyperlink>
    </w:p>
    <w:p w14:paraId="0F90C5F9" w14:textId="77777777" w:rsidR="00BD4AE0" w:rsidRPr="00714386" w:rsidRDefault="00BD4AE0" w:rsidP="00BD4AE0">
      <w:pPr>
        <w:rPr>
          <w:rFonts w:eastAsia="Calibri"/>
        </w:rPr>
      </w:pPr>
      <w:hyperlink r:id="rId6" w:history="1">
        <w:r w:rsidRPr="00714386">
          <w:rPr>
            <w:rFonts w:eastAsia="Calibri"/>
            <w:color w:val="0563C1"/>
            <w:u w:val="single"/>
          </w:rPr>
          <w:t>jasbon.andrade@gmail.com</w:t>
        </w:r>
      </w:hyperlink>
    </w:p>
    <w:p w14:paraId="40079FF3" w14:textId="77777777" w:rsidR="00BD4AE0" w:rsidRPr="00714386" w:rsidRDefault="00BD4AE0" w:rsidP="00BD4AE0">
      <w:pPr>
        <w:rPr>
          <w:rFonts w:eastAsia="Calibri"/>
        </w:rPr>
      </w:pPr>
      <w:hyperlink r:id="rId7" w:history="1">
        <w:r w:rsidRPr="00714386">
          <w:rPr>
            <w:rFonts w:eastAsia="Calibri"/>
            <w:color w:val="0563C1"/>
            <w:u w:val="single"/>
          </w:rPr>
          <w:t>cynthiaamrutha@gmail.com</w:t>
        </w:r>
      </w:hyperlink>
    </w:p>
    <w:p w14:paraId="7F8FF37B" w14:textId="77777777" w:rsidR="00BD4AE0" w:rsidRPr="00714386" w:rsidRDefault="00BD4AE0" w:rsidP="00BD4AE0">
      <w:pPr>
        <w:rPr>
          <w:rFonts w:eastAsia="Calibri"/>
          <w:color w:val="0563C1"/>
          <w:u w:val="single"/>
        </w:rPr>
      </w:pPr>
      <w:hyperlink r:id="rId8" w:history="1">
        <w:r w:rsidRPr="00714386">
          <w:rPr>
            <w:rFonts w:eastAsia="Calibri"/>
            <w:color w:val="0563C1"/>
            <w:u w:val="single"/>
          </w:rPr>
          <w:t>kiran.chawla@manipal.edu</w:t>
        </w:r>
      </w:hyperlink>
    </w:p>
    <w:p w14:paraId="507CBD74" w14:textId="77777777" w:rsidR="00BD4AE0" w:rsidRPr="00714386" w:rsidRDefault="00BD4AE0" w:rsidP="00BD4AE0">
      <w:pPr>
        <w:rPr>
          <w:rFonts w:eastAsia="Times New Roman"/>
          <w:color w:val="000000"/>
          <w:lang w:val="en-CA"/>
        </w:rPr>
      </w:pPr>
      <w:hyperlink r:id="rId9" w:history="1">
        <w:r w:rsidRPr="00714386">
          <w:rPr>
            <w:rFonts w:eastAsia="Times New Roman"/>
            <w:color w:val="0563C1"/>
            <w:u w:val="single"/>
            <w:lang w:val="en-CA"/>
          </w:rPr>
          <w:t>vishnumanav@gmail.com</w:t>
        </w:r>
      </w:hyperlink>
    </w:p>
    <w:p w14:paraId="5C7CEA13" w14:textId="77777777" w:rsidR="00BD4AE0" w:rsidRPr="00714386" w:rsidRDefault="00BD4AE0" w:rsidP="00BD4AE0">
      <w:pPr>
        <w:rPr>
          <w:rFonts w:eastAsia="Calibri"/>
        </w:rPr>
      </w:pPr>
      <w:hyperlink r:id="rId10" w:history="1">
        <w:r w:rsidRPr="00714386">
          <w:rPr>
            <w:rFonts w:eastAsia="Calibri"/>
            <w:color w:val="0563C1"/>
            <w:u w:val="single"/>
          </w:rPr>
          <w:t>tripti.pande@mail.mcgill.ca</w:t>
        </w:r>
      </w:hyperlink>
    </w:p>
    <w:p w14:paraId="3F2CBA10" w14:textId="77777777" w:rsidR="00BD4AE0" w:rsidRPr="00714386" w:rsidRDefault="00BD4AE0" w:rsidP="00BD4AE0">
      <w:pPr>
        <w:rPr>
          <w:rFonts w:eastAsia="Calibri"/>
        </w:rPr>
      </w:pPr>
      <w:hyperlink r:id="rId11" w:history="1">
        <w:r w:rsidRPr="00714386">
          <w:rPr>
            <w:rFonts w:eastAsia="Calibri"/>
            <w:color w:val="0563C1"/>
            <w:u w:val="single"/>
          </w:rPr>
          <w:t>sophie.huddart@mail.mcgill.ca</w:t>
        </w:r>
      </w:hyperlink>
    </w:p>
    <w:p w14:paraId="31EAC584" w14:textId="77777777" w:rsidR="00BD4AE0" w:rsidRPr="00714386" w:rsidRDefault="00BD4AE0" w:rsidP="00BD4AE0">
      <w:pPr>
        <w:rPr>
          <w:rFonts w:eastAsia="Calibri"/>
        </w:rPr>
      </w:pPr>
      <w:hyperlink r:id="rId12" w:history="1">
        <w:r w:rsidRPr="00714386">
          <w:rPr>
            <w:rFonts w:eastAsia="Calibri"/>
            <w:color w:val="0563C1"/>
            <w:u w:val="single"/>
          </w:rPr>
          <w:t>madhukar.pai@mcgill.ca</w:t>
        </w:r>
      </w:hyperlink>
    </w:p>
    <w:p w14:paraId="16A81A4B" w14:textId="77777777" w:rsidR="00BD4AE0" w:rsidRPr="00714386" w:rsidRDefault="00BD4AE0" w:rsidP="00BD4AE0">
      <w:pPr>
        <w:rPr>
          <w:rFonts w:eastAsia="Calibri"/>
        </w:rPr>
      </w:pPr>
      <w:hyperlink r:id="rId13" w:history="1">
        <w:r w:rsidRPr="00714386">
          <w:rPr>
            <w:rFonts w:eastAsia="Calibri"/>
            <w:color w:val="0563C1"/>
            <w:u w:val="single"/>
          </w:rPr>
          <w:t>kavithasaravu@gmail.com</w:t>
        </w:r>
      </w:hyperlink>
    </w:p>
    <w:p w14:paraId="4A0571B5" w14:textId="77777777" w:rsidR="00BD4AE0" w:rsidRPr="00714386" w:rsidRDefault="00BD4AE0" w:rsidP="00BD4AE0">
      <w:pPr>
        <w:rPr>
          <w:rFonts w:eastAsia="Calibri"/>
          <w:b/>
        </w:rPr>
      </w:pPr>
    </w:p>
    <w:p w14:paraId="4DE80B03" w14:textId="77777777" w:rsidR="00BD4AE0" w:rsidRPr="00714386" w:rsidRDefault="00BD4AE0" w:rsidP="00BD4AE0">
      <w:pPr>
        <w:rPr>
          <w:rFonts w:eastAsia="Calibri"/>
          <w:b/>
        </w:rPr>
      </w:pPr>
      <w:r w:rsidRPr="00714386">
        <w:rPr>
          <w:rFonts w:eastAsia="Calibri"/>
          <w:b/>
        </w:rPr>
        <w:t>Corresponding author:</w:t>
      </w:r>
    </w:p>
    <w:p w14:paraId="59FB5F42" w14:textId="77777777" w:rsidR="00BD4AE0" w:rsidRPr="00714386" w:rsidRDefault="00BD4AE0" w:rsidP="00BD4AE0">
      <w:pPr>
        <w:widowControl w:val="0"/>
        <w:autoSpaceDE w:val="0"/>
        <w:autoSpaceDN w:val="0"/>
        <w:adjustRightInd w:val="0"/>
        <w:jc w:val="both"/>
        <w:rPr>
          <w:rFonts w:eastAsia="Calibri"/>
        </w:rPr>
      </w:pPr>
      <w:proofErr w:type="spellStart"/>
      <w:r w:rsidRPr="00714386">
        <w:rPr>
          <w:rFonts w:eastAsia="Calibri"/>
        </w:rPr>
        <w:lastRenderedPageBreak/>
        <w:t>Kavitha</w:t>
      </w:r>
      <w:proofErr w:type="spellEnd"/>
      <w:r w:rsidRPr="00714386">
        <w:rPr>
          <w:rFonts w:eastAsia="Calibri"/>
        </w:rPr>
        <w:t xml:space="preserve"> </w:t>
      </w:r>
      <w:proofErr w:type="spellStart"/>
      <w:r w:rsidRPr="00714386">
        <w:rPr>
          <w:rFonts w:eastAsia="Calibri"/>
        </w:rPr>
        <w:t>Saravu</w:t>
      </w:r>
      <w:proofErr w:type="spellEnd"/>
      <w:r w:rsidRPr="00714386">
        <w:rPr>
          <w:rFonts w:eastAsia="Calibri"/>
        </w:rPr>
        <w:t>, MD, DNB, DTM&amp;H</w:t>
      </w:r>
    </w:p>
    <w:p w14:paraId="1B8259C5" w14:textId="77777777" w:rsidR="00BD4AE0" w:rsidRPr="00714386" w:rsidRDefault="00BD4AE0" w:rsidP="00BD4AE0">
      <w:pPr>
        <w:widowControl w:val="0"/>
        <w:autoSpaceDE w:val="0"/>
        <w:autoSpaceDN w:val="0"/>
        <w:adjustRightInd w:val="0"/>
        <w:jc w:val="both"/>
        <w:rPr>
          <w:rFonts w:eastAsia="Calibri"/>
        </w:rPr>
      </w:pPr>
      <w:proofErr w:type="gramStart"/>
      <w:r w:rsidRPr="00714386">
        <w:rPr>
          <w:rFonts w:eastAsia="Calibri"/>
        </w:rPr>
        <w:t>Professor &amp;</w:t>
      </w:r>
      <w:proofErr w:type="gramEnd"/>
      <w:r w:rsidRPr="00714386">
        <w:rPr>
          <w:rFonts w:eastAsia="Calibri"/>
        </w:rPr>
        <w:t xml:space="preserve"> Head, </w:t>
      </w:r>
      <w:proofErr w:type="spellStart"/>
      <w:r w:rsidRPr="00714386">
        <w:rPr>
          <w:rFonts w:eastAsia="Calibri"/>
        </w:rPr>
        <w:t>Dept</w:t>
      </w:r>
      <w:proofErr w:type="spellEnd"/>
      <w:r w:rsidRPr="00714386">
        <w:rPr>
          <w:rFonts w:eastAsia="Calibri"/>
        </w:rPr>
        <w:t xml:space="preserve"> of Infectious Diseases, KMC, Manipal</w:t>
      </w:r>
    </w:p>
    <w:p w14:paraId="72BA9888" w14:textId="77777777" w:rsidR="00BD4AE0" w:rsidRPr="00714386" w:rsidRDefault="00BD4AE0" w:rsidP="00BD4AE0">
      <w:pPr>
        <w:widowControl w:val="0"/>
        <w:autoSpaceDE w:val="0"/>
        <w:autoSpaceDN w:val="0"/>
        <w:adjustRightInd w:val="0"/>
        <w:jc w:val="both"/>
        <w:rPr>
          <w:rFonts w:eastAsia="Calibri"/>
        </w:rPr>
      </w:pPr>
      <w:r w:rsidRPr="00714386">
        <w:rPr>
          <w:rFonts w:eastAsia="Calibri"/>
        </w:rPr>
        <w:t xml:space="preserve">Coordinator, Manipal Center for Infectious Diseases </w:t>
      </w:r>
    </w:p>
    <w:p w14:paraId="7B7A7B8F" w14:textId="77777777" w:rsidR="00BD4AE0" w:rsidRPr="00714386" w:rsidRDefault="00BD4AE0" w:rsidP="00BD4AE0">
      <w:pPr>
        <w:widowControl w:val="0"/>
        <w:autoSpaceDE w:val="0"/>
        <w:autoSpaceDN w:val="0"/>
        <w:adjustRightInd w:val="0"/>
        <w:jc w:val="both"/>
        <w:rPr>
          <w:rFonts w:eastAsia="Calibri"/>
        </w:rPr>
      </w:pPr>
      <w:r w:rsidRPr="00714386">
        <w:rPr>
          <w:rFonts w:eastAsia="Calibri"/>
        </w:rPr>
        <w:t>Manipal</w:t>
      </w:r>
      <w:r w:rsidRPr="00714386">
        <w:rPr>
          <w:rFonts w:eastAsia="MS Mincho"/>
        </w:rPr>
        <w:t xml:space="preserve"> Academy of Higher Education, Manipal, Karnataka, India</w:t>
      </w:r>
      <w:r w:rsidRPr="00714386">
        <w:rPr>
          <w:rFonts w:ascii="MS Mincho" w:eastAsia="MS Mincho" w:hAnsi="MS Mincho" w:cs="MS Mincho"/>
        </w:rPr>
        <w:t xml:space="preserve"> </w:t>
      </w:r>
    </w:p>
    <w:p w14:paraId="24E31B5B" w14:textId="77777777" w:rsidR="00BD4AE0" w:rsidRPr="00714386" w:rsidRDefault="00BD4AE0" w:rsidP="00BD4AE0">
      <w:pPr>
        <w:widowControl w:val="0"/>
        <w:autoSpaceDE w:val="0"/>
        <w:autoSpaceDN w:val="0"/>
        <w:adjustRightInd w:val="0"/>
        <w:jc w:val="both"/>
        <w:rPr>
          <w:rFonts w:ascii="MS Mincho" w:eastAsia="MS Mincho" w:hAnsi="MS Mincho" w:cs="MS Mincho"/>
        </w:rPr>
      </w:pPr>
      <w:r w:rsidRPr="00714386">
        <w:rPr>
          <w:rFonts w:eastAsia="Calibri"/>
        </w:rPr>
        <w:t xml:space="preserve">Email: </w:t>
      </w:r>
      <w:hyperlink r:id="rId14" w:history="1">
        <w:r w:rsidRPr="00714386">
          <w:rPr>
            <w:rFonts w:eastAsia="Calibri"/>
            <w:color w:val="0563C1"/>
            <w:u w:val="single"/>
          </w:rPr>
          <w:t>kavithasaravu@gmail.com</w:t>
        </w:r>
      </w:hyperlink>
      <w:r w:rsidRPr="00714386">
        <w:rPr>
          <w:rFonts w:eastAsia="Calibri"/>
        </w:rPr>
        <w:t xml:space="preserve">; </w:t>
      </w:r>
      <w:hyperlink r:id="rId15" w:history="1">
        <w:r w:rsidRPr="00714386">
          <w:rPr>
            <w:rFonts w:eastAsia="Calibri"/>
            <w:color w:val="0563C1"/>
            <w:u w:val="single"/>
          </w:rPr>
          <w:t>kavitha.saravu@manipal.edu</w:t>
        </w:r>
      </w:hyperlink>
      <w:r w:rsidRPr="00714386">
        <w:rPr>
          <w:rFonts w:eastAsia="Calibri"/>
          <w:color w:val="0000FF"/>
        </w:rPr>
        <w:t xml:space="preserve">  </w:t>
      </w:r>
    </w:p>
    <w:p w14:paraId="379D3605" w14:textId="77777777" w:rsidR="00BD4AE0" w:rsidRDefault="00BD4AE0" w:rsidP="00BD4AE0">
      <w:pPr>
        <w:spacing w:line="480" w:lineRule="auto"/>
        <w:rPr>
          <w:b/>
          <w:lang w:val="fr-CA"/>
        </w:rPr>
      </w:pPr>
    </w:p>
    <w:p w14:paraId="36EF2E10" w14:textId="3946F64F" w:rsidR="00AC5122" w:rsidRDefault="00AC5122" w:rsidP="00AA22F8">
      <w:pPr>
        <w:spacing w:line="480" w:lineRule="auto"/>
        <w:jc w:val="both"/>
      </w:pPr>
      <w:bookmarkStart w:id="0" w:name="_GoBack"/>
      <w:bookmarkEnd w:id="0"/>
      <w:r w:rsidRPr="001500BB">
        <w:t xml:space="preserve">Among patients with type 2 diabetes, </w:t>
      </w:r>
      <w:r w:rsidRPr="001500BB">
        <w:rPr>
          <w:i/>
        </w:rPr>
        <w:t xml:space="preserve">qXR </w:t>
      </w:r>
      <w:r w:rsidRPr="001500BB">
        <w:t>achieved an AUC of 0.</w:t>
      </w:r>
      <w:r>
        <w:t>81</w:t>
      </w:r>
      <w:r w:rsidRPr="001500BB">
        <w:t xml:space="preserve"> (95% CI: 0.7</w:t>
      </w:r>
      <w:r>
        <w:t>6</w:t>
      </w:r>
      <w:r w:rsidRPr="001500BB">
        <w:t>, 0.8</w:t>
      </w:r>
      <w:r>
        <w:t>6</w:t>
      </w:r>
      <w:r w:rsidRPr="001500BB">
        <w:t>) (</w:t>
      </w:r>
      <w:r>
        <w:t>Supplemental Figure 1</w:t>
      </w:r>
      <w:r w:rsidRPr="001500BB">
        <w:t xml:space="preserve">). Restricting the case definition to patients who tested positive for PTB by either </w:t>
      </w:r>
      <w:proofErr w:type="spellStart"/>
      <w:r w:rsidRPr="001500BB">
        <w:t>Xpert</w:t>
      </w:r>
      <w:proofErr w:type="spellEnd"/>
      <w:r w:rsidRPr="001500BB">
        <w:t xml:space="preserve"> MTB/RIF or culture, resulted in an AUC of 0.7</w:t>
      </w:r>
      <w:r>
        <w:t>9</w:t>
      </w:r>
      <w:r w:rsidRPr="001500BB">
        <w:t xml:space="preserve"> (95% CI: 0.7</w:t>
      </w:r>
      <w:r>
        <w:t>5</w:t>
      </w:r>
      <w:r w:rsidRPr="001500BB">
        <w:t>, 0.</w:t>
      </w:r>
      <w:r>
        <w:t>83</w:t>
      </w:r>
      <w:r w:rsidRPr="001500BB">
        <w:t>) (</w:t>
      </w:r>
      <w:r>
        <w:t xml:space="preserve">Supplemental Figure 2). </w:t>
      </w:r>
      <w:r w:rsidRPr="001500BB">
        <w:t>Restricting the control definition to exclude patients with a past history of PTB resulted in an AUC of 0.</w:t>
      </w:r>
      <w:r>
        <w:t>83</w:t>
      </w:r>
      <w:r w:rsidRPr="001500BB">
        <w:t xml:space="preserve"> (95% CI: 0.</w:t>
      </w:r>
      <w:r>
        <w:t>80</w:t>
      </w:r>
      <w:r w:rsidRPr="001500BB">
        <w:t>, 0.8</w:t>
      </w:r>
      <w:r>
        <w:t>6</w:t>
      </w:r>
      <w:r w:rsidRPr="001500BB">
        <w:t>) (</w:t>
      </w:r>
      <w:r>
        <w:t>Supplemental Figure 3</w:t>
      </w:r>
      <w:r w:rsidRPr="001500BB">
        <w:t>). Restricting the maximum duration between the date of specimen collection (for the microbiological test) and the date the CXR was taken to be less than or equal to 60 days, resulted in an AUC of 0.</w:t>
      </w:r>
      <w:r>
        <w:t>82</w:t>
      </w:r>
      <w:r w:rsidRPr="001500BB">
        <w:t xml:space="preserve"> (95% CI: 0.7</w:t>
      </w:r>
      <w:r>
        <w:t>8</w:t>
      </w:r>
      <w:r w:rsidRPr="001500BB">
        <w:t>, 0.8</w:t>
      </w:r>
      <w:r>
        <w:t>6</w:t>
      </w:r>
      <w:r w:rsidRPr="001500BB">
        <w:t>) (</w:t>
      </w:r>
      <w:r>
        <w:t>Supplemental Figure 3</w:t>
      </w:r>
      <w:r w:rsidRPr="001500BB">
        <w:t>).</w:t>
      </w:r>
    </w:p>
    <w:p w14:paraId="1A40EABD" w14:textId="24C0E64C" w:rsidR="005B3131" w:rsidRDefault="005B3131" w:rsidP="00AA22F8">
      <w:pPr>
        <w:spacing w:line="480" w:lineRule="auto"/>
        <w:jc w:val="both"/>
      </w:pPr>
      <w:r w:rsidRPr="005B3131">
        <w:rPr>
          <w:noProof/>
        </w:rPr>
        <w:lastRenderedPageBreak/>
        <w:drawing>
          <wp:inline distT="0" distB="0" distL="0" distR="0" wp14:anchorId="31714436" wp14:editId="615288AF">
            <wp:extent cx="4762500" cy="464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62500" cy="4648200"/>
                    </a:xfrm>
                    <a:prstGeom prst="rect">
                      <a:avLst/>
                    </a:prstGeom>
                  </pic:spPr>
                </pic:pic>
              </a:graphicData>
            </a:graphic>
          </wp:inline>
        </w:drawing>
      </w:r>
    </w:p>
    <w:p w14:paraId="32CD1367" w14:textId="296D6F1E" w:rsidR="005B3131" w:rsidRDefault="005B3131" w:rsidP="005B3131">
      <w:pPr>
        <w:jc w:val="both"/>
      </w:pPr>
      <w:r w:rsidRPr="005B3131">
        <w:rPr>
          <w:b/>
          <w:bCs/>
        </w:rPr>
        <w:t>Supplementa</w:t>
      </w:r>
      <w:r>
        <w:rPr>
          <w:b/>
          <w:bCs/>
        </w:rPr>
        <w:t>ry</w:t>
      </w:r>
      <w:r w:rsidRPr="005B3131">
        <w:rPr>
          <w:b/>
          <w:bCs/>
        </w:rPr>
        <w:t xml:space="preserve"> Figure 1. Performance of qXR for detection of microbiologically-confirmed PTB among individuals with type 2 diabetes.</w:t>
      </w:r>
      <w:r>
        <w:t xml:space="preserve"> AUC: area under the curve.</w:t>
      </w:r>
    </w:p>
    <w:p w14:paraId="148097B7" w14:textId="77777777" w:rsidR="00AC5122" w:rsidRDefault="00AC5122" w:rsidP="00AA22F8">
      <w:pPr>
        <w:spacing w:line="480" w:lineRule="auto"/>
        <w:jc w:val="both"/>
      </w:pPr>
    </w:p>
    <w:p w14:paraId="1A055647" w14:textId="0E59578E" w:rsidR="005B3131" w:rsidRDefault="005B3131" w:rsidP="00AA22F8">
      <w:pPr>
        <w:spacing w:line="480" w:lineRule="auto"/>
        <w:jc w:val="both"/>
      </w:pPr>
      <w:r w:rsidRPr="005B3131">
        <w:rPr>
          <w:noProof/>
        </w:rPr>
        <w:lastRenderedPageBreak/>
        <w:drawing>
          <wp:inline distT="0" distB="0" distL="0" distR="0" wp14:anchorId="03F3D8A5" wp14:editId="3CCAE03F">
            <wp:extent cx="4660900" cy="480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60900" cy="4800600"/>
                    </a:xfrm>
                    <a:prstGeom prst="rect">
                      <a:avLst/>
                    </a:prstGeom>
                  </pic:spPr>
                </pic:pic>
              </a:graphicData>
            </a:graphic>
          </wp:inline>
        </w:drawing>
      </w:r>
    </w:p>
    <w:p w14:paraId="655D226E" w14:textId="178470CC" w:rsidR="005B3131" w:rsidRDefault="005B3131" w:rsidP="005B3131">
      <w:pPr>
        <w:jc w:val="both"/>
      </w:pPr>
      <w:r w:rsidRPr="005B3131">
        <w:rPr>
          <w:b/>
          <w:bCs/>
        </w:rPr>
        <w:t>Supplementa</w:t>
      </w:r>
      <w:r>
        <w:rPr>
          <w:b/>
          <w:bCs/>
        </w:rPr>
        <w:t>ry</w:t>
      </w:r>
      <w:r w:rsidRPr="005B3131">
        <w:rPr>
          <w:b/>
          <w:bCs/>
        </w:rPr>
        <w:t xml:space="preserve"> Figure 2. Performance of qXR for detection of microbiologically-confirmed PTB with the case group restricted to those diagnosed by either </w:t>
      </w:r>
      <w:proofErr w:type="spellStart"/>
      <w:r w:rsidRPr="005B3131">
        <w:rPr>
          <w:b/>
          <w:bCs/>
        </w:rPr>
        <w:t>Xpert</w:t>
      </w:r>
      <w:proofErr w:type="spellEnd"/>
      <w:r w:rsidRPr="005B3131">
        <w:rPr>
          <w:b/>
          <w:bCs/>
        </w:rPr>
        <w:t xml:space="preserve"> MTB/RIF or culture.</w:t>
      </w:r>
      <w:r>
        <w:t xml:space="preserve"> AUC: area under the curve.</w:t>
      </w:r>
    </w:p>
    <w:p w14:paraId="10A7687E" w14:textId="1EF73184" w:rsidR="005B3131" w:rsidRDefault="005B3131" w:rsidP="00AA22F8">
      <w:pPr>
        <w:spacing w:line="480" w:lineRule="auto"/>
        <w:jc w:val="both"/>
      </w:pPr>
      <w:r w:rsidRPr="005B3131">
        <w:rPr>
          <w:noProof/>
        </w:rPr>
        <w:lastRenderedPageBreak/>
        <w:drawing>
          <wp:inline distT="0" distB="0" distL="0" distR="0" wp14:anchorId="10CF2A94" wp14:editId="76A12436">
            <wp:extent cx="5245100" cy="4635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45100" cy="4635500"/>
                    </a:xfrm>
                    <a:prstGeom prst="rect">
                      <a:avLst/>
                    </a:prstGeom>
                  </pic:spPr>
                </pic:pic>
              </a:graphicData>
            </a:graphic>
          </wp:inline>
        </w:drawing>
      </w:r>
    </w:p>
    <w:p w14:paraId="0017086A" w14:textId="175DD649" w:rsidR="005B3131" w:rsidRPr="005B3131" w:rsidRDefault="005B3131" w:rsidP="005B3131">
      <w:pPr>
        <w:pStyle w:val="Caption"/>
      </w:pPr>
      <w:r w:rsidRPr="005B3131">
        <w:rPr>
          <w:b/>
          <w:bCs/>
        </w:rPr>
        <w:t>Supplementa</w:t>
      </w:r>
      <w:r>
        <w:rPr>
          <w:b/>
          <w:bCs/>
        </w:rPr>
        <w:t>ry</w:t>
      </w:r>
      <w:r w:rsidRPr="005B3131">
        <w:rPr>
          <w:b/>
          <w:bCs/>
        </w:rPr>
        <w:t xml:space="preserve"> Figure 3. Performance of qXR for detection of microbiologically-confirmed PTB when the control group has no patients with past history of PTB. </w:t>
      </w:r>
      <w:r w:rsidRPr="005B3131">
        <w:t>AUC: area under the curve.</w:t>
      </w:r>
    </w:p>
    <w:p w14:paraId="0C335F36" w14:textId="4C62A9C0" w:rsidR="005B3131" w:rsidRPr="005B3131" w:rsidRDefault="005B3131" w:rsidP="00AA22F8">
      <w:pPr>
        <w:spacing w:line="480" w:lineRule="auto"/>
        <w:jc w:val="both"/>
        <w:rPr>
          <w:b/>
          <w:bCs/>
        </w:rPr>
      </w:pPr>
    </w:p>
    <w:p w14:paraId="743A3E65" w14:textId="56F8330C" w:rsidR="005B3131" w:rsidRDefault="005B3131" w:rsidP="00AA22F8">
      <w:pPr>
        <w:spacing w:line="480" w:lineRule="auto"/>
        <w:jc w:val="both"/>
      </w:pPr>
      <w:r w:rsidRPr="005B3131">
        <w:rPr>
          <w:noProof/>
        </w:rPr>
        <w:lastRenderedPageBreak/>
        <w:drawing>
          <wp:inline distT="0" distB="0" distL="0" distR="0" wp14:anchorId="0ACB2B2E" wp14:editId="2F4432B1">
            <wp:extent cx="5257800" cy="4660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57800" cy="4660900"/>
                    </a:xfrm>
                    <a:prstGeom prst="rect">
                      <a:avLst/>
                    </a:prstGeom>
                  </pic:spPr>
                </pic:pic>
              </a:graphicData>
            </a:graphic>
          </wp:inline>
        </w:drawing>
      </w:r>
    </w:p>
    <w:p w14:paraId="7457FC26" w14:textId="47E06E2F" w:rsidR="005B3131" w:rsidRDefault="005B3131" w:rsidP="005B3131">
      <w:pPr>
        <w:jc w:val="both"/>
      </w:pPr>
      <w:r w:rsidRPr="005B3131">
        <w:rPr>
          <w:b/>
          <w:bCs/>
        </w:rPr>
        <w:t>Supplementa</w:t>
      </w:r>
      <w:r>
        <w:rPr>
          <w:b/>
          <w:bCs/>
        </w:rPr>
        <w:t>ry</w:t>
      </w:r>
      <w:r w:rsidRPr="005B3131">
        <w:rPr>
          <w:b/>
          <w:bCs/>
        </w:rPr>
        <w:t xml:space="preserve"> Figure</w:t>
      </w:r>
      <w:r>
        <w:rPr>
          <w:b/>
          <w:bCs/>
        </w:rPr>
        <w:t xml:space="preserve"> </w:t>
      </w:r>
      <w:r w:rsidRPr="005B3131">
        <w:rPr>
          <w:b/>
          <w:bCs/>
        </w:rPr>
        <w:t>4. Performance of qXR for detection of microbiologically-confirmed PTB with less than or equal to 60 days between specimen collection for microbiological test and chest radiograph.</w:t>
      </w:r>
      <w:r w:rsidRPr="008503CA">
        <w:t xml:space="preserve"> </w:t>
      </w:r>
      <w:r>
        <w:t>AUC: area under the curve.</w:t>
      </w:r>
    </w:p>
    <w:p w14:paraId="7DE15335" w14:textId="77777777" w:rsidR="005B3131" w:rsidRDefault="005B3131" w:rsidP="005B3131">
      <w:pPr>
        <w:jc w:val="both"/>
      </w:pPr>
    </w:p>
    <w:p w14:paraId="37C8D7C7" w14:textId="0E394ED2" w:rsidR="006C416B" w:rsidRDefault="006C416B" w:rsidP="00BA79BA">
      <w:pPr>
        <w:spacing w:line="480" w:lineRule="auto"/>
        <w:jc w:val="both"/>
      </w:pPr>
    </w:p>
    <w:sectPr w:rsidR="006C416B" w:rsidSect="009E0E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A9F"/>
    <w:rsid w:val="00193F33"/>
    <w:rsid w:val="003C5E99"/>
    <w:rsid w:val="00412164"/>
    <w:rsid w:val="00444F84"/>
    <w:rsid w:val="005B3131"/>
    <w:rsid w:val="005E1BF2"/>
    <w:rsid w:val="00610F9A"/>
    <w:rsid w:val="00652A49"/>
    <w:rsid w:val="006C416B"/>
    <w:rsid w:val="007F5B89"/>
    <w:rsid w:val="009E0EC6"/>
    <w:rsid w:val="00A87A9F"/>
    <w:rsid w:val="00AA22F8"/>
    <w:rsid w:val="00AC5122"/>
    <w:rsid w:val="00AC6710"/>
    <w:rsid w:val="00BA79BA"/>
    <w:rsid w:val="00BD4AE0"/>
    <w:rsid w:val="00C27E55"/>
    <w:rsid w:val="00CA61B2"/>
    <w:rsid w:val="00D93371"/>
    <w:rsid w:val="00E848E7"/>
    <w:rsid w:val="00F12F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A13CE"/>
  <w15:chartTrackingRefBased/>
  <w15:docId w15:val="{7F666884-5D71-BC49-947A-448DD99B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2F8"/>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131"/>
    <w:rPr>
      <w:sz w:val="18"/>
      <w:szCs w:val="18"/>
    </w:rPr>
  </w:style>
  <w:style w:type="character" w:customStyle="1" w:styleId="BalloonTextChar">
    <w:name w:val="Balloon Text Char"/>
    <w:basedOn w:val="DefaultParagraphFont"/>
    <w:link w:val="BalloonText"/>
    <w:uiPriority w:val="99"/>
    <w:semiHidden/>
    <w:rsid w:val="005B3131"/>
    <w:rPr>
      <w:rFonts w:ascii="Times New Roman" w:hAnsi="Times New Roman" w:cs="Times New Roman"/>
      <w:sz w:val="18"/>
      <w:szCs w:val="18"/>
      <w:lang w:val="en-US"/>
    </w:rPr>
  </w:style>
  <w:style w:type="paragraph" w:styleId="Caption">
    <w:name w:val="caption"/>
    <w:basedOn w:val="Normal"/>
    <w:next w:val="Normal"/>
    <w:link w:val="CaptionChar"/>
    <w:autoRedefine/>
    <w:unhideWhenUsed/>
    <w:qFormat/>
    <w:rsid w:val="005B3131"/>
    <w:pPr>
      <w:spacing w:after="200"/>
    </w:pPr>
    <w:rPr>
      <w:color w:val="000000" w:themeColor="text1"/>
    </w:rPr>
  </w:style>
  <w:style w:type="character" w:customStyle="1" w:styleId="CaptionChar">
    <w:name w:val="Caption Char"/>
    <w:basedOn w:val="DefaultParagraphFont"/>
    <w:link w:val="Caption"/>
    <w:rsid w:val="005B3131"/>
    <w:rPr>
      <w:rFonts w:ascii="Times New Roman" w:hAnsi="Times New Roman" w:cs="Times New Roman"/>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an.chawla@manipal.edu" TargetMode="External"/><Relationship Id="rId13" Type="http://schemas.openxmlformats.org/officeDocument/2006/relationships/hyperlink" Target="mailto:kavithasaravu@gmail.com" TargetMode="External"/><Relationship Id="rId18" Type="http://schemas.openxmlformats.org/officeDocument/2006/relationships/image" Target="media/image3.e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cynthiaamrutha@gmail.com" TargetMode="External"/><Relationship Id="rId12" Type="http://schemas.openxmlformats.org/officeDocument/2006/relationships/hyperlink" Target="mailto:madhukar.pai@mcgill.ca" TargetMode="External"/><Relationship Id="rId17" Type="http://schemas.openxmlformats.org/officeDocument/2006/relationships/image" Target="media/image2.emf"/><Relationship Id="rId2" Type="http://schemas.openxmlformats.org/officeDocument/2006/relationships/settings" Target="settings.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jasbon.andrade@gmail.com" TargetMode="External"/><Relationship Id="rId11" Type="http://schemas.openxmlformats.org/officeDocument/2006/relationships/hyperlink" Target="mailto:sophie.huddart@mail.mcgill.ca" TargetMode="External"/><Relationship Id="rId5" Type="http://schemas.openxmlformats.org/officeDocument/2006/relationships/hyperlink" Target="mailto:rajarad@gmail.com" TargetMode="External"/><Relationship Id="rId15" Type="http://schemas.openxmlformats.org/officeDocument/2006/relationships/hyperlink" Target="mailto:kavitha.saravu@manipal.edu" TargetMode="External"/><Relationship Id="rId10" Type="http://schemas.openxmlformats.org/officeDocument/2006/relationships/hyperlink" Target="mailto:tripti.pande@mail.mcgill.ca" TargetMode="External"/><Relationship Id="rId19" Type="http://schemas.openxmlformats.org/officeDocument/2006/relationships/image" Target="media/image4.emf"/><Relationship Id="rId4" Type="http://schemas.openxmlformats.org/officeDocument/2006/relationships/hyperlink" Target="mailto:madlen.nash@mail.mcgill.ca" TargetMode="External"/><Relationship Id="rId9" Type="http://schemas.openxmlformats.org/officeDocument/2006/relationships/hyperlink" Target="mailto:vishnumanav@gmail.com" TargetMode="External"/><Relationship Id="rId14" Type="http://schemas.openxmlformats.org/officeDocument/2006/relationships/hyperlink" Target="mailto:kavithasarav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Madlen Nash</dc:creator>
  <cp:keywords/>
  <dc:description/>
  <cp:lastModifiedBy>mahe</cp:lastModifiedBy>
  <cp:revision>2</cp:revision>
  <dcterms:created xsi:type="dcterms:W3CDTF">2019-12-19T12:21:00Z</dcterms:created>
  <dcterms:modified xsi:type="dcterms:W3CDTF">2019-12-19T12:21:00Z</dcterms:modified>
</cp:coreProperties>
</file>