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CC9E1" w14:textId="3B35D759" w:rsidR="000802ED" w:rsidRPr="00D072BA" w:rsidRDefault="00A22D80" w:rsidP="00D072BA">
      <w:pPr>
        <w:pStyle w:val="Paragraph"/>
        <w:spacing w:before="0"/>
        <w:ind w:firstLine="0"/>
        <w:rPr>
          <w:b/>
          <w:sz w:val="32"/>
          <w:szCs w:val="32"/>
        </w:rPr>
      </w:pPr>
      <w:r w:rsidRPr="00A22D80">
        <w:rPr>
          <w:b/>
          <w:sz w:val="32"/>
          <w:szCs w:val="32"/>
        </w:rPr>
        <w:t>Supplementary Materials</w:t>
      </w:r>
      <w:r w:rsidR="00D072BA">
        <w:rPr>
          <w:b/>
          <w:sz w:val="32"/>
          <w:szCs w:val="32"/>
        </w:rPr>
        <w:t xml:space="preserve"> to “</w:t>
      </w:r>
      <w:r w:rsidR="00D072BA" w:rsidRPr="00D072BA">
        <w:rPr>
          <w:b/>
          <w:sz w:val="32"/>
          <w:szCs w:val="32"/>
        </w:rPr>
        <w:t>Plasmonics of Diffused Silver Nanoparticles in Silver/Nitride Optical Thin Films</w:t>
      </w:r>
      <w:r w:rsidR="00D072BA">
        <w:rPr>
          <w:b/>
          <w:sz w:val="32"/>
          <w:szCs w:val="32"/>
        </w:rPr>
        <w:t>”</w:t>
      </w:r>
      <w:r w:rsidR="00D072BA" w:rsidRPr="00D072BA">
        <w:rPr>
          <w:b/>
          <w:sz w:val="32"/>
          <w:szCs w:val="32"/>
        </w:rPr>
        <w:t>.</w:t>
      </w:r>
      <w:r w:rsidR="00A65918">
        <w:rPr>
          <w:b/>
          <w:sz w:val="32"/>
          <w:szCs w:val="32"/>
        </w:rPr>
        <w:t xml:space="preserve"> </w:t>
      </w:r>
    </w:p>
    <w:p w14:paraId="04193073" w14:textId="77777777" w:rsidR="00A22D80" w:rsidRPr="00A22D80" w:rsidRDefault="00A22D80" w:rsidP="00A22D80">
      <w:pPr>
        <w:pStyle w:val="Title2"/>
        <w:rPr>
          <w:b w:val="0"/>
          <w:color w:val="000000"/>
          <w:sz w:val="32"/>
          <w:szCs w:val="32"/>
        </w:rPr>
      </w:pPr>
    </w:p>
    <w:p w14:paraId="08097B4F" w14:textId="77777777" w:rsidR="000802ED" w:rsidRDefault="000802ED" w:rsidP="000802ED">
      <w:pPr>
        <w:pStyle w:val="TAMainText"/>
        <w:ind w:firstLine="0"/>
        <w:jc w:val="left"/>
        <w:outlineLvl w:val="0"/>
        <w:rPr>
          <w:rFonts w:ascii="Times New Roman" w:hAnsi="Times New Roman"/>
          <w:b/>
          <w:bCs/>
          <w:lang w:val="en-CA"/>
        </w:rPr>
      </w:pPr>
      <w:r w:rsidRPr="2DE79879">
        <w:rPr>
          <w:rFonts w:ascii="Times New Roman" w:hAnsi="Times New Roman"/>
          <w:b/>
          <w:bCs/>
          <w:lang w:val="en-CA"/>
        </w:rPr>
        <w:t>Cleaning of Substrates</w:t>
      </w:r>
    </w:p>
    <w:p w14:paraId="6ECC2C82" w14:textId="77777777" w:rsidR="000802ED" w:rsidRDefault="000802ED" w:rsidP="000802ED">
      <w:pPr>
        <w:pStyle w:val="TAMainText"/>
        <w:ind w:firstLine="0"/>
        <w:jc w:val="left"/>
        <w:rPr>
          <w:rFonts w:ascii="Times New Roman" w:hAnsi="Times New Roman"/>
          <w:lang w:val="en-CA"/>
        </w:rPr>
      </w:pPr>
      <w:r w:rsidRPr="2DE79879">
        <w:rPr>
          <w:rFonts w:ascii="Times New Roman" w:hAnsi="Times New Roman"/>
          <w:lang w:val="en-CA"/>
        </w:rPr>
        <w:t xml:space="preserve">Substrates were ultrasonically cleaned with acetone, then isopropanol, and followed by deionized water for 10 minutes and were then thoroughly rinsed with deionized water and blown dry with nitrogen. The substrates were used immediately after cleaning. </w:t>
      </w:r>
    </w:p>
    <w:p w14:paraId="29D47AE1" w14:textId="77777777" w:rsidR="000802ED" w:rsidRDefault="000802ED" w:rsidP="000802ED">
      <w:pPr>
        <w:pStyle w:val="TAMainText"/>
        <w:ind w:firstLine="0"/>
        <w:jc w:val="left"/>
        <w:outlineLvl w:val="0"/>
        <w:rPr>
          <w:rFonts w:ascii="Times New Roman" w:hAnsi="Times New Roman"/>
          <w:lang w:val="en-CA"/>
        </w:rPr>
      </w:pPr>
    </w:p>
    <w:p w14:paraId="577AC2C2" w14:textId="77777777" w:rsidR="000802ED" w:rsidRDefault="000802ED" w:rsidP="000802ED">
      <w:pPr>
        <w:pStyle w:val="TAMainText"/>
        <w:ind w:firstLine="0"/>
        <w:jc w:val="left"/>
        <w:outlineLvl w:val="0"/>
        <w:rPr>
          <w:rFonts w:ascii="Times New Roman" w:hAnsi="Times New Roman"/>
          <w:b/>
          <w:bCs/>
          <w:lang w:val="en-CA"/>
        </w:rPr>
      </w:pPr>
      <w:r w:rsidRPr="30A8CB8B">
        <w:rPr>
          <w:rFonts w:ascii="Times New Roman" w:hAnsi="Times New Roman"/>
          <w:b/>
          <w:bCs/>
          <w:lang w:val="en-CA"/>
        </w:rPr>
        <w:t>Sputter Deposition of Thin Films</w:t>
      </w:r>
    </w:p>
    <w:p w14:paraId="1B8E6F16" w14:textId="77777777" w:rsidR="000802ED" w:rsidRDefault="000802ED" w:rsidP="000802ED">
      <w:pPr>
        <w:pStyle w:val="TAMainText"/>
        <w:ind w:firstLine="0"/>
        <w:jc w:val="left"/>
        <w:rPr>
          <w:rFonts w:ascii="Times New Roman" w:hAnsi="Times New Roman"/>
        </w:rPr>
      </w:pPr>
      <w:r w:rsidRPr="30A8CB8B">
        <w:rPr>
          <w:rFonts w:ascii="Times New Roman" w:hAnsi="Times New Roman"/>
        </w:rPr>
        <w:t xml:space="preserve">We used </w:t>
      </w:r>
      <w:r w:rsidRPr="3D7A1BA1">
        <w:rPr>
          <w:rFonts w:ascii="Times New Roman" w:hAnsi="Times New Roman"/>
        </w:rPr>
        <w:t>3.00’’ diameter x 0.250’’ thick 99.99% pure Al</w:t>
      </w:r>
      <w:r w:rsidRPr="30A8CB8B">
        <w:rPr>
          <w:rFonts w:ascii="Times New Roman" w:hAnsi="Times New Roman"/>
        </w:rPr>
        <w:t>,</w:t>
      </w:r>
      <w:r w:rsidRPr="3D7A1BA1">
        <w:rPr>
          <w:rFonts w:ascii="Times New Roman" w:hAnsi="Times New Roman"/>
        </w:rPr>
        <w:t xml:space="preserve"> Ag</w:t>
      </w:r>
      <w:r>
        <w:rPr>
          <w:rFonts w:ascii="Times New Roman" w:hAnsi="Times New Roman"/>
        </w:rPr>
        <w:t>, and Si</w:t>
      </w:r>
      <w:r w:rsidRPr="3D7A1BA1">
        <w:rPr>
          <w:rFonts w:ascii="Times New Roman" w:hAnsi="Times New Roman"/>
        </w:rPr>
        <w:t xml:space="preserve"> targets</w:t>
      </w:r>
      <w:r w:rsidRPr="30A8CB8B">
        <w:rPr>
          <w:rFonts w:ascii="Times New Roman" w:hAnsi="Times New Roman"/>
        </w:rPr>
        <w:t xml:space="preserve">, </w:t>
      </w:r>
      <w:r w:rsidRPr="3D7A1BA1">
        <w:rPr>
          <w:rFonts w:ascii="Times New Roman" w:hAnsi="Times New Roman"/>
        </w:rPr>
        <w:t>N</w:t>
      </w:r>
      <w:r w:rsidRPr="3D7A1BA1">
        <w:rPr>
          <w:rFonts w:ascii="Times New Roman" w:hAnsi="Times New Roman"/>
          <w:vertAlign w:val="subscript"/>
        </w:rPr>
        <w:t>2</w:t>
      </w:r>
      <w:r w:rsidRPr="3D7A1BA1">
        <w:rPr>
          <w:rFonts w:ascii="Times New Roman" w:hAnsi="Times New Roman"/>
        </w:rPr>
        <w:t xml:space="preserve"> Grade 4.8, Ar </w:t>
      </w:r>
      <w:bookmarkStart w:id="0" w:name="_GoBack"/>
      <w:bookmarkEnd w:id="0"/>
      <w:r w:rsidRPr="3D7A1BA1">
        <w:rPr>
          <w:rFonts w:ascii="Times New Roman" w:hAnsi="Times New Roman"/>
        </w:rPr>
        <w:t>Grade 5.0 and H</w:t>
      </w:r>
      <w:r w:rsidRPr="3D7A1BA1">
        <w:rPr>
          <w:rFonts w:ascii="Times New Roman" w:hAnsi="Times New Roman"/>
          <w:vertAlign w:val="subscript"/>
        </w:rPr>
        <w:t>2</w:t>
      </w:r>
      <w:r w:rsidRPr="3D7A1BA1">
        <w:rPr>
          <w:rFonts w:ascii="Times New Roman" w:hAnsi="Times New Roman"/>
        </w:rPr>
        <w:t xml:space="preserve"> Grade 5.0 </w:t>
      </w:r>
      <w:r w:rsidRPr="30A8CB8B">
        <w:rPr>
          <w:rFonts w:ascii="Times New Roman" w:hAnsi="Times New Roman"/>
        </w:rPr>
        <w:t>for both pre-sputtering and the actual deposition of thin films</w:t>
      </w:r>
      <w:r w:rsidRPr="4D690365">
        <w:rPr>
          <w:rFonts w:ascii="Times New Roman" w:hAnsi="Times New Roman"/>
        </w:rPr>
        <w:t xml:space="preserve"> onto substrates</w:t>
      </w:r>
      <w:r w:rsidRPr="3D7A1BA1">
        <w:rPr>
          <w:rFonts w:ascii="Times New Roman" w:hAnsi="Times New Roman"/>
        </w:rPr>
        <w:t>.</w:t>
      </w:r>
    </w:p>
    <w:p w14:paraId="424853F7" w14:textId="77777777" w:rsidR="000802ED" w:rsidRDefault="000802ED" w:rsidP="000802ED">
      <w:pPr>
        <w:pStyle w:val="TAMainText"/>
        <w:ind w:firstLine="0"/>
        <w:jc w:val="left"/>
        <w:rPr>
          <w:rFonts w:ascii="Times New Roman" w:hAnsi="Times New Roman"/>
        </w:rPr>
      </w:pPr>
    </w:p>
    <w:p w14:paraId="6BCA14AD" w14:textId="77777777" w:rsidR="000802ED" w:rsidRDefault="000802ED" w:rsidP="000802ED">
      <w:pPr>
        <w:pStyle w:val="TAMainText"/>
        <w:ind w:firstLine="0"/>
        <w:jc w:val="left"/>
        <w:outlineLvl w:val="0"/>
        <w:rPr>
          <w:rFonts w:ascii="Times New Roman" w:hAnsi="Times New Roman"/>
          <w:lang w:val="en-CA"/>
        </w:rPr>
      </w:pPr>
      <w:r w:rsidRPr="2DE79879">
        <w:rPr>
          <w:rFonts w:ascii="Times New Roman" w:hAnsi="Times New Roman"/>
          <w:b/>
          <w:bCs/>
          <w:lang w:val="en-CA"/>
        </w:rPr>
        <w:t xml:space="preserve">Pre-sputtering </w:t>
      </w:r>
    </w:p>
    <w:p w14:paraId="42882AE8" w14:textId="77777777" w:rsidR="000802ED" w:rsidRDefault="000802ED" w:rsidP="000802ED">
      <w:pPr>
        <w:pStyle w:val="TAMainText"/>
        <w:ind w:firstLine="0"/>
        <w:jc w:val="left"/>
        <w:rPr>
          <w:rFonts w:ascii="Times New Roman" w:hAnsi="Times New Roman"/>
          <w:lang w:val="en-CA"/>
        </w:rPr>
      </w:pPr>
      <w:r w:rsidRPr="2DE79879">
        <w:rPr>
          <w:rFonts w:ascii="Times New Roman" w:hAnsi="Times New Roman"/>
          <w:lang w:val="en-CA"/>
        </w:rPr>
        <w:t xml:space="preserve">Pre-sputtering was carried out to clean the targets as shown in Table S1. The silver target was first pre-sputtered using pure Ar for about 20 nm </w:t>
      </w:r>
      <w:r w:rsidRPr="06F1E6A4">
        <w:rPr>
          <w:rFonts w:ascii="Times New Roman" w:hAnsi="Times New Roman"/>
          <w:lang w:val="en-CA"/>
        </w:rPr>
        <w:t>(~60 s)</w:t>
      </w:r>
      <w:r>
        <w:rPr>
          <w:rFonts w:ascii="Times New Roman" w:hAnsi="Times New Roman"/>
          <w:lang w:val="en-CA"/>
        </w:rPr>
        <w:t xml:space="preserve"> </w:t>
      </w:r>
      <w:r w:rsidRPr="2DE79879">
        <w:rPr>
          <w:rFonts w:ascii="Times New Roman" w:hAnsi="Times New Roman"/>
          <w:lang w:val="en-CA"/>
        </w:rPr>
        <w:t xml:space="preserve">or until the DC bias stabilized to remove possible contaminants on the target. The silver target was then pre-sputtered using a </w:t>
      </w:r>
      <w:r w:rsidRPr="76419643">
        <w:rPr>
          <w:rFonts w:ascii="Times New Roman" w:hAnsi="Times New Roman"/>
          <w:lang w:val="en-CA"/>
        </w:rPr>
        <w:t>mixture</w:t>
      </w:r>
      <w:r w:rsidRPr="2DE79879">
        <w:rPr>
          <w:rFonts w:ascii="Times New Roman" w:hAnsi="Times New Roman"/>
          <w:lang w:val="en-CA"/>
        </w:rPr>
        <w:t xml:space="preserve"> of Ar and N</w:t>
      </w:r>
      <w:r w:rsidRPr="2DE79879">
        <w:rPr>
          <w:rFonts w:ascii="Times New Roman" w:hAnsi="Times New Roman"/>
          <w:vertAlign w:val="subscript"/>
          <w:lang w:val="en-CA"/>
        </w:rPr>
        <w:t>2</w:t>
      </w:r>
      <w:r w:rsidRPr="31ED3C74">
        <w:rPr>
          <w:rFonts w:ascii="Times New Roman" w:hAnsi="Times New Roman"/>
          <w:vertAlign w:val="subscript"/>
          <w:lang w:val="en-CA"/>
        </w:rPr>
        <w:t xml:space="preserve"> </w:t>
      </w:r>
      <w:r w:rsidRPr="09F2F7F7">
        <w:rPr>
          <w:rFonts w:ascii="Times New Roman" w:hAnsi="Times New Roman"/>
          <w:lang w:val="en-CA"/>
        </w:rPr>
        <w:t xml:space="preserve">(the same condition as our actual deposition </w:t>
      </w:r>
      <w:r w:rsidRPr="589A168E">
        <w:rPr>
          <w:rFonts w:ascii="Times New Roman" w:hAnsi="Times New Roman"/>
          <w:lang w:val="en-CA"/>
        </w:rPr>
        <w:t>of Ag shown in Table S2) for 20 nm</w:t>
      </w:r>
      <w:r w:rsidRPr="06F1E6A4">
        <w:rPr>
          <w:rFonts w:ascii="Times New Roman" w:hAnsi="Times New Roman"/>
          <w:lang w:val="en-CA"/>
        </w:rPr>
        <w:t xml:space="preserve"> (~60 s).</w:t>
      </w:r>
      <w:r w:rsidRPr="589A168E">
        <w:rPr>
          <w:rFonts w:ascii="Times New Roman" w:hAnsi="Times New Roman"/>
          <w:lang w:val="en-CA"/>
        </w:rPr>
        <w:t xml:space="preserve"> </w:t>
      </w:r>
      <w:r w:rsidRPr="2DE79879">
        <w:rPr>
          <w:rFonts w:ascii="Times New Roman" w:hAnsi="Times New Roman"/>
          <w:lang w:val="en-CA"/>
        </w:rPr>
        <w:t xml:space="preserve">The thickness of the silver was monitored by the calibrated QCM. </w:t>
      </w:r>
      <w:r w:rsidRPr="4CCDDAB0">
        <w:rPr>
          <w:rFonts w:ascii="Times New Roman" w:hAnsi="Times New Roman"/>
          <w:lang w:val="en-CA"/>
        </w:rPr>
        <w:t xml:space="preserve">The aluminum target was first pre-sputtered using pure Ar for at least 900s or until the DC bias stabilized to remove possible contaminants. </w:t>
      </w:r>
      <w:r w:rsidRPr="2E6EE9EE">
        <w:rPr>
          <w:rFonts w:ascii="Times New Roman" w:hAnsi="Times New Roman"/>
          <w:lang w:val="en-CA"/>
        </w:rPr>
        <w:t xml:space="preserve">Then the Al target was pre-sputtered </w:t>
      </w:r>
      <w:r>
        <w:rPr>
          <w:rFonts w:ascii="Times New Roman" w:hAnsi="Times New Roman"/>
          <w:lang w:val="en-CA"/>
        </w:rPr>
        <w:t xml:space="preserve">using a mixture of Ar, </w:t>
      </w:r>
      <w:r w:rsidRPr="2DE79879">
        <w:rPr>
          <w:rFonts w:ascii="Times New Roman" w:hAnsi="Times New Roman"/>
          <w:lang w:val="en-CA"/>
        </w:rPr>
        <w:t>N</w:t>
      </w:r>
      <w:r w:rsidRPr="2DE79879">
        <w:rPr>
          <w:rFonts w:ascii="Times New Roman" w:hAnsi="Times New Roman"/>
          <w:vertAlign w:val="subscript"/>
          <w:lang w:val="en-CA"/>
        </w:rPr>
        <w:t>2</w:t>
      </w:r>
      <w:r>
        <w:rPr>
          <w:rFonts w:ascii="Times New Roman" w:hAnsi="Times New Roman"/>
          <w:lang w:val="en-CA"/>
        </w:rPr>
        <w:t>, and H</w:t>
      </w:r>
      <w:r w:rsidRPr="2DE79879">
        <w:rPr>
          <w:rFonts w:ascii="Times New Roman" w:hAnsi="Times New Roman"/>
          <w:vertAlign w:val="subscript"/>
          <w:lang w:val="en-CA"/>
        </w:rPr>
        <w:t>2</w:t>
      </w:r>
      <w:r>
        <w:rPr>
          <w:rFonts w:ascii="Times New Roman" w:hAnsi="Times New Roman"/>
          <w:vertAlign w:val="subscript"/>
          <w:lang w:val="en-CA"/>
        </w:rPr>
        <w:t xml:space="preserve"> </w:t>
      </w:r>
      <w:r>
        <w:rPr>
          <w:rFonts w:ascii="Times New Roman" w:hAnsi="Times New Roman"/>
          <w:lang w:val="en-CA"/>
        </w:rPr>
        <w:t>(</w:t>
      </w:r>
      <w:r w:rsidRPr="2E6EE9EE">
        <w:rPr>
          <w:rFonts w:ascii="Times New Roman" w:hAnsi="Times New Roman"/>
          <w:lang w:val="en-CA"/>
        </w:rPr>
        <w:t xml:space="preserve">the same condition as </w:t>
      </w:r>
      <w:r w:rsidRPr="380A152D">
        <w:rPr>
          <w:rFonts w:ascii="Times New Roman" w:hAnsi="Times New Roman"/>
          <w:lang w:val="en-CA"/>
        </w:rPr>
        <w:t xml:space="preserve">the actual deposition of </w:t>
      </w:r>
      <w:r>
        <w:rPr>
          <w:rFonts w:ascii="Times New Roman" w:hAnsi="Times New Roman"/>
          <w:lang w:val="en-CA"/>
        </w:rPr>
        <w:t>AlN</w:t>
      </w:r>
      <w:r w:rsidRPr="380A152D">
        <w:rPr>
          <w:rFonts w:ascii="Times New Roman" w:hAnsi="Times New Roman"/>
          <w:lang w:val="en-CA"/>
        </w:rPr>
        <w:t xml:space="preserve"> shown in Table S2</w:t>
      </w:r>
      <w:r>
        <w:rPr>
          <w:rFonts w:ascii="Times New Roman" w:hAnsi="Times New Roman"/>
          <w:lang w:val="en-CA"/>
        </w:rPr>
        <w:t>)</w:t>
      </w:r>
      <w:r w:rsidRPr="380A152D">
        <w:rPr>
          <w:rFonts w:ascii="Times New Roman" w:hAnsi="Times New Roman"/>
          <w:lang w:val="en-CA"/>
        </w:rPr>
        <w:t xml:space="preserve"> to ensure the </w:t>
      </w:r>
      <w:r w:rsidRPr="3527E77B">
        <w:rPr>
          <w:rFonts w:ascii="Times New Roman" w:hAnsi="Times New Roman"/>
          <w:lang w:val="en-CA"/>
        </w:rPr>
        <w:t xml:space="preserve">top of the target was coated with the desired ceramic material. </w:t>
      </w:r>
    </w:p>
    <w:p w14:paraId="7CE2DC12" w14:textId="77777777" w:rsidR="000802ED" w:rsidRDefault="000802ED" w:rsidP="000802ED">
      <w:pPr>
        <w:pStyle w:val="TAMainText"/>
        <w:ind w:firstLine="0"/>
        <w:jc w:val="left"/>
        <w:rPr>
          <w:rFonts w:ascii="Times New Roman" w:hAnsi="Times New Roman"/>
          <w:szCs w:val="24"/>
          <w:lang w:val="en-CA"/>
        </w:rPr>
      </w:pPr>
    </w:p>
    <w:p w14:paraId="26219DEB" w14:textId="77777777" w:rsidR="000802ED" w:rsidRDefault="000802ED" w:rsidP="000802ED">
      <w:pPr>
        <w:spacing w:line="480" w:lineRule="auto"/>
        <w:ind w:left="720" w:hanging="720"/>
        <w:jc w:val="left"/>
        <w:outlineLvl w:val="0"/>
        <w:rPr>
          <w:rFonts w:ascii="Times New Roman" w:hAnsi="Times New Roman"/>
          <w:lang w:val="en-CA"/>
        </w:rPr>
      </w:pPr>
      <w:r w:rsidRPr="2DE79879">
        <w:rPr>
          <w:rFonts w:eastAsia="Times" w:cs="Times"/>
          <w:b/>
          <w:bCs/>
          <w:lang w:val="en-CA"/>
        </w:rPr>
        <w:lastRenderedPageBreak/>
        <w:t>Table S1</w:t>
      </w:r>
      <w:r>
        <w:rPr>
          <w:rFonts w:eastAsia="Times" w:cs="Times"/>
          <w:b/>
          <w:bCs/>
          <w:lang w:val="en-CA"/>
        </w:rPr>
        <w:t>-a</w:t>
      </w:r>
      <w:r w:rsidRPr="2DE79879">
        <w:rPr>
          <w:rFonts w:eastAsia="Times" w:cs="Times"/>
          <w:b/>
          <w:bCs/>
          <w:lang w:val="en-CA"/>
        </w:rPr>
        <w:t xml:space="preserve">. </w:t>
      </w:r>
      <w:r w:rsidRPr="2DE79879">
        <w:rPr>
          <w:rFonts w:ascii="Times New Roman" w:hAnsi="Times New Roman"/>
          <w:lang w:val="en-CA"/>
        </w:rPr>
        <w:t>Pre-sputtering specifics</w:t>
      </w:r>
      <w:r>
        <w:rPr>
          <w:rFonts w:ascii="Times New Roman" w:hAnsi="Times New Roman"/>
          <w:lang w:val="en-CA"/>
        </w:rPr>
        <w:t xml:space="preserve"> for hydrogenated AlN</w:t>
      </w:r>
    </w:p>
    <w:tbl>
      <w:tblPr>
        <w:tblStyle w:val="GridTable1Light-Accent11"/>
        <w:tblW w:w="0" w:type="auto"/>
        <w:tblLook w:val="04A0" w:firstRow="1" w:lastRow="0" w:firstColumn="1" w:lastColumn="0" w:noHBand="0" w:noVBand="1"/>
      </w:tblPr>
      <w:tblGrid>
        <w:gridCol w:w="849"/>
        <w:gridCol w:w="910"/>
        <w:gridCol w:w="869"/>
        <w:gridCol w:w="869"/>
        <w:gridCol w:w="869"/>
        <w:gridCol w:w="1011"/>
        <w:gridCol w:w="950"/>
        <w:gridCol w:w="976"/>
        <w:gridCol w:w="950"/>
        <w:gridCol w:w="1097"/>
      </w:tblGrid>
      <w:tr w:rsidR="000802ED" w14:paraId="519FC8BD" w14:textId="77777777" w:rsidTr="00637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vMerge w:val="restart"/>
          </w:tcPr>
          <w:p w14:paraId="72B4121D" w14:textId="77777777" w:rsidR="000802ED" w:rsidRDefault="000802ED" w:rsidP="00637B69">
            <w:pPr>
              <w:jc w:val="left"/>
            </w:pPr>
            <w:r>
              <w:t xml:space="preserve">Step </w:t>
            </w:r>
          </w:p>
        </w:tc>
        <w:tc>
          <w:tcPr>
            <w:tcW w:w="843" w:type="dxa"/>
            <w:vMerge w:val="restart"/>
          </w:tcPr>
          <w:p w14:paraId="0127E943"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lang w:val="en-CA"/>
              </w:rPr>
              <w:t>Target</w:t>
            </w:r>
          </w:p>
        </w:tc>
        <w:tc>
          <w:tcPr>
            <w:tcW w:w="2607" w:type="dxa"/>
            <w:gridSpan w:val="3"/>
          </w:tcPr>
          <w:p w14:paraId="732C533A"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Gas Ratio</w:t>
            </w:r>
          </w:p>
        </w:tc>
        <w:tc>
          <w:tcPr>
            <w:tcW w:w="1980" w:type="dxa"/>
            <w:gridSpan w:val="2"/>
          </w:tcPr>
          <w:p w14:paraId="0681D881"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Pressure (</w:t>
            </w:r>
            <w:proofErr w:type="spellStart"/>
            <w:r w:rsidRPr="2DE79879">
              <w:rPr>
                <w:rFonts w:ascii="Times New Roman" w:hAnsi="Times New Roman"/>
              </w:rPr>
              <w:t>mTorr</w:t>
            </w:r>
            <w:proofErr w:type="spellEnd"/>
            <w:r w:rsidRPr="2DE79879">
              <w:rPr>
                <w:rFonts w:ascii="Times New Roman" w:hAnsi="Times New Roman"/>
              </w:rPr>
              <w:t>)</w:t>
            </w:r>
          </w:p>
        </w:tc>
        <w:tc>
          <w:tcPr>
            <w:tcW w:w="1926" w:type="dxa"/>
            <w:gridSpan w:val="2"/>
          </w:tcPr>
          <w:p w14:paraId="3E5B7241"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RF Power (W)</w:t>
            </w:r>
          </w:p>
        </w:tc>
        <w:tc>
          <w:tcPr>
            <w:tcW w:w="1056" w:type="dxa"/>
            <w:vMerge w:val="restart"/>
          </w:tcPr>
          <w:p w14:paraId="553AF397"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Nominal Time (s)</w:t>
            </w:r>
          </w:p>
        </w:tc>
      </w:tr>
      <w:tr w:rsidR="000802ED" w14:paraId="6C7CAA01" w14:textId="77777777" w:rsidTr="00637B69">
        <w:tc>
          <w:tcPr>
            <w:cnfStyle w:val="001000000000" w:firstRow="0" w:lastRow="0" w:firstColumn="1" w:lastColumn="0" w:oddVBand="0" w:evenVBand="0" w:oddHBand="0" w:evenHBand="0" w:firstRowFirstColumn="0" w:firstRowLastColumn="0" w:lastRowFirstColumn="0" w:lastRowLastColumn="0"/>
            <w:tcW w:w="943" w:type="dxa"/>
            <w:vMerge/>
          </w:tcPr>
          <w:p w14:paraId="79E4CF2D" w14:textId="77777777" w:rsidR="000802ED" w:rsidRDefault="000802ED" w:rsidP="00637B69">
            <w:pPr>
              <w:jc w:val="left"/>
            </w:pPr>
          </w:p>
        </w:tc>
        <w:tc>
          <w:tcPr>
            <w:tcW w:w="843" w:type="dxa"/>
            <w:vMerge/>
          </w:tcPr>
          <w:p w14:paraId="59ECED5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p>
        </w:tc>
        <w:tc>
          <w:tcPr>
            <w:tcW w:w="869" w:type="dxa"/>
          </w:tcPr>
          <w:p w14:paraId="715A873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Ar (sccm)</w:t>
            </w:r>
          </w:p>
        </w:tc>
        <w:tc>
          <w:tcPr>
            <w:tcW w:w="869" w:type="dxa"/>
          </w:tcPr>
          <w:p w14:paraId="3902039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N</w:t>
            </w:r>
            <w:r w:rsidRPr="2DE79879">
              <w:rPr>
                <w:rFonts w:ascii="Times New Roman" w:hAnsi="Times New Roman"/>
                <w:vertAlign w:val="subscript"/>
              </w:rPr>
              <w:t xml:space="preserve">2 </w:t>
            </w:r>
            <w:r w:rsidRPr="2DE79879">
              <w:rPr>
                <w:rFonts w:ascii="Times New Roman" w:hAnsi="Times New Roman"/>
              </w:rPr>
              <w:t>(sccm)</w:t>
            </w:r>
          </w:p>
        </w:tc>
        <w:tc>
          <w:tcPr>
            <w:tcW w:w="869" w:type="dxa"/>
          </w:tcPr>
          <w:p w14:paraId="1D4FFA0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H</w:t>
            </w:r>
            <w:r w:rsidRPr="2DE79879">
              <w:rPr>
                <w:rFonts w:ascii="Times New Roman" w:hAnsi="Times New Roman"/>
                <w:vertAlign w:val="subscript"/>
              </w:rPr>
              <w:t>2</w:t>
            </w:r>
            <w:r w:rsidRPr="2DE79879">
              <w:rPr>
                <w:rFonts w:ascii="Times New Roman" w:hAnsi="Times New Roman"/>
              </w:rPr>
              <w:t xml:space="preserve"> (sccm)</w:t>
            </w:r>
          </w:p>
        </w:tc>
        <w:tc>
          <w:tcPr>
            <w:tcW w:w="1030" w:type="dxa"/>
          </w:tcPr>
          <w:p w14:paraId="2038311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Ignition </w:t>
            </w:r>
          </w:p>
        </w:tc>
        <w:tc>
          <w:tcPr>
            <w:tcW w:w="950" w:type="dxa"/>
          </w:tcPr>
          <w:p w14:paraId="26C028E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Process </w:t>
            </w:r>
          </w:p>
        </w:tc>
        <w:tc>
          <w:tcPr>
            <w:tcW w:w="976" w:type="dxa"/>
          </w:tcPr>
          <w:p w14:paraId="34EF09A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Ignition </w:t>
            </w:r>
          </w:p>
        </w:tc>
        <w:tc>
          <w:tcPr>
            <w:tcW w:w="950" w:type="dxa"/>
          </w:tcPr>
          <w:p w14:paraId="51531C2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Process </w:t>
            </w:r>
          </w:p>
        </w:tc>
        <w:tc>
          <w:tcPr>
            <w:tcW w:w="1056" w:type="dxa"/>
            <w:vMerge/>
          </w:tcPr>
          <w:p w14:paraId="7C6C942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p>
        </w:tc>
      </w:tr>
      <w:tr w:rsidR="000802ED" w14:paraId="0309BF77" w14:textId="77777777" w:rsidTr="00637B69">
        <w:tc>
          <w:tcPr>
            <w:cnfStyle w:val="001000000000" w:firstRow="0" w:lastRow="0" w:firstColumn="1" w:lastColumn="0" w:oddVBand="0" w:evenVBand="0" w:oddHBand="0" w:evenHBand="0" w:firstRowFirstColumn="0" w:firstRowLastColumn="0" w:lastRowFirstColumn="0" w:lastRowLastColumn="0"/>
            <w:tcW w:w="943" w:type="dxa"/>
          </w:tcPr>
          <w:p w14:paraId="0592E2BA" w14:textId="77777777" w:rsidR="000802ED" w:rsidRDefault="000802ED" w:rsidP="00637B69">
            <w:pPr>
              <w:pStyle w:val="ListParagraph"/>
              <w:numPr>
                <w:ilvl w:val="0"/>
                <w:numId w:val="20"/>
              </w:numPr>
              <w:jc w:val="left"/>
            </w:pPr>
          </w:p>
        </w:tc>
        <w:tc>
          <w:tcPr>
            <w:tcW w:w="843" w:type="dxa"/>
          </w:tcPr>
          <w:p w14:paraId="6F109E82"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Ag</w:t>
            </w:r>
          </w:p>
        </w:tc>
        <w:tc>
          <w:tcPr>
            <w:tcW w:w="869" w:type="dxa"/>
          </w:tcPr>
          <w:p w14:paraId="6B9DD01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20</w:t>
            </w:r>
          </w:p>
        </w:tc>
        <w:tc>
          <w:tcPr>
            <w:tcW w:w="869" w:type="dxa"/>
          </w:tcPr>
          <w:p w14:paraId="20460882"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0</w:t>
            </w:r>
          </w:p>
        </w:tc>
        <w:tc>
          <w:tcPr>
            <w:tcW w:w="869" w:type="dxa"/>
          </w:tcPr>
          <w:p w14:paraId="39C1359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0</w:t>
            </w:r>
          </w:p>
        </w:tc>
        <w:tc>
          <w:tcPr>
            <w:tcW w:w="1030" w:type="dxa"/>
          </w:tcPr>
          <w:p w14:paraId="443113C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20.1</w:t>
            </w:r>
          </w:p>
        </w:tc>
        <w:tc>
          <w:tcPr>
            <w:tcW w:w="950" w:type="dxa"/>
          </w:tcPr>
          <w:p w14:paraId="29D0AF2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5.1</w:t>
            </w:r>
          </w:p>
        </w:tc>
        <w:tc>
          <w:tcPr>
            <w:tcW w:w="976" w:type="dxa"/>
          </w:tcPr>
          <w:p w14:paraId="45DC60A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c>
          <w:tcPr>
            <w:tcW w:w="950" w:type="dxa"/>
          </w:tcPr>
          <w:p w14:paraId="3274DFA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c>
          <w:tcPr>
            <w:tcW w:w="1056" w:type="dxa"/>
          </w:tcPr>
          <w:p w14:paraId="48B5D719"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60</w:t>
            </w:r>
          </w:p>
        </w:tc>
      </w:tr>
      <w:tr w:rsidR="000802ED" w14:paraId="43C69741" w14:textId="77777777" w:rsidTr="00637B69">
        <w:tc>
          <w:tcPr>
            <w:cnfStyle w:val="001000000000" w:firstRow="0" w:lastRow="0" w:firstColumn="1" w:lastColumn="0" w:oddVBand="0" w:evenVBand="0" w:oddHBand="0" w:evenHBand="0" w:firstRowFirstColumn="0" w:firstRowLastColumn="0" w:lastRowFirstColumn="0" w:lastRowLastColumn="0"/>
            <w:tcW w:w="943" w:type="dxa"/>
          </w:tcPr>
          <w:p w14:paraId="2802E27E" w14:textId="77777777" w:rsidR="000802ED" w:rsidRDefault="000802ED" w:rsidP="00637B69">
            <w:pPr>
              <w:pStyle w:val="ListParagraph"/>
              <w:numPr>
                <w:ilvl w:val="0"/>
                <w:numId w:val="20"/>
              </w:numPr>
              <w:jc w:val="left"/>
            </w:pPr>
          </w:p>
        </w:tc>
        <w:tc>
          <w:tcPr>
            <w:tcW w:w="843" w:type="dxa"/>
          </w:tcPr>
          <w:p w14:paraId="11B7C05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Ag</w:t>
            </w:r>
          </w:p>
        </w:tc>
        <w:tc>
          <w:tcPr>
            <w:tcW w:w="869" w:type="dxa"/>
          </w:tcPr>
          <w:p w14:paraId="515A757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8</w:t>
            </w:r>
          </w:p>
        </w:tc>
        <w:tc>
          <w:tcPr>
            <w:tcW w:w="869" w:type="dxa"/>
          </w:tcPr>
          <w:p w14:paraId="16582D7F"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lang w:val="en-CA"/>
              </w:rPr>
              <w:t>8.6</w:t>
            </w:r>
          </w:p>
        </w:tc>
        <w:tc>
          <w:tcPr>
            <w:tcW w:w="869" w:type="dxa"/>
          </w:tcPr>
          <w:p w14:paraId="4FD6128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0</w:t>
            </w:r>
          </w:p>
        </w:tc>
        <w:tc>
          <w:tcPr>
            <w:tcW w:w="1030" w:type="dxa"/>
          </w:tcPr>
          <w:p w14:paraId="6291205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20.1</w:t>
            </w:r>
          </w:p>
        </w:tc>
        <w:tc>
          <w:tcPr>
            <w:tcW w:w="950" w:type="dxa"/>
          </w:tcPr>
          <w:p w14:paraId="7492103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5.1</w:t>
            </w:r>
          </w:p>
        </w:tc>
        <w:tc>
          <w:tcPr>
            <w:tcW w:w="976" w:type="dxa"/>
          </w:tcPr>
          <w:p w14:paraId="228484F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c>
          <w:tcPr>
            <w:tcW w:w="950" w:type="dxa"/>
          </w:tcPr>
          <w:p w14:paraId="50EEBF8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c>
          <w:tcPr>
            <w:tcW w:w="1056" w:type="dxa"/>
          </w:tcPr>
          <w:p w14:paraId="723704F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60</w:t>
            </w:r>
          </w:p>
        </w:tc>
      </w:tr>
      <w:tr w:rsidR="000802ED" w14:paraId="66E345B0" w14:textId="77777777" w:rsidTr="00637B69">
        <w:tc>
          <w:tcPr>
            <w:cnfStyle w:val="001000000000" w:firstRow="0" w:lastRow="0" w:firstColumn="1" w:lastColumn="0" w:oddVBand="0" w:evenVBand="0" w:oddHBand="0" w:evenHBand="0" w:firstRowFirstColumn="0" w:firstRowLastColumn="0" w:lastRowFirstColumn="0" w:lastRowLastColumn="0"/>
            <w:tcW w:w="943" w:type="dxa"/>
          </w:tcPr>
          <w:p w14:paraId="34A56784" w14:textId="77777777" w:rsidR="000802ED" w:rsidRDefault="000802ED" w:rsidP="00637B69">
            <w:pPr>
              <w:pStyle w:val="ListParagraph"/>
              <w:numPr>
                <w:ilvl w:val="0"/>
                <w:numId w:val="20"/>
              </w:numPr>
              <w:jc w:val="left"/>
            </w:pPr>
          </w:p>
        </w:tc>
        <w:tc>
          <w:tcPr>
            <w:tcW w:w="843" w:type="dxa"/>
          </w:tcPr>
          <w:p w14:paraId="4880F0B2"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Al</w:t>
            </w:r>
          </w:p>
        </w:tc>
        <w:tc>
          <w:tcPr>
            <w:tcW w:w="869" w:type="dxa"/>
          </w:tcPr>
          <w:p w14:paraId="159EA9E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20</w:t>
            </w:r>
          </w:p>
        </w:tc>
        <w:tc>
          <w:tcPr>
            <w:tcW w:w="869" w:type="dxa"/>
          </w:tcPr>
          <w:p w14:paraId="02E95A4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0</w:t>
            </w:r>
          </w:p>
        </w:tc>
        <w:tc>
          <w:tcPr>
            <w:tcW w:w="869" w:type="dxa"/>
          </w:tcPr>
          <w:p w14:paraId="4D38978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0</w:t>
            </w:r>
          </w:p>
        </w:tc>
        <w:tc>
          <w:tcPr>
            <w:tcW w:w="1030" w:type="dxa"/>
          </w:tcPr>
          <w:p w14:paraId="0F19F21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20.1</w:t>
            </w:r>
          </w:p>
        </w:tc>
        <w:tc>
          <w:tcPr>
            <w:tcW w:w="950" w:type="dxa"/>
          </w:tcPr>
          <w:p w14:paraId="7167F60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5.1</w:t>
            </w:r>
          </w:p>
        </w:tc>
        <w:tc>
          <w:tcPr>
            <w:tcW w:w="976" w:type="dxa"/>
          </w:tcPr>
          <w:p w14:paraId="3C563672"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250</w:t>
            </w:r>
          </w:p>
        </w:tc>
        <w:tc>
          <w:tcPr>
            <w:tcW w:w="950" w:type="dxa"/>
          </w:tcPr>
          <w:p w14:paraId="52738D6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250</w:t>
            </w:r>
          </w:p>
        </w:tc>
        <w:tc>
          <w:tcPr>
            <w:tcW w:w="1056" w:type="dxa"/>
          </w:tcPr>
          <w:p w14:paraId="3604880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900</w:t>
            </w:r>
          </w:p>
        </w:tc>
      </w:tr>
      <w:tr w:rsidR="000802ED" w14:paraId="7FFE8036" w14:textId="77777777" w:rsidTr="00637B69">
        <w:tc>
          <w:tcPr>
            <w:cnfStyle w:val="001000000000" w:firstRow="0" w:lastRow="0" w:firstColumn="1" w:lastColumn="0" w:oddVBand="0" w:evenVBand="0" w:oddHBand="0" w:evenHBand="0" w:firstRowFirstColumn="0" w:firstRowLastColumn="0" w:lastRowFirstColumn="0" w:lastRowLastColumn="0"/>
            <w:tcW w:w="943" w:type="dxa"/>
          </w:tcPr>
          <w:p w14:paraId="37F56647" w14:textId="77777777" w:rsidR="000802ED" w:rsidRDefault="000802ED" w:rsidP="00637B69">
            <w:pPr>
              <w:pStyle w:val="ListParagraph"/>
              <w:numPr>
                <w:ilvl w:val="0"/>
                <w:numId w:val="20"/>
              </w:numPr>
              <w:jc w:val="left"/>
            </w:pPr>
          </w:p>
        </w:tc>
        <w:tc>
          <w:tcPr>
            <w:tcW w:w="843" w:type="dxa"/>
          </w:tcPr>
          <w:p w14:paraId="5C61768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Al</w:t>
            </w:r>
          </w:p>
        </w:tc>
        <w:tc>
          <w:tcPr>
            <w:tcW w:w="869" w:type="dxa"/>
          </w:tcPr>
          <w:p w14:paraId="220BFBFF"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15</w:t>
            </w:r>
          </w:p>
        </w:tc>
        <w:tc>
          <w:tcPr>
            <w:tcW w:w="869" w:type="dxa"/>
          </w:tcPr>
          <w:p w14:paraId="40CF23E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rPr>
              <w:t>3.6</w:t>
            </w:r>
          </w:p>
        </w:tc>
        <w:tc>
          <w:tcPr>
            <w:tcW w:w="869" w:type="dxa"/>
          </w:tcPr>
          <w:p w14:paraId="65A12C95"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rPr>
              <w:t>0.7</w:t>
            </w:r>
          </w:p>
        </w:tc>
        <w:tc>
          <w:tcPr>
            <w:tcW w:w="1030" w:type="dxa"/>
          </w:tcPr>
          <w:p w14:paraId="73383DE5"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20.1</w:t>
            </w:r>
          </w:p>
        </w:tc>
        <w:tc>
          <w:tcPr>
            <w:tcW w:w="950" w:type="dxa"/>
          </w:tcPr>
          <w:p w14:paraId="4FAB7E5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5.1</w:t>
            </w:r>
          </w:p>
        </w:tc>
        <w:tc>
          <w:tcPr>
            <w:tcW w:w="976" w:type="dxa"/>
          </w:tcPr>
          <w:p w14:paraId="011B9F8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250</w:t>
            </w:r>
          </w:p>
        </w:tc>
        <w:tc>
          <w:tcPr>
            <w:tcW w:w="950" w:type="dxa"/>
          </w:tcPr>
          <w:p w14:paraId="1BC32362"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250</w:t>
            </w:r>
          </w:p>
        </w:tc>
        <w:tc>
          <w:tcPr>
            <w:tcW w:w="1056" w:type="dxa"/>
          </w:tcPr>
          <w:p w14:paraId="2831225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900</w:t>
            </w:r>
          </w:p>
        </w:tc>
      </w:tr>
    </w:tbl>
    <w:p w14:paraId="618986B2" w14:textId="77777777" w:rsidR="000802ED" w:rsidRDefault="000802ED" w:rsidP="000802ED">
      <w:pPr>
        <w:pStyle w:val="TAMainText"/>
        <w:ind w:left="720" w:hanging="720"/>
        <w:jc w:val="left"/>
        <w:rPr>
          <w:rFonts w:ascii="Times New Roman" w:hAnsi="Times New Roman"/>
          <w:szCs w:val="24"/>
          <w:lang w:val="en-CA"/>
        </w:rPr>
      </w:pPr>
    </w:p>
    <w:p w14:paraId="7401529F" w14:textId="77777777" w:rsidR="000802ED" w:rsidRDefault="000802ED" w:rsidP="000802ED">
      <w:pPr>
        <w:spacing w:line="480" w:lineRule="auto"/>
        <w:ind w:left="720" w:hanging="720"/>
        <w:jc w:val="left"/>
        <w:outlineLvl w:val="0"/>
        <w:rPr>
          <w:rFonts w:ascii="Times New Roman" w:hAnsi="Times New Roman"/>
          <w:lang w:val="en-CA"/>
        </w:rPr>
      </w:pPr>
      <w:r w:rsidRPr="2DE79879">
        <w:rPr>
          <w:rFonts w:eastAsia="Times" w:cs="Times"/>
          <w:b/>
          <w:bCs/>
          <w:lang w:val="en-CA"/>
        </w:rPr>
        <w:t>Table S1</w:t>
      </w:r>
      <w:r>
        <w:rPr>
          <w:rFonts w:eastAsia="Times" w:cs="Times"/>
          <w:b/>
          <w:bCs/>
          <w:lang w:val="en-CA"/>
        </w:rPr>
        <w:t>-b</w:t>
      </w:r>
      <w:r w:rsidRPr="2DE79879">
        <w:rPr>
          <w:rFonts w:eastAsia="Times" w:cs="Times"/>
          <w:b/>
          <w:bCs/>
          <w:lang w:val="en-CA"/>
        </w:rPr>
        <w:t xml:space="preserve">. </w:t>
      </w:r>
      <w:r w:rsidRPr="2DE79879">
        <w:rPr>
          <w:rFonts w:ascii="Times New Roman" w:hAnsi="Times New Roman"/>
          <w:lang w:val="en-CA"/>
        </w:rPr>
        <w:t>Pre-sputtering specifics</w:t>
      </w:r>
      <w:r>
        <w:rPr>
          <w:rFonts w:ascii="Times New Roman" w:hAnsi="Times New Roman"/>
          <w:lang w:val="en-CA"/>
        </w:rPr>
        <w:t xml:space="preserve"> for SiN</w:t>
      </w:r>
      <w:r w:rsidRPr="00FA5BD3">
        <w:rPr>
          <w:rFonts w:ascii="Times New Roman" w:hAnsi="Times New Roman"/>
          <w:vertAlign w:val="subscript"/>
          <w:lang w:val="en-CA"/>
        </w:rPr>
        <w:t>x</w:t>
      </w:r>
    </w:p>
    <w:tbl>
      <w:tblPr>
        <w:tblStyle w:val="GridTable1Light-Accent11"/>
        <w:tblW w:w="0" w:type="auto"/>
        <w:tblLook w:val="04A0" w:firstRow="1" w:lastRow="0" w:firstColumn="1" w:lastColumn="0" w:noHBand="0" w:noVBand="1"/>
      </w:tblPr>
      <w:tblGrid>
        <w:gridCol w:w="849"/>
        <w:gridCol w:w="910"/>
        <w:gridCol w:w="869"/>
        <w:gridCol w:w="869"/>
        <w:gridCol w:w="869"/>
        <w:gridCol w:w="1011"/>
        <w:gridCol w:w="950"/>
        <w:gridCol w:w="976"/>
        <w:gridCol w:w="950"/>
        <w:gridCol w:w="1097"/>
      </w:tblGrid>
      <w:tr w:rsidR="000802ED" w14:paraId="0BFBAD73" w14:textId="77777777" w:rsidTr="00637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vMerge w:val="restart"/>
          </w:tcPr>
          <w:p w14:paraId="71CB968B" w14:textId="77777777" w:rsidR="000802ED" w:rsidRDefault="000802ED" w:rsidP="00637B69">
            <w:pPr>
              <w:jc w:val="left"/>
            </w:pPr>
            <w:r>
              <w:t xml:space="preserve">Step </w:t>
            </w:r>
          </w:p>
        </w:tc>
        <w:tc>
          <w:tcPr>
            <w:tcW w:w="843" w:type="dxa"/>
            <w:vMerge w:val="restart"/>
          </w:tcPr>
          <w:p w14:paraId="2A5B4B35"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lang w:val="en-CA"/>
              </w:rPr>
              <w:t>Target</w:t>
            </w:r>
          </w:p>
        </w:tc>
        <w:tc>
          <w:tcPr>
            <w:tcW w:w="2607" w:type="dxa"/>
            <w:gridSpan w:val="3"/>
          </w:tcPr>
          <w:p w14:paraId="0B60FBB6"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Gas Ratio</w:t>
            </w:r>
          </w:p>
        </w:tc>
        <w:tc>
          <w:tcPr>
            <w:tcW w:w="1980" w:type="dxa"/>
            <w:gridSpan w:val="2"/>
          </w:tcPr>
          <w:p w14:paraId="22A52539"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Pressure (</w:t>
            </w:r>
            <w:proofErr w:type="spellStart"/>
            <w:r w:rsidRPr="2DE79879">
              <w:rPr>
                <w:rFonts w:ascii="Times New Roman" w:hAnsi="Times New Roman"/>
              </w:rPr>
              <w:t>mTorr</w:t>
            </w:r>
            <w:proofErr w:type="spellEnd"/>
            <w:r w:rsidRPr="2DE79879">
              <w:rPr>
                <w:rFonts w:ascii="Times New Roman" w:hAnsi="Times New Roman"/>
              </w:rPr>
              <w:t>)</w:t>
            </w:r>
          </w:p>
        </w:tc>
        <w:tc>
          <w:tcPr>
            <w:tcW w:w="1926" w:type="dxa"/>
            <w:gridSpan w:val="2"/>
          </w:tcPr>
          <w:p w14:paraId="3491C6B6"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RF Power (W)</w:t>
            </w:r>
          </w:p>
        </w:tc>
        <w:tc>
          <w:tcPr>
            <w:tcW w:w="1056" w:type="dxa"/>
            <w:vMerge w:val="restart"/>
          </w:tcPr>
          <w:p w14:paraId="57810723"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Nominal Time (s)</w:t>
            </w:r>
          </w:p>
        </w:tc>
      </w:tr>
      <w:tr w:rsidR="000802ED" w14:paraId="5CBF0EC1" w14:textId="77777777" w:rsidTr="00637B69">
        <w:tc>
          <w:tcPr>
            <w:cnfStyle w:val="001000000000" w:firstRow="0" w:lastRow="0" w:firstColumn="1" w:lastColumn="0" w:oddVBand="0" w:evenVBand="0" w:oddHBand="0" w:evenHBand="0" w:firstRowFirstColumn="0" w:firstRowLastColumn="0" w:lastRowFirstColumn="0" w:lastRowLastColumn="0"/>
            <w:tcW w:w="943" w:type="dxa"/>
            <w:vMerge/>
          </w:tcPr>
          <w:p w14:paraId="5139BF30" w14:textId="77777777" w:rsidR="000802ED" w:rsidRDefault="000802ED" w:rsidP="00637B69">
            <w:pPr>
              <w:jc w:val="left"/>
            </w:pPr>
          </w:p>
        </w:tc>
        <w:tc>
          <w:tcPr>
            <w:tcW w:w="843" w:type="dxa"/>
            <w:vMerge/>
          </w:tcPr>
          <w:p w14:paraId="2F6866EF"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p>
        </w:tc>
        <w:tc>
          <w:tcPr>
            <w:tcW w:w="869" w:type="dxa"/>
          </w:tcPr>
          <w:p w14:paraId="5341B82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Ar (sccm)</w:t>
            </w:r>
          </w:p>
        </w:tc>
        <w:tc>
          <w:tcPr>
            <w:tcW w:w="869" w:type="dxa"/>
          </w:tcPr>
          <w:p w14:paraId="1B42045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N</w:t>
            </w:r>
            <w:r w:rsidRPr="2DE79879">
              <w:rPr>
                <w:rFonts w:ascii="Times New Roman" w:hAnsi="Times New Roman"/>
                <w:vertAlign w:val="subscript"/>
              </w:rPr>
              <w:t xml:space="preserve">2 </w:t>
            </w:r>
            <w:r w:rsidRPr="2DE79879">
              <w:rPr>
                <w:rFonts w:ascii="Times New Roman" w:hAnsi="Times New Roman"/>
              </w:rPr>
              <w:t>(sccm)</w:t>
            </w:r>
          </w:p>
        </w:tc>
        <w:tc>
          <w:tcPr>
            <w:tcW w:w="869" w:type="dxa"/>
          </w:tcPr>
          <w:p w14:paraId="4EAD271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H</w:t>
            </w:r>
            <w:r w:rsidRPr="2DE79879">
              <w:rPr>
                <w:rFonts w:ascii="Times New Roman" w:hAnsi="Times New Roman"/>
                <w:vertAlign w:val="subscript"/>
              </w:rPr>
              <w:t>2</w:t>
            </w:r>
            <w:r w:rsidRPr="2DE79879">
              <w:rPr>
                <w:rFonts w:ascii="Times New Roman" w:hAnsi="Times New Roman"/>
              </w:rPr>
              <w:t xml:space="preserve"> (sccm)</w:t>
            </w:r>
          </w:p>
        </w:tc>
        <w:tc>
          <w:tcPr>
            <w:tcW w:w="1030" w:type="dxa"/>
          </w:tcPr>
          <w:p w14:paraId="63C2758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Ignition </w:t>
            </w:r>
          </w:p>
        </w:tc>
        <w:tc>
          <w:tcPr>
            <w:tcW w:w="950" w:type="dxa"/>
          </w:tcPr>
          <w:p w14:paraId="362293E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Process </w:t>
            </w:r>
          </w:p>
        </w:tc>
        <w:tc>
          <w:tcPr>
            <w:tcW w:w="976" w:type="dxa"/>
          </w:tcPr>
          <w:p w14:paraId="6790EE0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Ignition </w:t>
            </w:r>
          </w:p>
        </w:tc>
        <w:tc>
          <w:tcPr>
            <w:tcW w:w="950" w:type="dxa"/>
          </w:tcPr>
          <w:p w14:paraId="3E08EFC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Process </w:t>
            </w:r>
          </w:p>
        </w:tc>
        <w:tc>
          <w:tcPr>
            <w:tcW w:w="1056" w:type="dxa"/>
            <w:vMerge/>
          </w:tcPr>
          <w:p w14:paraId="77E30EE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p>
        </w:tc>
      </w:tr>
      <w:tr w:rsidR="000802ED" w14:paraId="6EC21A8A" w14:textId="77777777" w:rsidTr="00637B69">
        <w:tc>
          <w:tcPr>
            <w:cnfStyle w:val="001000000000" w:firstRow="0" w:lastRow="0" w:firstColumn="1" w:lastColumn="0" w:oddVBand="0" w:evenVBand="0" w:oddHBand="0" w:evenHBand="0" w:firstRowFirstColumn="0" w:firstRowLastColumn="0" w:lastRowFirstColumn="0" w:lastRowLastColumn="0"/>
            <w:tcW w:w="943" w:type="dxa"/>
          </w:tcPr>
          <w:p w14:paraId="28A5D85C" w14:textId="77777777" w:rsidR="000802ED" w:rsidRDefault="000802ED" w:rsidP="00637B69">
            <w:pPr>
              <w:pStyle w:val="ListParagraph"/>
              <w:numPr>
                <w:ilvl w:val="0"/>
                <w:numId w:val="32"/>
              </w:numPr>
              <w:jc w:val="left"/>
            </w:pPr>
          </w:p>
        </w:tc>
        <w:tc>
          <w:tcPr>
            <w:tcW w:w="843" w:type="dxa"/>
          </w:tcPr>
          <w:p w14:paraId="7D69F78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Ag</w:t>
            </w:r>
          </w:p>
        </w:tc>
        <w:tc>
          <w:tcPr>
            <w:tcW w:w="869" w:type="dxa"/>
          </w:tcPr>
          <w:p w14:paraId="654988B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20</w:t>
            </w:r>
          </w:p>
        </w:tc>
        <w:tc>
          <w:tcPr>
            <w:tcW w:w="869" w:type="dxa"/>
          </w:tcPr>
          <w:p w14:paraId="510E1DB5"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0</w:t>
            </w:r>
          </w:p>
        </w:tc>
        <w:tc>
          <w:tcPr>
            <w:tcW w:w="869" w:type="dxa"/>
          </w:tcPr>
          <w:p w14:paraId="25968B1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0</w:t>
            </w:r>
          </w:p>
        </w:tc>
        <w:tc>
          <w:tcPr>
            <w:tcW w:w="1030" w:type="dxa"/>
          </w:tcPr>
          <w:p w14:paraId="1B61A44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20.1</w:t>
            </w:r>
          </w:p>
        </w:tc>
        <w:tc>
          <w:tcPr>
            <w:tcW w:w="950" w:type="dxa"/>
          </w:tcPr>
          <w:p w14:paraId="0BE80BD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5.1</w:t>
            </w:r>
          </w:p>
        </w:tc>
        <w:tc>
          <w:tcPr>
            <w:tcW w:w="976" w:type="dxa"/>
          </w:tcPr>
          <w:p w14:paraId="601BEF7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c>
          <w:tcPr>
            <w:tcW w:w="950" w:type="dxa"/>
          </w:tcPr>
          <w:p w14:paraId="2ABF257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c>
          <w:tcPr>
            <w:tcW w:w="1056" w:type="dxa"/>
          </w:tcPr>
          <w:p w14:paraId="020E042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60</w:t>
            </w:r>
          </w:p>
        </w:tc>
      </w:tr>
      <w:tr w:rsidR="000802ED" w14:paraId="795B327F" w14:textId="77777777" w:rsidTr="00637B69">
        <w:tc>
          <w:tcPr>
            <w:cnfStyle w:val="001000000000" w:firstRow="0" w:lastRow="0" w:firstColumn="1" w:lastColumn="0" w:oddVBand="0" w:evenVBand="0" w:oddHBand="0" w:evenHBand="0" w:firstRowFirstColumn="0" w:firstRowLastColumn="0" w:lastRowFirstColumn="0" w:lastRowLastColumn="0"/>
            <w:tcW w:w="943" w:type="dxa"/>
          </w:tcPr>
          <w:p w14:paraId="27812030" w14:textId="77777777" w:rsidR="000802ED" w:rsidRDefault="000802ED" w:rsidP="00637B69">
            <w:pPr>
              <w:pStyle w:val="ListParagraph"/>
              <w:numPr>
                <w:ilvl w:val="0"/>
                <w:numId w:val="32"/>
              </w:numPr>
              <w:jc w:val="left"/>
            </w:pPr>
          </w:p>
        </w:tc>
        <w:tc>
          <w:tcPr>
            <w:tcW w:w="843" w:type="dxa"/>
          </w:tcPr>
          <w:p w14:paraId="1FBCAC2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Ag</w:t>
            </w:r>
          </w:p>
        </w:tc>
        <w:tc>
          <w:tcPr>
            <w:tcW w:w="869" w:type="dxa"/>
          </w:tcPr>
          <w:p w14:paraId="242612E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8</w:t>
            </w:r>
          </w:p>
        </w:tc>
        <w:tc>
          <w:tcPr>
            <w:tcW w:w="869" w:type="dxa"/>
          </w:tcPr>
          <w:p w14:paraId="63B0694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lang w:val="en-CA"/>
              </w:rPr>
              <w:t>8.6</w:t>
            </w:r>
          </w:p>
        </w:tc>
        <w:tc>
          <w:tcPr>
            <w:tcW w:w="869" w:type="dxa"/>
          </w:tcPr>
          <w:p w14:paraId="01C4CE6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lang w:val="en-CA"/>
              </w:rPr>
              <w:t>0</w:t>
            </w:r>
          </w:p>
        </w:tc>
        <w:tc>
          <w:tcPr>
            <w:tcW w:w="1030" w:type="dxa"/>
          </w:tcPr>
          <w:p w14:paraId="762FCD1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20.1</w:t>
            </w:r>
          </w:p>
        </w:tc>
        <w:tc>
          <w:tcPr>
            <w:tcW w:w="950" w:type="dxa"/>
          </w:tcPr>
          <w:p w14:paraId="22DBCC9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5.1</w:t>
            </w:r>
          </w:p>
        </w:tc>
        <w:tc>
          <w:tcPr>
            <w:tcW w:w="976" w:type="dxa"/>
          </w:tcPr>
          <w:p w14:paraId="65458B1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c>
          <w:tcPr>
            <w:tcW w:w="950" w:type="dxa"/>
          </w:tcPr>
          <w:p w14:paraId="37F6967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c>
          <w:tcPr>
            <w:tcW w:w="1056" w:type="dxa"/>
          </w:tcPr>
          <w:p w14:paraId="09F78FF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60</w:t>
            </w:r>
          </w:p>
        </w:tc>
      </w:tr>
      <w:tr w:rsidR="000802ED" w14:paraId="105C10AF" w14:textId="77777777" w:rsidTr="00637B69">
        <w:tc>
          <w:tcPr>
            <w:cnfStyle w:val="001000000000" w:firstRow="0" w:lastRow="0" w:firstColumn="1" w:lastColumn="0" w:oddVBand="0" w:evenVBand="0" w:oddHBand="0" w:evenHBand="0" w:firstRowFirstColumn="0" w:firstRowLastColumn="0" w:lastRowFirstColumn="0" w:lastRowLastColumn="0"/>
            <w:tcW w:w="943" w:type="dxa"/>
          </w:tcPr>
          <w:p w14:paraId="3AAD39AF" w14:textId="77777777" w:rsidR="000802ED" w:rsidRDefault="000802ED" w:rsidP="00637B69">
            <w:pPr>
              <w:pStyle w:val="ListParagraph"/>
              <w:numPr>
                <w:ilvl w:val="0"/>
                <w:numId w:val="32"/>
              </w:numPr>
              <w:jc w:val="left"/>
            </w:pPr>
          </w:p>
        </w:tc>
        <w:tc>
          <w:tcPr>
            <w:tcW w:w="843" w:type="dxa"/>
          </w:tcPr>
          <w:p w14:paraId="228AB8A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lang w:val="en-CA"/>
              </w:rPr>
              <w:t>Si</w:t>
            </w:r>
          </w:p>
        </w:tc>
        <w:tc>
          <w:tcPr>
            <w:tcW w:w="869" w:type="dxa"/>
          </w:tcPr>
          <w:p w14:paraId="3EDBB75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100</w:t>
            </w:r>
          </w:p>
        </w:tc>
        <w:tc>
          <w:tcPr>
            <w:tcW w:w="869" w:type="dxa"/>
          </w:tcPr>
          <w:p w14:paraId="0E154D11"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w:t>
            </w:r>
          </w:p>
        </w:tc>
        <w:tc>
          <w:tcPr>
            <w:tcW w:w="869" w:type="dxa"/>
          </w:tcPr>
          <w:p w14:paraId="623A2B1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w:t>
            </w:r>
          </w:p>
        </w:tc>
        <w:tc>
          <w:tcPr>
            <w:tcW w:w="1030" w:type="dxa"/>
          </w:tcPr>
          <w:p w14:paraId="6C93E7BF"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25.1</w:t>
            </w:r>
          </w:p>
        </w:tc>
        <w:tc>
          <w:tcPr>
            <w:tcW w:w="950" w:type="dxa"/>
          </w:tcPr>
          <w:p w14:paraId="012E74C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5.0</w:t>
            </w:r>
          </w:p>
        </w:tc>
        <w:tc>
          <w:tcPr>
            <w:tcW w:w="976" w:type="dxa"/>
          </w:tcPr>
          <w:p w14:paraId="6E431A29"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50</w:t>
            </w:r>
          </w:p>
        </w:tc>
        <w:tc>
          <w:tcPr>
            <w:tcW w:w="950" w:type="dxa"/>
          </w:tcPr>
          <w:p w14:paraId="1F4F7A41"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150</w:t>
            </w:r>
          </w:p>
        </w:tc>
        <w:tc>
          <w:tcPr>
            <w:tcW w:w="1056" w:type="dxa"/>
          </w:tcPr>
          <w:p w14:paraId="4711C915"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1800</w:t>
            </w:r>
          </w:p>
        </w:tc>
      </w:tr>
      <w:tr w:rsidR="000802ED" w14:paraId="15C20F48" w14:textId="77777777" w:rsidTr="00637B69">
        <w:tc>
          <w:tcPr>
            <w:cnfStyle w:val="001000000000" w:firstRow="0" w:lastRow="0" w:firstColumn="1" w:lastColumn="0" w:oddVBand="0" w:evenVBand="0" w:oddHBand="0" w:evenHBand="0" w:firstRowFirstColumn="0" w:firstRowLastColumn="0" w:lastRowFirstColumn="0" w:lastRowLastColumn="0"/>
            <w:tcW w:w="943" w:type="dxa"/>
          </w:tcPr>
          <w:p w14:paraId="36F8CC30" w14:textId="77777777" w:rsidR="000802ED" w:rsidRDefault="000802ED" w:rsidP="00637B69">
            <w:pPr>
              <w:pStyle w:val="ListParagraph"/>
              <w:numPr>
                <w:ilvl w:val="0"/>
                <w:numId w:val="32"/>
              </w:numPr>
              <w:jc w:val="left"/>
            </w:pPr>
          </w:p>
        </w:tc>
        <w:tc>
          <w:tcPr>
            <w:tcW w:w="843" w:type="dxa"/>
          </w:tcPr>
          <w:p w14:paraId="01BE134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lang w:val="en-CA"/>
              </w:rPr>
              <w:t>Si</w:t>
            </w:r>
          </w:p>
        </w:tc>
        <w:tc>
          <w:tcPr>
            <w:tcW w:w="869" w:type="dxa"/>
          </w:tcPr>
          <w:p w14:paraId="73F622F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50</w:t>
            </w:r>
          </w:p>
        </w:tc>
        <w:tc>
          <w:tcPr>
            <w:tcW w:w="869" w:type="dxa"/>
          </w:tcPr>
          <w:p w14:paraId="44A95DD1"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50</w:t>
            </w:r>
          </w:p>
        </w:tc>
        <w:tc>
          <w:tcPr>
            <w:tcW w:w="869" w:type="dxa"/>
          </w:tcPr>
          <w:p w14:paraId="3080E8E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w:t>
            </w:r>
          </w:p>
        </w:tc>
        <w:tc>
          <w:tcPr>
            <w:tcW w:w="1030" w:type="dxa"/>
          </w:tcPr>
          <w:p w14:paraId="5C74A94F"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25.1</w:t>
            </w:r>
          </w:p>
        </w:tc>
        <w:tc>
          <w:tcPr>
            <w:tcW w:w="950" w:type="dxa"/>
          </w:tcPr>
          <w:p w14:paraId="0290140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2.0</w:t>
            </w:r>
          </w:p>
        </w:tc>
        <w:tc>
          <w:tcPr>
            <w:tcW w:w="976" w:type="dxa"/>
          </w:tcPr>
          <w:p w14:paraId="6C5DA36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50</w:t>
            </w:r>
          </w:p>
        </w:tc>
        <w:tc>
          <w:tcPr>
            <w:tcW w:w="950" w:type="dxa"/>
          </w:tcPr>
          <w:p w14:paraId="5F52126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200</w:t>
            </w:r>
          </w:p>
        </w:tc>
        <w:tc>
          <w:tcPr>
            <w:tcW w:w="1056" w:type="dxa"/>
          </w:tcPr>
          <w:p w14:paraId="6A994A3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900</w:t>
            </w:r>
          </w:p>
        </w:tc>
      </w:tr>
    </w:tbl>
    <w:p w14:paraId="50D10011" w14:textId="77777777" w:rsidR="000802ED" w:rsidRDefault="000802ED" w:rsidP="000802ED">
      <w:pPr>
        <w:pStyle w:val="TAMainText"/>
        <w:ind w:left="720" w:hanging="720"/>
        <w:jc w:val="left"/>
        <w:rPr>
          <w:rFonts w:ascii="Times New Roman" w:hAnsi="Times New Roman"/>
          <w:szCs w:val="24"/>
          <w:lang w:val="en-CA"/>
        </w:rPr>
      </w:pPr>
    </w:p>
    <w:p w14:paraId="7CFC6DE1" w14:textId="77777777" w:rsidR="000802ED" w:rsidRDefault="000802ED" w:rsidP="000802ED">
      <w:pPr>
        <w:pStyle w:val="TAMainText"/>
        <w:ind w:left="720" w:hanging="720"/>
        <w:jc w:val="left"/>
        <w:rPr>
          <w:rFonts w:ascii="Times New Roman" w:hAnsi="Times New Roman"/>
          <w:szCs w:val="24"/>
          <w:lang w:val="en-CA"/>
        </w:rPr>
      </w:pPr>
    </w:p>
    <w:p w14:paraId="7B104B8B" w14:textId="77777777" w:rsidR="000802ED" w:rsidRDefault="000802ED" w:rsidP="000802ED">
      <w:pPr>
        <w:pStyle w:val="TAMainText"/>
        <w:ind w:left="720" w:hanging="720"/>
        <w:jc w:val="left"/>
        <w:rPr>
          <w:rFonts w:ascii="Times New Roman" w:hAnsi="Times New Roman"/>
          <w:szCs w:val="24"/>
          <w:lang w:val="en-CA"/>
        </w:rPr>
      </w:pPr>
    </w:p>
    <w:p w14:paraId="3B2F089C" w14:textId="77777777" w:rsidR="000802ED" w:rsidRDefault="000802ED" w:rsidP="000802ED">
      <w:pPr>
        <w:pStyle w:val="TAMainText"/>
        <w:ind w:left="720" w:hanging="720"/>
        <w:jc w:val="left"/>
        <w:rPr>
          <w:rFonts w:ascii="Times New Roman" w:hAnsi="Times New Roman"/>
          <w:szCs w:val="24"/>
          <w:lang w:val="en-CA"/>
        </w:rPr>
      </w:pPr>
    </w:p>
    <w:p w14:paraId="166A1EEB" w14:textId="77777777" w:rsidR="000802ED" w:rsidRDefault="000802ED" w:rsidP="000802ED">
      <w:pPr>
        <w:spacing w:line="480" w:lineRule="auto"/>
        <w:ind w:left="720" w:hanging="720"/>
        <w:jc w:val="left"/>
        <w:outlineLvl w:val="0"/>
      </w:pPr>
      <w:r w:rsidRPr="2DE79879">
        <w:rPr>
          <w:rFonts w:eastAsia="Times" w:cs="Times"/>
          <w:b/>
          <w:bCs/>
          <w:lang w:val="en-CA"/>
        </w:rPr>
        <w:t>Table S2</w:t>
      </w:r>
      <w:r>
        <w:rPr>
          <w:rFonts w:eastAsia="Times" w:cs="Times"/>
          <w:b/>
          <w:bCs/>
          <w:lang w:val="en-CA"/>
        </w:rPr>
        <w:t>-a</w:t>
      </w:r>
      <w:r w:rsidRPr="2DE79879">
        <w:rPr>
          <w:rFonts w:eastAsia="Times" w:cs="Times"/>
          <w:b/>
          <w:bCs/>
          <w:lang w:val="en-CA"/>
        </w:rPr>
        <w:t xml:space="preserve">. </w:t>
      </w:r>
      <w:r w:rsidRPr="2DE79879">
        <w:rPr>
          <w:rFonts w:ascii="Times New Roman" w:hAnsi="Times New Roman"/>
          <w:lang w:val="en-CA"/>
        </w:rPr>
        <w:t>Deposition specifics</w:t>
      </w:r>
      <w:r>
        <w:rPr>
          <w:rFonts w:ascii="Times New Roman" w:hAnsi="Times New Roman"/>
          <w:lang w:val="en-CA"/>
        </w:rPr>
        <w:t xml:space="preserve"> for hydrogenated AlN</w:t>
      </w:r>
    </w:p>
    <w:tbl>
      <w:tblPr>
        <w:tblStyle w:val="GridTable1Light-Accent11"/>
        <w:tblW w:w="9405" w:type="dxa"/>
        <w:tblLayout w:type="fixed"/>
        <w:tblLook w:val="04A0" w:firstRow="1" w:lastRow="0" w:firstColumn="1" w:lastColumn="0" w:noHBand="0" w:noVBand="1"/>
      </w:tblPr>
      <w:tblGrid>
        <w:gridCol w:w="1165"/>
        <w:gridCol w:w="957"/>
        <w:gridCol w:w="1023"/>
        <w:gridCol w:w="1080"/>
        <w:gridCol w:w="1080"/>
        <w:gridCol w:w="1170"/>
        <w:gridCol w:w="990"/>
        <w:gridCol w:w="990"/>
        <w:gridCol w:w="950"/>
      </w:tblGrid>
      <w:tr w:rsidR="000802ED" w14:paraId="0B353AA3" w14:textId="77777777" w:rsidTr="00637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val="restart"/>
          </w:tcPr>
          <w:p w14:paraId="0030D379" w14:textId="77777777" w:rsidR="000802ED" w:rsidRDefault="000802ED" w:rsidP="00637B69">
            <w:pPr>
              <w:jc w:val="left"/>
            </w:pPr>
            <w:r w:rsidRPr="2DE79879">
              <w:rPr>
                <w:rFonts w:ascii="Times New Roman" w:hAnsi="Times New Roman"/>
              </w:rPr>
              <w:t>Material</w:t>
            </w:r>
          </w:p>
        </w:tc>
        <w:tc>
          <w:tcPr>
            <w:tcW w:w="957" w:type="dxa"/>
            <w:vMerge w:val="restart"/>
          </w:tcPr>
          <w:p w14:paraId="6C2D81FA"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Target</w:t>
            </w:r>
          </w:p>
        </w:tc>
        <w:tc>
          <w:tcPr>
            <w:tcW w:w="3183" w:type="dxa"/>
            <w:gridSpan w:val="3"/>
          </w:tcPr>
          <w:p w14:paraId="28E0366E"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Gas Ratio</w:t>
            </w:r>
          </w:p>
        </w:tc>
        <w:tc>
          <w:tcPr>
            <w:tcW w:w="2160" w:type="dxa"/>
            <w:gridSpan w:val="2"/>
          </w:tcPr>
          <w:p w14:paraId="3C94DD52"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Pressure (</w:t>
            </w:r>
            <w:proofErr w:type="spellStart"/>
            <w:r w:rsidRPr="2DE79879">
              <w:rPr>
                <w:rFonts w:ascii="Times New Roman" w:hAnsi="Times New Roman"/>
              </w:rPr>
              <w:t>mTorr</w:t>
            </w:r>
            <w:proofErr w:type="spellEnd"/>
            <w:r w:rsidRPr="2DE79879">
              <w:rPr>
                <w:rFonts w:ascii="Times New Roman" w:hAnsi="Times New Roman"/>
              </w:rPr>
              <w:t>)</w:t>
            </w:r>
          </w:p>
        </w:tc>
        <w:tc>
          <w:tcPr>
            <w:tcW w:w="1940" w:type="dxa"/>
            <w:gridSpan w:val="2"/>
          </w:tcPr>
          <w:p w14:paraId="35FB77F1"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RF Power (W)</w:t>
            </w:r>
          </w:p>
        </w:tc>
      </w:tr>
      <w:tr w:rsidR="000802ED" w14:paraId="33BA2087" w14:textId="77777777" w:rsidTr="00637B69">
        <w:trPr>
          <w:trHeight w:val="420"/>
        </w:trPr>
        <w:tc>
          <w:tcPr>
            <w:cnfStyle w:val="001000000000" w:firstRow="0" w:lastRow="0" w:firstColumn="1" w:lastColumn="0" w:oddVBand="0" w:evenVBand="0" w:oddHBand="0" w:evenHBand="0" w:firstRowFirstColumn="0" w:firstRowLastColumn="0" w:lastRowFirstColumn="0" w:lastRowLastColumn="0"/>
            <w:tcW w:w="1165" w:type="dxa"/>
            <w:vMerge/>
          </w:tcPr>
          <w:p w14:paraId="141729C7" w14:textId="77777777" w:rsidR="000802ED" w:rsidRDefault="000802ED" w:rsidP="00637B69">
            <w:pPr>
              <w:jc w:val="left"/>
            </w:pPr>
          </w:p>
        </w:tc>
        <w:tc>
          <w:tcPr>
            <w:tcW w:w="957" w:type="dxa"/>
            <w:vMerge/>
          </w:tcPr>
          <w:p w14:paraId="57AA715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p>
        </w:tc>
        <w:tc>
          <w:tcPr>
            <w:tcW w:w="1023" w:type="dxa"/>
          </w:tcPr>
          <w:p w14:paraId="40CBCDD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2DE79879">
              <w:rPr>
                <w:rFonts w:ascii="Times New Roman" w:hAnsi="Times New Roman"/>
              </w:rPr>
              <w:t>Ar (sccm)</w:t>
            </w:r>
          </w:p>
        </w:tc>
        <w:tc>
          <w:tcPr>
            <w:tcW w:w="1080" w:type="dxa"/>
          </w:tcPr>
          <w:p w14:paraId="65A538E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N</w:t>
            </w:r>
            <w:r w:rsidRPr="2DE79879">
              <w:rPr>
                <w:rFonts w:ascii="Times New Roman" w:hAnsi="Times New Roman"/>
                <w:vertAlign w:val="subscript"/>
              </w:rPr>
              <w:t xml:space="preserve">2 </w:t>
            </w:r>
            <w:r w:rsidRPr="2DE79879">
              <w:rPr>
                <w:rFonts w:ascii="Times New Roman" w:hAnsi="Times New Roman"/>
              </w:rPr>
              <w:t>(sccm)</w:t>
            </w:r>
          </w:p>
        </w:tc>
        <w:tc>
          <w:tcPr>
            <w:tcW w:w="1080" w:type="dxa"/>
          </w:tcPr>
          <w:p w14:paraId="0E85CB4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H</w:t>
            </w:r>
            <w:r w:rsidRPr="2DE79879">
              <w:rPr>
                <w:rFonts w:ascii="Times New Roman" w:hAnsi="Times New Roman"/>
                <w:vertAlign w:val="subscript"/>
              </w:rPr>
              <w:t>2</w:t>
            </w:r>
            <w:r w:rsidRPr="2DE79879">
              <w:rPr>
                <w:rFonts w:ascii="Times New Roman" w:hAnsi="Times New Roman"/>
              </w:rPr>
              <w:t xml:space="preserve"> (sccm)</w:t>
            </w:r>
          </w:p>
        </w:tc>
        <w:tc>
          <w:tcPr>
            <w:tcW w:w="1170" w:type="dxa"/>
          </w:tcPr>
          <w:p w14:paraId="3DD4C50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Ignition </w:t>
            </w:r>
          </w:p>
        </w:tc>
        <w:tc>
          <w:tcPr>
            <w:tcW w:w="990" w:type="dxa"/>
          </w:tcPr>
          <w:p w14:paraId="2696792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Process </w:t>
            </w:r>
          </w:p>
        </w:tc>
        <w:tc>
          <w:tcPr>
            <w:tcW w:w="990" w:type="dxa"/>
          </w:tcPr>
          <w:p w14:paraId="75B2931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Ignition </w:t>
            </w:r>
          </w:p>
        </w:tc>
        <w:tc>
          <w:tcPr>
            <w:tcW w:w="950" w:type="dxa"/>
          </w:tcPr>
          <w:p w14:paraId="5EC12BC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Process </w:t>
            </w:r>
          </w:p>
        </w:tc>
      </w:tr>
      <w:tr w:rsidR="000802ED" w14:paraId="7EAEE379" w14:textId="77777777" w:rsidTr="00637B69">
        <w:tc>
          <w:tcPr>
            <w:cnfStyle w:val="001000000000" w:firstRow="0" w:lastRow="0" w:firstColumn="1" w:lastColumn="0" w:oddVBand="0" w:evenVBand="0" w:oddHBand="0" w:evenHBand="0" w:firstRowFirstColumn="0" w:firstRowLastColumn="0" w:lastRowFirstColumn="0" w:lastRowLastColumn="0"/>
            <w:tcW w:w="1165" w:type="dxa"/>
          </w:tcPr>
          <w:p w14:paraId="067EB8B5" w14:textId="77777777" w:rsidR="000802ED" w:rsidRDefault="000802ED" w:rsidP="00637B69">
            <w:pPr>
              <w:jc w:val="left"/>
            </w:pPr>
            <w:r w:rsidRPr="2DE79879">
              <w:rPr>
                <w:rFonts w:ascii="Times New Roman" w:hAnsi="Times New Roman"/>
              </w:rPr>
              <w:t>Ag</w:t>
            </w:r>
          </w:p>
        </w:tc>
        <w:tc>
          <w:tcPr>
            <w:tcW w:w="957" w:type="dxa"/>
          </w:tcPr>
          <w:p w14:paraId="4680AD2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Ag</w:t>
            </w:r>
          </w:p>
        </w:tc>
        <w:tc>
          <w:tcPr>
            <w:tcW w:w="1023" w:type="dxa"/>
          </w:tcPr>
          <w:p w14:paraId="518084B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8</w:t>
            </w:r>
          </w:p>
        </w:tc>
        <w:tc>
          <w:tcPr>
            <w:tcW w:w="1080" w:type="dxa"/>
          </w:tcPr>
          <w:p w14:paraId="4A714E5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rPr>
              <w:t>8.6</w:t>
            </w:r>
          </w:p>
        </w:tc>
        <w:tc>
          <w:tcPr>
            <w:tcW w:w="1080" w:type="dxa"/>
          </w:tcPr>
          <w:p w14:paraId="77D7D105"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0</w:t>
            </w:r>
          </w:p>
        </w:tc>
        <w:tc>
          <w:tcPr>
            <w:tcW w:w="1170" w:type="dxa"/>
          </w:tcPr>
          <w:p w14:paraId="2D7AB67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20.1</w:t>
            </w:r>
          </w:p>
        </w:tc>
        <w:tc>
          <w:tcPr>
            <w:tcW w:w="990" w:type="dxa"/>
          </w:tcPr>
          <w:p w14:paraId="57B69A4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5.1</w:t>
            </w:r>
          </w:p>
        </w:tc>
        <w:tc>
          <w:tcPr>
            <w:tcW w:w="990" w:type="dxa"/>
          </w:tcPr>
          <w:p w14:paraId="134914E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c>
          <w:tcPr>
            <w:tcW w:w="950" w:type="dxa"/>
          </w:tcPr>
          <w:p w14:paraId="75B36822"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r>
      <w:tr w:rsidR="000802ED" w14:paraId="00BB3D12" w14:textId="77777777" w:rsidTr="00637B69">
        <w:tc>
          <w:tcPr>
            <w:cnfStyle w:val="001000000000" w:firstRow="0" w:lastRow="0" w:firstColumn="1" w:lastColumn="0" w:oddVBand="0" w:evenVBand="0" w:oddHBand="0" w:evenHBand="0" w:firstRowFirstColumn="0" w:firstRowLastColumn="0" w:lastRowFirstColumn="0" w:lastRowLastColumn="0"/>
            <w:tcW w:w="1165" w:type="dxa"/>
          </w:tcPr>
          <w:p w14:paraId="1659945E" w14:textId="77777777" w:rsidR="000802ED" w:rsidRDefault="000802ED" w:rsidP="00637B69">
            <w:pPr>
              <w:jc w:val="left"/>
            </w:pPr>
            <w:r>
              <w:rPr>
                <w:rFonts w:ascii="Times New Roman" w:hAnsi="Times New Roman"/>
              </w:rPr>
              <w:t>AlN</w:t>
            </w:r>
          </w:p>
        </w:tc>
        <w:tc>
          <w:tcPr>
            <w:tcW w:w="957" w:type="dxa"/>
          </w:tcPr>
          <w:p w14:paraId="059D93E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Al</w:t>
            </w:r>
          </w:p>
        </w:tc>
        <w:tc>
          <w:tcPr>
            <w:tcW w:w="1023" w:type="dxa"/>
          </w:tcPr>
          <w:p w14:paraId="094079F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15</w:t>
            </w:r>
          </w:p>
        </w:tc>
        <w:tc>
          <w:tcPr>
            <w:tcW w:w="1080" w:type="dxa"/>
          </w:tcPr>
          <w:p w14:paraId="09929E51"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rPr>
              <w:t>3.6</w:t>
            </w:r>
          </w:p>
        </w:tc>
        <w:tc>
          <w:tcPr>
            <w:tcW w:w="1080" w:type="dxa"/>
          </w:tcPr>
          <w:p w14:paraId="58D050C2"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rPr>
              <w:t>0.7</w:t>
            </w:r>
          </w:p>
        </w:tc>
        <w:tc>
          <w:tcPr>
            <w:tcW w:w="1170" w:type="dxa"/>
          </w:tcPr>
          <w:p w14:paraId="4AB6F951"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20.1</w:t>
            </w:r>
          </w:p>
        </w:tc>
        <w:tc>
          <w:tcPr>
            <w:tcW w:w="990" w:type="dxa"/>
          </w:tcPr>
          <w:p w14:paraId="68878645"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5.1</w:t>
            </w:r>
          </w:p>
        </w:tc>
        <w:tc>
          <w:tcPr>
            <w:tcW w:w="990" w:type="dxa"/>
          </w:tcPr>
          <w:p w14:paraId="3236E9D9"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250</w:t>
            </w:r>
          </w:p>
        </w:tc>
        <w:tc>
          <w:tcPr>
            <w:tcW w:w="950" w:type="dxa"/>
          </w:tcPr>
          <w:p w14:paraId="7FB5E911"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250</w:t>
            </w:r>
          </w:p>
        </w:tc>
      </w:tr>
    </w:tbl>
    <w:p w14:paraId="2A2293D0" w14:textId="77777777" w:rsidR="000802ED" w:rsidRDefault="000802ED" w:rsidP="000802ED">
      <w:pPr>
        <w:spacing w:line="480" w:lineRule="auto"/>
        <w:jc w:val="left"/>
        <w:rPr>
          <w:b/>
          <w:bCs/>
        </w:rPr>
      </w:pPr>
    </w:p>
    <w:p w14:paraId="0B8D55DA" w14:textId="77777777" w:rsidR="000802ED" w:rsidRDefault="000802ED" w:rsidP="000802ED">
      <w:pPr>
        <w:spacing w:line="480" w:lineRule="auto"/>
        <w:ind w:left="720" w:hanging="720"/>
        <w:jc w:val="left"/>
        <w:outlineLvl w:val="0"/>
      </w:pPr>
      <w:r w:rsidRPr="2DE79879">
        <w:rPr>
          <w:rFonts w:eastAsia="Times" w:cs="Times"/>
          <w:b/>
          <w:bCs/>
          <w:lang w:val="en-CA"/>
        </w:rPr>
        <w:t>Table S2</w:t>
      </w:r>
      <w:r>
        <w:rPr>
          <w:rFonts w:eastAsia="Times" w:cs="Times"/>
          <w:b/>
          <w:bCs/>
          <w:lang w:val="en-CA"/>
        </w:rPr>
        <w:t>-b</w:t>
      </w:r>
      <w:r w:rsidRPr="2DE79879">
        <w:rPr>
          <w:rFonts w:eastAsia="Times" w:cs="Times"/>
          <w:b/>
          <w:bCs/>
          <w:lang w:val="en-CA"/>
        </w:rPr>
        <w:t xml:space="preserve">. </w:t>
      </w:r>
      <w:r w:rsidRPr="2DE79879">
        <w:rPr>
          <w:rFonts w:ascii="Times New Roman" w:hAnsi="Times New Roman"/>
          <w:lang w:val="en-CA"/>
        </w:rPr>
        <w:t>Deposition specifics</w:t>
      </w:r>
      <w:r>
        <w:rPr>
          <w:rFonts w:ascii="Times New Roman" w:hAnsi="Times New Roman"/>
          <w:lang w:val="en-CA"/>
        </w:rPr>
        <w:t xml:space="preserve"> for SiNx</w:t>
      </w:r>
    </w:p>
    <w:tbl>
      <w:tblPr>
        <w:tblStyle w:val="GridTable1Light-Accent11"/>
        <w:tblW w:w="9405" w:type="dxa"/>
        <w:tblLayout w:type="fixed"/>
        <w:tblLook w:val="04A0" w:firstRow="1" w:lastRow="0" w:firstColumn="1" w:lastColumn="0" w:noHBand="0" w:noVBand="1"/>
      </w:tblPr>
      <w:tblGrid>
        <w:gridCol w:w="1165"/>
        <w:gridCol w:w="957"/>
        <w:gridCol w:w="1023"/>
        <w:gridCol w:w="1080"/>
        <w:gridCol w:w="1080"/>
        <w:gridCol w:w="1170"/>
        <w:gridCol w:w="990"/>
        <w:gridCol w:w="990"/>
        <w:gridCol w:w="950"/>
      </w:tblGrid>
      <w:tr w:rsidR="000802ED" w14:paraId="0A8135B9" w14:textId="77777777" w:rsidTr="00637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val="restart"/>
          </w:tcPr>
          <w:p w14:paraId="48234F85" w14:textId="77777777" w:rsidR="000802ED" w:rsidRDefault="000802ED" w:rsidP="00637B69">
            <w:pPr>
              <w:jc w:val="left"/>
            </w:pPr>
            <w:r w:rsidRPr="2DE79879">
              <w:rPr>
                <w:rFonts w:ascii="Times New Roman" w:hAnsi="Times New Roman"/>
              </w:rPr>
              <w:t>Material</w:t>
            </w:r>
          </w:p>
        </w:tc>
        <w:tc>
          <w:tcPr>
            <w:tcW w:w="957" w:type="dxa"/>
            <w:vMerge w:val="restart"/>
          </w:tcPr>
          <w:p w14:paraId="0DAE6FCF"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Target</w:t>
            </w:r>
          </w:p>
        </w:tc>
        <w:tc>
          <w:tcPr>
            <w:tcW w:w="3183" w:type="dxa"/>
            <w:gridSpan w:val="3"/>
          </w:tcPr>
          <w:p w14:paraId="780402C1"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Gas Ratio</w:t>
            </w:r>
          </w:p>
        </w:tc>
        <w:tc>
          <w:tcPr>
            <w:tcW w:w="2160" w:type="dxa"/>
            <w:gridSpan w:val="2"/>
          </w:tcPr>
          <w:p w14:paraId="4CEAACE9"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Pressure (</w:t>
            </w:r>
            <w:proofErr w:type="spellStart"/>
            <w:r w:rsidRPr="2DE79879">
              <w:rPr>
                <w:rFonts w:ascii="Times New Roman" w:hAnsi="Times New Roman"/>
              </w:rPr>
              <w:t>mTorr</w:t>
            </w:r>
            <w:proofErr w:type="spellEnd"/>
            <w:r w:rsidRPr="2DE79879">
              <w:rPr>
                <w:rFonts w:ascii="Times New Roman" w:hAnsi="Times New Roman"/>
              </w:rPr>
              <w:t>)</w:t>
            </w:r>
          </w:p>
        </w:tc>
        <w:tc>
          <w:tcPr>
            <w:tcW w:w="1940" w:type="dxa"/>
            <w:gridSpan w:val="2"/>
          </w:tcPr>
          <w:p w14:paraId="61F837CA"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DE79879">
              <w:rPr>
                <w:rFonts w:ascii="Times New Roman" w:hAnsi="Times New Roman"/>
              </w:rPr>
              <w:t>RF Power (W)</w:t>
            </w:r>
          </w:p>
        </w:tc>
      </w:tr>
      <w:tr w:rsidR="000802ED" w14:paraId="3AEFC078" w14:textId="77777777" w:rsidTr="00637B69">
        <w:trPr>
          <w:trHeight w:val="420"/>
        </w:trPr>
        <w:tc>
          <w:tcPr>
            <w:cnfStyle w:val="001000000000" w:firstRow="0" w:lastRow="0" w:firstColumn="1" w:lastColumn="0" w:oddVBand="0" w:evenVBand="0" w:oddHBand="0" w:evenHBand="0" w:firstRowFirstColumn="0" w:firstRowLastColumn="0" w:lastRowFirstColumn="0" w:lastRowLastColumn="0"/>
            <w:tcW w:w="1165" w:type="dxa"/>
            <w:vMerge/>
          </w:tcPr>
          <w:p w14:paraId="19F6BEEB" w14:textId="77777777" w:rsidR="000802ED" w:rsidRDefault="000802ED" w:rsidP="00637B69">
            <w:pPr>
              <w:jc w:val="left"/>
            </w:pPr>
          </w:p>
        </w:tc>
        <w:tc>
          <w:tcPr>
            <w:tcW w:w="957" w:type="dxa"/>
            <w:vMerge/>
          </w:tcPr>
          <w:p w14:paraId="2A070681"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p>
        </w:tc>
        <w:tc>
          <w:tcPr>
            <w:tcW w:w="1023" w:type="dxa"/>
          </w:tcPr>
          <w:p w14:paraId="6A91412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2DE79879">
              <w:rPr>
                <w:rFonts w:ascii="Times New Roman" w:hAnsi="Times New Roman"/>
              </w:rPr>
              <w:t>Ar (sccm)</w:t>
            </w:r>
          </w:p>
        </w:tc>
        <w:tc>
          <w:tcPr>
            <w:tcW w:w="1080" w:type="dxa"/>
          </w:tcPr>
          <w:p w14:paraId="617C66A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N</w:t>
            </w:r>
            <w:r w:rsidRPr="2DE79879">
              <w:rPr>
                <w:rFonts w:ascii="Times New Roman" w:hAnsi="Times New Roman"/>
                <w:vertAlign w:val="subscript"/>
              </w:rPr>
              <w:t xml:space="preserve">2 </w:t>
            </w:r>
            <w:r w:rsidRPr="2DE79879">
              <w:rPr>
                <w:rFonts w:ascii="Times New Roman" w:hAnsi="Times New Roman"/>
              </w:rPr>
              <w:t>(sccm)</w:t>
            </w:r>
          </w:p>
        </w:tc>
        <w:tc>
          <w:tcPr>
            <w:tcW w:w="1080" w:type="dxa"/>
          </w:tcPr>
          <w:p w14:paraId="7C7B026F"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H</w:t>
            </w:r>
            <w:r w:rsidRPr="2DE79879">
              <w:rPr>
                <w:rFonts w:ascii="Times New Roman" w:hAnsi="Times New Roman"/>
                <w:vertAlign w:val="subscript"/>
              </w:rPr>
              <w:t>2</w:t>
            </w:r>
            <w:r w:rsidRPr="2DE79879">
              <w:rPr>
                <w:rFonts w:ascii="Times New Roman" w:hAnsi="Times New Roman"/>
              </w:rPr>
              <w:t xml:space="preserve"> (sccm)</w:t>
            </w:r>
          </w:p>
        </w:tc>
        <w:tc>
          <w:tcPr>
            <w:tcW w:w="1170" w:type="dxa"/>
          </w:tcPr>
          <w:p w14:paraId="1619608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Ignition </w:t>
            </w:r>
          </w:p>
        </w:tc>
        <w:tc>
          <w:tcPr>
            <w:tcW w:w="990" w:type="dxa"/>
          </w:tcPr>
          <w:p w14:paraId="6697D1D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Process </w:t>
            </w:r>
          </w:p>
        </w:tc>
        <w:tc>
          <w:tcPr>
            <w:tcW w:w="990" w:type="dxa"/>
          </w:tcPr>
          <w:p w14:paraId="695ACA1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Ignition </w:t>
            </w:r>
          </w:p>
        </w:tc>
        <w:tc>
          <w:tcPr>
            <w:tcW w:w="950" w:type="dxa"/>
          </w:tcPr>
          <w:p w14:paraId="5B071CF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 xml:space="preserve">Process </w:t>
            </w:r>
          </w:p>
        </w:tc>
      </w:tr>
      <w:tr w:rsidR="000802ED" w14:paraId="440F7DC9" w14:textId="77777777" w:rsidTr="00637B69">
        <w:tc>
          <w:tcPr>
            <w:cnfStyle w:val="001000000000" w:firstRow="0" w:lastRow="0" w:firstColumn="1" w:lastColumn="0" w:oddVBand="0" w:evenVBand="0" w:oddHBand="0" w:evenHBand="0" w:firstRowFirstColumn="0" w:firstRowLastColumn="0" w:lastRowFirstColumn="0" w:lastRowLastColumn="0"/>
            <w:tcW w:w="1165" w:type="dxa"/>
          </w:tcPr>
          <w:p w14:paraId="1AB79C07" w14:textId="77777777" w:rsidR="000802ED" w:rsidRDefault="000802ED" w:rsidP="00637B69">
            <w:pPr>
              <w:jc w:val="left"/>
            </w:pPr>
            <w:r w:rsidRPr="2DE79879">
              <w:rPr>
                <w:rFonts w:ascii="Times New Roman" w:hAnsi="Times New Roman"/>
              </w:rPr>
              <w:t>Ag</w:t>
            </w:r>
          </w:p>
        </w:tc>
        <w:tc>
          <w:tcPr>
            <w:tcW w:w="957" w:type="dxa"/>
          </w:tcPr>
          <w:p w14:paraId="10E9899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Ag</w:t>
            </w:r>
          </w:p>
        </w:tc>
        <w:tc>
          <w:tcPr>
            <w:tcW w:w="1023" w:type="dxa"/>
          </w:tcPr>
          <w:p w14:paraId="6A513A6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8</w:t>
            </w:r>
          </w:p>
        </w:tc>
        <w:tc>
          <w:tcPr>
            <w:tcW w:w="1080" w:type="dxa"/>
          </w:tcPr>
          <w:p w14:paraId="493A709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rPr>
              <w:t>8.6</w:t>
            </w:r>
          </w:p>
        </w:tc>
        <w:tc>
          <w:tcPr>
            <w:tcW w:w="1080" w:type="dxa"/>
          </w:tcPr>
          <w:p w14:paraId="61FEFFC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0</w:t>
            </w:r>
          </w:p>
        </w:tc>
        <w:tc>
          <w:tcPr>
            <w:tcW w:w="1170" w:type="dxa"/>
          </w:tcPr>
          <w:p w14:paraId="0EA7D089"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20.1</w:t>
            </w:r>
          </w:p>
        </w:tc>
        <w:tc>
          <w:tcPr>
            <w:tcW w:w="990" w:type="dxa"/>
          </w:tcPr>
          <w:p w14:paraId="56F7DDA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5.1</w:t>
            </w:r>
          </w:p>
        </w:tc>
        <w:tc>
          <w:tcPr>
            <w:tcW w:w="990" w:type="dxa"/>
          </w:tcPr>
          <w:p w14:paraId="7E0021B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c>
          <w:tcPr>
            <w:tcW w:w="950" w:type="dxa"/>
          </w:tcPr>
          <w:p w14:paraId="661B6571"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DE79879">
              <w:rPr>
                <w:rFonts w:ascii="Times New Roman" w:hAnsi="Times New Roman"/>
              </w:rPr>
              <w:t>300</w:t>
            </w:r>
          </w:p>
        </w:tc>
      </w:tr>
      <w:tr w:rsidR="000802ED" w14:paraId="4980A98B" w14:textId="77777777" w:rsidTr="00637B69">
        <w:tc>
          <w:tcPr>
            <w:cnfStyle w:val="001000000000" w:firstRow="0" w:lastRow="0" w:firstColumn="1" w:lastColumn="0" w:oddVBand="0" w:evenVBand="0" w:oddHBand="0" w:evenHBand="0" w:firstRowFirstColumn="0" w:firstRowLastColumn="0" w:lastRowFirstColumn="0" w:lastRowLastColumn="0"/>
            <w:tcW w:w="1165" w:type="dxa"/>
          </w:tcPr>
          <w:p w14:paraId="21596AC7" w14:textId="77777777" w:rsidR="000802ED" w:rsidRDefault="000802ED" w:rsidP="00637B69">
            <w:pPr>
              <w:jc w:val="left"/>
            </w:pPr>
            <w:proofErr w:type="spellStart"/>
            <w:r>
              <w:rPr>
                <w:rFonts w:ascii="Times New Roman" w:hAnsi="Times New Roman"/>
              </w:rPr>
              <w:t>SiN</w:t>
            </w:r>
            <w:proofErr w:type="spellEnd"/>
          </w:p>
        </w:tc>
        <w:tc>
          <w:tcPr>
            <w:tcW w:w="957" w:type="dxa"/>
          </w:tcPr>
          <w:p w14:paraId="7E62173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hAnsi="Times New Roman"/>
              </w:rPr>
              <w:t>Si</w:t>
            </w:r>
          </w:p>
        </w:tc>
        <w:tc>
          <w:tcPr>
            <w:tcW w:w="1023" w:type="dxa"/>
          </w:tcPr>
          <w:p w14:paraId="1421079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50</w:t>
            </w:r>
          </w:p>
        </w:tc>
        <w:tc>
          <w:tcPr>
            <w:tcW w:w="1080" w:type="dxa"/>
          </w:tcPr>
          <w:p w14:paraId="522D4D0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50</w:t>
            </w:r>
          </w:p>
        </w:tc>
        <w:tc>
          <w:tcPr>
            <w:tcW w:w="1080" w:type="dxa"/>
          </w:tcPr>
          <w:p w14:paraId="2EF0D43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w:t>
            </w:r>
          </w:p>
        </w:tc>
        <w:tc>
          <w:tcPr>
            <w:tcW w:w="1170" w:type="dxa"/>
          </w:tcPr>
          <w:p w14:paraId="680A378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25.1</w:t>
            </w:r>
          </w:p>
        </w:tc>
        <w:tc>
          <w:tcPr>
            <w:tcW w:w="990" w:type="dxa"/>
          </w:tcPr>
          <w:p w14:paraId="6B01A91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2.0</w:t>
            </w:r>
          </w:p>
        </w:tc>
        <w:tc>
          <w:tcPr>
            <w:tcW w:w="990" w:type="dxa"/>
          </w:tcPr>
          <w:p w14:paraId="39C17A4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50</w:t>
            </w:r>
          </w:p>
        </w:tc>
        <w:tc>
          <w:tcPr>
            <w:tcW w:w="950" w:type="dxa"/>
          </w:tcPr>
          <w:p w14:paraId="4E7DC1C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200</w:t>
            </w:r>
          </w:p>
        </w:tc>
      </w:tr>
    </w:tbl>
    <w:p w14:paraId="67F50BB1" w14:textId="77777777" w:rsidR="000802ED" w:rsidRDefault="000802ED" w:rsidP="000802ED">
      <w:pPr>
        <w:spacing w:line="480" w:lineRule="auto"/>
        <w:jc w:val="left"/>
        <w:rPr>
          <w:b/>
          <w:bCs/>
        </w:rPr>
      </w:pPr>
    </w:p>
    <w:p w14:paraId="3ECE691B" w14:textId="77777777" w:rsidR="000802ED" w:rsidRDefault="000802ED" w:rsidP="000802ED">
      <w:pPr>
        <w:spacing w:line="480" w:lineRule="auto"/>
        <w:jc w:val="left"/>
        <w:outlineLvl w:val="0"/>
        <w:rPr>
          <w:rFonts w:ascii="Times New Roman" w:eastAsia="Times New Roman" w:hAnsi="Times New Roman"/>
        </w:rPr>
      </w:pPr>
      <w:r>
        <w:rPr>
          <w:b/>
          <w:bCs/>
        </w:rPr>
        <w:t xml:space="preserve">UV-Vis </w:t>
      </w:r>
    </w:p>
    <w:p w14:paraId="0FA3088E" w14:textId="77777777" w:rsidR="000802ED" w:rsidRDefault="000802ED" w:rsidP="000802ED">
      <w:pPr>
        <w:pStyle w:val="TAMainText"/>
        <w:jc w:val="left"/>
      </w:pPr>
      <w:r>
        <w:t xml:space="preserve">Perkin Elmer Lambda 1050 UV-Vis-NIR Spectrophotometer was used to carry out the transmittance and reflectance measurements. The transmittance was obtained using the 150mm </w:t>
      </w:r>
      <w:proofErr w:type="spellStart"/>
      <w:r>
        <w:t>InGaAs</w:t>
      </w:r>
      <w:proofErr w:type="spellEnd"/>
      <w:r>
        <w:t xml:space="preserve"> Integrating Sphere Accessory while the film-side reflectance was obtained from the Universal Reflectance Accessory. The optical measurements were carried out at intervals of 5 nm. For measurements between 200nm and 860nm, the response time of the UV-VIS detector is 0.52sec with a gain of 2.5. The baseline measurements of 0% transmittance, 100% transmittance, 0% reflectance, and 100% reflectance were collected before the transmittance and reflectance data. The absorption (A) was inferred from the transmittance (T) and reflectance (R) with the conservation of energy formula: </w:t>
      </w:r>
      <m:oMath>
        <m:r>
          <m:rPr>
            <m:sty m:val="p"/>
          </m:rPr>
          <w:rPr>
            <w:rFonts w:ascii="Cambria Math" w:hAnsi="Cambria Math"/>
          </w:rPr>
          <m:t>A=1-T-R.</m:t>
        </m:r>
      </m:oMath>
    </w:p>
    <w:p w14:paraId="7C8BD798" w14:textId="77777777" w:rsidR="000802ED" w:rsidRDefault="000802ED" w:rsidP="000802ED">
      <w:pPr>
        <w:spacing w:line="480" w:lineRule="auto"/>
        <w:jc w:val="left"/>
        <w:outlineLvl w:val="0"/>
        <w:rPr>
          <w:b/>
          <w:bCs/>
        </w:rPr>
      </w:pPr>
    </w:p>
    <w:p w14:paraId="1BDAE246" w14:textId="77777777" w:rsidR="000802ED" w:rsidRPr="006257F7" w:rsidRDefault="000802ED" w:rsidP="000802ED">
      <w:pPr>
        <w:spacing w:line="480" w:lineRule="auto"/>
        <w:jc w:val="left"/>
        <w:outlineLvl w:val="0"/>
        <w:rPr>
          <w:rFonts w:ascii="Times New Roman" w:eastAsia="Times New Roman" w:hAnsi="Times New Roman"/>
        </w:rPr>
      </w:pPr>
      <w:r>
        <w:rPr>
          <w:b/>
          <w:bCs/>
        </w:rPr>
        <w:t>Absorption Spectra</w:t>
      </w:r>
    </w:p>
    <w:p w14:paraId="37275B3E" w14:textId="77777777" w:rsidR="000802ED" w:rsidRDefault="000802ED" w:rsidP="000802ED">
      <w:pPr>
        <w:spacing w:line="480" w:lineRule="auto"/>
        <w:jc w:val="left"/>
        <w:rPr>
          <w:lang w:val="en-CA"/>
        </w:rPr>
      </w:pPr>
      <w:r>
        <w:t>W</w:t>
      </w:r>
      <w:r>
        <w:rPr>
          <w:lang w:val="en-CA"/>
        </w:rPr>
        <w:t>e observed that both the peak intensity and peak wavelength vary strongly with the thickness of the layers. In samples S2, S6, and S7 (Fig. 1k) – wherein the Ag layer is sandwiched between 20 nm AlN layers on either side – a clear decreasing trend in both peak intensity and peak wavelength is observed with decreasing Ag layer thickness. Further, for the thinnest 18 nm Ag layer (S7), the peak shifts into the UV and appears almost flat, which agrees well with results in the literature for thin 12 nm Ag layers (see Supplementary Information – Diffusion as Loss)</w:t>
      </w:r>
      <w:r>
        <w:t xml:space="preserve">. </w:t>
      </w:r>
      <w:r w:rsidRPr="002C75C9">
        <w:rPr>
          <w:lang w:val="en-CA"/>
        </w:rPr>
        <w:t xml:space="preserve">For samples S1-S5 with increasing dielectric thickness on bulk silver, the serial modes of constructive and destructive interferences cause the absorption intensities at ~500 nm wavelength to vary cyclically with dielectric thickness (Fig. 1f). These interference maxima and minima remain an important factor in the experimental results (Fig. 1j), wherein the ranking of absorption intensities among samples S1-S5 remain unchanged. However, the observed peaks (Fig. 1j) are much stronger, sharper, and more blue-shifted than those predicted by interference alone (Fig. 1f). </w:t>
      </w:r>
    </w:p>
    <w:p w14:paraId="7BE41BC2" w14:textId="77777777" w:rsidR="000802ED" w:rsidRDefault="000802ED" w:rsidP="000802ED">
      <w:pPr>
        <w:spacing w:line="480" w:lineRule="auto"/>
        <w:jc w:val="left"/>
        <w:outlineLvl w:val="0"/>
        <w:rPr>
          <w:b/>
          <w:bCs/>
        </w:rPr>
      </w:pPr>
    </w:p>
    <w:p w14:paraId="7909D131" w14:textId="77777777" w:rsidR="000802ED" w:rsidRDefault="000802ED" w:rsidP="000802ED">
      <w:pPr>
        <w:spacing w:line="480" w:lineRule="auto"/>
        <w:jc w:val="left"/>
        <w:outlineLvl w:val="0"/>
        <w:rPr>
          <w:rFonts w:ascii="Times New Roman" w:eastAsia="Times New Roman" w:hAnsi="Times New Roman"/>
        </w:rPr>
      </w:pPr>
      <w:r>
        <w:rPr>
          <w:b/>
          <w:bCs/>
        </w:rPr>
        <w:t>Scattering matrix method</w:t>
      </w:r>
    </w:p>
    <w:p w14:paraId="08AB3E6A" w14:textId="77777777" w:rsidR="000802ED" w:rsidRDefault="000802ED" w:rsidP="000802ED">
      <w:pPr>
        <w:spacing w:line="480" w:lineRule="auto"/>
        <w:jc w:val="left"/>
        <w:rPr>
          <w:bCs/>
        </w:rPr>
      </w:pPr>
      <w:r>
        <w:rPr>
          <w:bCs/>
        </w:rPr>
        <w:t>This is a well-known rigorous formulation of Maxwell’s Equations for electromagnetic wave propagation in one-dimensional media such as the metal-dielectric multilayer. The method can take in as parameter, a list of refractive indices and their associated thicknesses, and return the optical transmission and reflection coefficients of the multilayer described by the list. Although the method itself is general, in cases such as that of Fig. 1</w:t>
      </w:r>
      <w:r>
        <w:rPr>
          <w:rFonts w:hint="eastAsia"/>
          <w:bCs/>
          <w:lang w:eastAsia="zh-CN"/>
        </w:rPr>
        <w:t>f</w:t>
      </w:r>
      <w:r>
        <w:rPr>
          <w:bCs/>
          <w:lang w:eastAsia="zh-CN"/>
        </w:rPr>
        <w:t>-</w:t>
      </w:r>
      <w:r>
        <w:rPr>
          <w:rFonts w:hint="eastAsia"/>
          <w:bCs/>
          <w:lang w:eastAsia="zh-CN"/>
        </w:rPr>
        <w:t>i</w:t>
      </w:r>
      <w:r>
        <w:rPr>
          <w:bCs/>
        </w:rPr>
        <w:t>, if the assumption of a simple AlN / Ag / AlN structure and thus the corresponding list of refractive indices and thicknesses is incorrect, the output will not match the experimental results.</w:t>
      </w:r>
    </w:p>
    <w:p w14:paraId="2C86147E" w14:textId="77777777" w:rsidR="000802ED" w:rsidRPr="003C46AA" w:rsidRDefault="000802ED" w:rsidP="000802ED">
      <w:pPr>
        <w:spacing w:line="480" w:lineRule="auto"/>
        <w:jc w:val="left"/>
        <w:rPr>
          <w:bCs/>
        </w:rPr>
      </w:pPr>
    </w:p>
    <w:p w14:paraId="2ECCF127" w14:textId="77777777" w:rsidR="000802ED" w:rsidRPr="003B2D85" w:rsidRDefault="000802ED" w:rsidP="000802ED">
      <w:pPr>
        <w:spacing w:line="480" w:lineRule="auto"/>
        <w:jc w:val="left"/>
        <w:outlineLvl w:val="0"/>
        <w:rPr>
          <w:b/>
          <w:bCs/>
        </w:rPr>
      </w:pPr>
      <w:proofErr w:type="spellStart"/>
      <w:r>
        <w:rPr>
          <w:b/>
          <w:bCs/>
        </w:rPr>
        <w:t>ToF</w:t>
      </w:r>
      <w:proofErr w:type="spellEnd"/>
      <w:r>
        <w:rPr>
          <w:b/>
          <w:bCs/>
        </w:rPr>
        <w:t>-SIMS</w:t>
      </w:r>
    </w:p>
    <w:p w14:paraId="074C34AC" w14:textId="77777777" w:rsidR="000802ED" w:rsidRDefault="000802ED" w:rsidP="000802ED">
      <w:pPr>
        <w:pStyle w:val="SNSynopsisTOC"/>
        <w:spacing w:after="240"/>
        <w:jc w:val="left"/>
      </w:pPr>
      <w:r>
        <w:t xml:space="preserve">The sputter time serves as a proxy for film depth only in the sense that the both sputter time and sputter depth increase as the experiment proceeds. It should not be inferred from the data, however, that there is direct correspondence between sputter time and depth (there are many other variables, including material types, ion beam energy, sputter ion identity, current, </w:t>
      </w:r>
      <w:proofErr w:type="spellStart"/>
      <w:r>
        <w:t>etc</w:t>
      </w:r>
      <w:proofErr w:type="spellEnd"/>
      <w:r>
        <w:t xml:space="preserve">…). We also note that the differences in the ion counts among the various ion species cannot be interpreted as differences in relative concentration; so generally, ion counts could only correspond to the concentration of the species examined. </w:t>
      </w:r>
      <w:r w:rsidRPr="00091EDD">
        <w:t xml:space="preserve">However, proportional conversion between the </w:t>
      </w:r>
      <w:r>
        <w:t>measured</w:t>
      </w:r>
      <w:r w:rsidRPr="00091EDD">
        <w:t xml:space="preserve"> ion counts of a</w:t>
      </w:r>
      <w:r>
        <w:t xml:space="preserve"> given</w:t>
      </w:r>
      <w:r w:rsidRPr="00091EDD">
        <w:t xml:space="preserve"> species and the desired </w:t>
      </w:r>
      <w:r>
        <w:t xml:space="preserve">corresponding </w:t>
      </w:r>
      <w:r w:rsidRPr="00091EDD">
        <w:t>concentration is only valid for each ion species in regions of similar oxidation states, such as within a material layer.</w:t>
      </w:r>
      <w:r>
        <w:t xml:space="preserve"> The magnitude of ion counts is contingent on the element and its chemical matrix, so the absolute magnitude of the ion counts at any given sputter time carries no direct information regarding the atomic concentration of the film at that depth level – only the relative magnitude of a particular ion species at different depths may suggest the relative atomic concentration at those depths. Thus, the fits were performed only for the profile of one species at a time. We picked out the appropriate time interval to carry out the fit, with a complimentary error function </w:t>
      </w:r>
      <w:r w:rsidRPr="009D2E81">
        <w:rPr>
          <w:i/>
        </w:rPr>
        <w:t>f</w:t>
      </w:r>
      <m:oMath>
        <m:r>
          <m:rPr>
            <m:sty m:val="p"/>
          </m:rPr>
          <w:rPr>
            <w:rFonts w:ascii="Cambria Math" w:hAnsi="Cambria Math"/>
          </w:rPr>
          <m:t xml:space="preserve"> </m:t>
        </m:r>
        <m:r>
          <w:rPr>
            <w:rFonts w:ascii="Cambria Math" w:hAnsi="Cambria Math"/>
          </w:rPr>
          <m:t>(x)</m:t>
        </m:r>
      </m:oMath>
      <w:r>
        <w:t xml:space="preserve"> model defined as:</w:t>
      </w:r>
    </w:p>
    <w:p w14:paraId="118D5340" w14:textId="77777777" w:rsidR="000802ED" w:rsidRDefault="000802ED" w:rsidP="000802ED">
      <w:pPr>
        <w:pStyle w:val="SNSynopsisTOC"/>
        <w:spacing w:after="240"/>
        <w:jc w:val="left"/>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=A*erfc[ S</m:t>
          </m:r>
          <m:d>
            <m:dPr>
              <m:ctrlPr>
                <w:rPr>
                  <w:rFonts w:ascii="Cambria Math" w:hAnsi="Cambria Math"/>
                  <w:i/>
                </w:rPr>
              </m:ctrlPr>
            </m:dPr>
            <m:e>
              <m:r>
                <w:rPr>
                  <w:rFonts w:ascii="Cambria Math" w:hAnsi="Cambria Math"/>
                </w:rPr>
                <m:t>x-C</m:t>
              </m:r>
            </m:e>
          </m:d>
          <m:r>
            <w:rPr>
              <w:rFonts w:ascii="Cambria Math" w:hAnsi="Cambria Math"/>
            </w:rPr>
            <m:t xml:space="preserve"> ]</m:t>
          </m:r>
        </m:oMath>
      </m:oMathPara>
    </w:p>
    <w:p w14:paraId="75BF6A88" w14:textId="77777777" w:rsidR="000802ED" w:rsidRDefault="000802ED" w:rsidP="000802ED">
      <w:pPr>
        <w:pStyle w:val="SNSynopsisTOC"/>
        <w:spacing w:after="240"/>
        <w:jc w:val="left"/>
      </w:pPr>
      <w:r>
        <w:t xml:space="preserve">Wherein the parameters slope S and </w:t>
      </w:r>
      <w:proofErr w:type="spellStart"/>
      <w:r>
        <w:t>centre</w:t>
      </w:r>
      <w:proofErr w:type="spellEnd"/>
      <w:r>
        <w:t xml:space="preserve"> C are defined the same way as in the main text, and the amplitude parameter A is defined for ion count rather than for vol% as in the main text.  </w:t>
      </w:r>
    </w:p>
    <w:p w14:paraId="4B66CAA8" w14:textId="77777777" w:rsidR="000802ED" w:rsidRPr="00AC0B5A" w:rsidRDefault="000802ED" w:rsidP="000802ED">
      <w:pPr>
        <w:pStyle w:val="SNSynopsisTOC"/>
        <w:spacing w:after="240"/>
        <w:jc w:val="left"/>
      </w:pPr>
      <w:r>
        <w:t>The fit results are displayed below:</w:t>
      </w:r>
    </w:p>
    <w:p w14:paraId="4179748F" w14:textId="77777777" w:rsidR="000802ED" w:rsidRPr="006805B7" w:rsidRDefault="000802ED" w:rsidP="000802ED">
      <w:pPr>
        <w:jc w:val="left"/>
        <w:rPr>
          <w:bCs/>
        </w:rPr>
      </w:pPr>
      <w:r w:rsidRPr="006805B7">
        <w:rPr>
          <w:b/>
          <w:bCs/>
        </w:rPr>
        <w:t>Table S3</w:t>
      </w:r>
      <w:r w:rsidRPr="006805B7">
        <w:rPr>
          <w:bCs/>
        </w:rPr>
        <w:t xml:space="preserve">. Statistics of Fig. 2 </w:t>
      </w:r>
      <w:proofErr w:type="spellStart"/>
      <w:r w:rsidRPr="00CC3C19">
        <w:rPr>
          <w:bCs/>
          <w:i/>
        </w:rPr>
        <w:t>erfc</w:t>
      </w:r>
      <w:proofErr w:type="spellEnd"/>
      <w:r w:rsidRPr="006805B7">
        <w:rPr>
          <w:bCs/>
        </w:rPr>
        <w:t xml:space="preserve"> function fits</w:t>
      </w:r>
    </w:p>
    <w:tbl>
      <w:tblPr>
        <w:tblStyle w:val="GridTable1Light-Accent11"/>
        <w:tblW w:w="9350" w:type="dxa"/>
        <w:tblLayout w:type="fixed"/>
        <w:tblLook w:val="04A0" w:firstRow="1" w:lastRow="0" w:firstColumn="1" w:lastColumn="0" w:noHBand="0" w:noVBand="1"/>
      </w:tblPr>
      <w:tblGrid>
        <w:gridCol w:w="1024"/>
        <w:gridCol w:w="951"/>
        <w:gridCol w:w="2070"/>
        <w:gridCol w:w="2340"/>
        <w:gridCol w:w="1762"/>
        <w:gridCol w:w="1203"/>
      </w:tblGrid>
      <w:tr w:rsidR="000802ED" w14:paraId="1AF3AFF2" w14:textId="77777777" w:rsidTr="00637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4" w:type="dxa"/>
          </w:tcPr>
          <w:p w14:paraId="6B797082" w14:textId="77777777" w:rsidR="000802ED" w:rsidRDefault="000802ED" w:rsidP="00637B69">
            <w:pPr>
              <w:jc w:val="left"/>
            </w:pPr>
            <w:r>
              <w:rPr>
                <w:rFonts w:ascii="Times New Roman" w:eastAsia="Times New Roman" w:hAnsi="Times New Roman"/>
              </w:rPr>
              <w:t xml:space="preserve">Figure (Sample) </w:t>
            </w:r>
          </w:p>
        </w:tc>
        <w:tc>
          <w:tcPr>
            <w:tcW w:w="951" w:type="dxa"/>
          </w:tcPr>
          <w:p w14:paraId="2CDE0DE9"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rPr>
              <w:t xml:space="preserve">Fit Time Range </w:t>
            </w:r>
          </w:p>
        </w:tc>
        <w:tc>
          <w:tcPr>
            <w:tcW w:w="2070" w:type="dxa"/>
          </w:tcPr>
          <w:p w14:paraId="5DC85FA9"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rPr>
              <w:t>Slope, with (initial guess)</w:t>
            </w:r>
          </w:p>
        </w:tc>
        <w:tc>
          <w:tcPr>
            <w:tcW w:w="2340" w:type="dxa"/>
          </w:tcPr>
          <w:p w14:paraId="6B0AC330"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rPr>
              <w:t>Centre, with (initial guess)</w:t>
            </w:r>
          </w:p>
        </w:tc>
        <w:tc>
          <w:tcPr>
            <w:tcW w:w="1762" w:type="dxa"/>
          </w:tcPr>
          <w:p w14:paraId="16EEFEC1"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rPr>
              <w:t>Amplitude, with (initial guess)</w:t>
            </w:r>
          </w:p>
        </w:tc>
        <w:tc>
          <w:tcPr>
            <w:tcW w:w="1203" w:type="dxa"/>
          </w:tcPr>
          <w:p w14:paraId="69AFDE65"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Goodness of Fit (</w:t>
            </w:r>
            <m:oMath>
              <m:sSup>
                <m:sSupPr>
                  <m:ctrlPr>
                    <w:rPr>
                      <w:rFonts w:ascii="Cambria Math" w:eastAsia="Times New Roman" w:hAnsi="Cambria Math"/>
                      <w:b w:val="0"/>
                      <w:bCs w:val="0"/>
                    </w:rPr>
                  </m:ctrlPr>
                </m:sSupPr>
                <m:e>
                  <m:r>
                    <m:rPr>
                      <m:sty m:val="b"/>
                    </m:rPr>
                    <w:rPr>
                      <w:rFonts w:ascii="Cambria Math" w:eastAsia="Times New Roman" w:hAnsi="Cambria Math"/>
                    </w:rPr>
                    <m:t>χ</m:t>
                  </m:r>
                </m:e>
                <m:sup>
                  <m:r>
                    <m:rPr>
                      <m:sty m:val="b"/>
                    </m:rPr>
                    <w:rPr>
                      <w:rFonts w:ascii="Cambria Math" w:eastAsia="Times New Roman" w:hAnsi="Cambria Math"/>
                    </w:rPr>
                    <m:t>2</m:t>
                  </m:r>
                </m:sup>
              </m:sSup>
              <m:r>
                <m:rPr>
                  <m:sty m:val="bi"/>
                </m:rPr>
                <w:rPr>
                  <w:rFonts w:ascii="Cambria Math" w:eastAsia="Times New Roman" w:hAnsi="Cambria Math"/>
                </w:rPr>
                <m:t>/dof)</m:t>
              </m:r>
            </m:oMath>
          </w:p>
        </w:tc>
      </w:tr>
      <w:tr w:rsidR="000802ED" w14:paraId="470A63CC" w14:textId="77777777" w:rsidTr="00637B69">
        <w:tc>
          <w:tcPr>
            <w:cnfStyle w:val="001000000000" w:firstRow="0" w:lastRow="0" w:firstColumn="1" w:lastColumn="0" w:oddVBand="0" w:evenVBand="0" w:oddHBand="0" w:evenHBand="0" w:firstRowFirstColumn="0" w:firstRowLastColumn="0" w:lastRowFirstColumn="0" w:lastRowLastColumn="0"/>
            <w:tcW w:w="1024" w:type="dxa"/>
          </w:tcPr>
          <w:p w14:paraId="11B195EF" w14:textId="77777777" w:rsidR="000802ED" w:rsidRPr="00A4562D" w:rsidRDefault="000802ED" w:rsidP="00637B69">
            <w:pPr>
              <w:jc w:val="left"/>
            </w:pPr>
            <w:r w:rsidRPr="00A4562D">
              <w:rPr>
                <w:rFonts w:ascii="Times New Roman" w:eastAsia="Times New Roman" w:hAnsi="Times New Roman"/>
              </w:rPr>
              <w:t>Fig. 2b</w:t>
            </w:r>
            <w:r>
              <w:rPr>
                <w:rFonts w:ascii="Times New Roman" w:eastAsia="Times New Roman" w:hAnsi="Times New Roman"/>
              </w:rPr>
              <w:t xml:space="preserve"> (S2)</w:t>
            </w:r>
          </w:p>
        </w:tc>
        <w:tc>
          <w:tcPr>
            <w:tcW w:w="951" w:type="dxa"/>
          </w:tcPr>
          <w:p w14:paraId="64D19C15"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30-55</w:t>
            </w:r>
          </w:p>
        </w:tc>
        <w:tc>
          <w:tcPr>
            <w:tcW w:w="2070" w:type="dxa"/>
          </w:tcPr>
          <w:p w14:paraId="585DBC8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2B25CA">
              <w:rPr>
                <w:rFonts w:ascii="Times New Roman" w:eastAsia="Times New Roman" w:hAnsi="Times New Roman"/>
                <w:szCs w:val="24"/>
              </w:rPr>
              <w:t>0.11250 +/- 0.00203 (0.06000)</w:t>
            </w:r>
          </w:p>
        </w:tc>
        <w:tc>
          <w:tcPr>
            <w:tcW w:w="2340" w:type="dxa"/>
          </w:tcPr>
          <w:p w14:paraId="1F174EC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szCs w:val="24"/>
              </w:rPr>
              <w:t>42.62159 +/- 0.16580 (</w:t>
            </w:r>
            <w:r w:rsidRPr="002B25CA">
              <w:rPr>
                <w:rFonts w:ascii="Times New Roman" w:eastAsia="Times New Roman" w:hAnsi="Times New Roman"/>
                <w:szCs w:val="24"/>
              </w:rPr>
              <w:t>36.00000)</w:t>
            </w:r>
          </w:p>
        </w:tc>
        <w:tc>
          <w:tcPr>
            <w:tcW w:w="1762" w:type="dxa"/>
          </w:tcPr>
          <w:p w14:paraId="5C36152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2B25CA">
              <w:rPr>
                <w:rFonts w:ascii="Times New Roman" w:eastAsia="Times New Roman" w:hAnsi="Times New Roman"/>
                <w:szCs w:val="24"/>
              </w:rPr>
              <w:t>1845.80176 +/- 26.58902 (10000.00000)</w:t>
            </w:r>
          </w:p>
        </w:tc>
        <w:tc>
          <w:tcPr>
            <w:tcW w:w="1203" w:type="dxa"/>
          </w:tcPr>
          <w:p w14:paraId="21D6C32D" w14:textId="77777777" w:rsidR="000802ED" w:rsidRPr="004A1DE2"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B25CA">
              <w:rPr>
                <w:rFonts w:ascii="Times New Roman" w:eastAsia="Times New Roman" w:hAnsi="Times New Roman"/>
                <w:szCs w:val="24"/>
              </w:rPr>
              <w:t>1.59598</w:t>
            </w:r>
          </w:p>
        </w:tc>
      </w:tr>
      <w:tr w:rsidR="000802ED" w14:paraId="236D478D" w14:textId="77777777" w:rsidTr="00637B69">
        <w:tc>
          <w:tcPr>
            <w:cnfStyle w:val="001000000000" w:firstRow="0" w:lastRow="0" w:firstColumn="1" w:lastColumn="0" w:oddVBand="0" w:evenVBand="0" w:oddHBand="0" w:evenHBand="0" w:firstRowFirstColumn="0" w:firstRowLastColumn="0" w:lastRowFirstColumn="0" w:lastRowLastColumn="0"/>
            <w:tcW w:w="1024" w:type="dxa"/>
          </w:tcPr>
          <w:p w14:paraId="74A369C4" w14:textId="77777777" w:rsidR="000802ED" w:rsidRPr="00A4562D" w:rsidRDefault="000802ED" w:rsidP="00637B69">
            <w:pPr>
              <w:jc w:val="left"/>
            </w:pPr>
            <w:r w:rsidRPr="00A4562D">
              <w:rPr>
                <w:rFonts w:ascii="Times New Roman" w:eastAsia="Times New Roman" w:hAnsi="Times New Roman"/>
              </w:rPr>
              <w:t>Fig. 2c</w:t>
            </w:r>
            <w:r>
              <w:rPr>
                <w:rFonts w:ascii="Times New Roman" w:eastAsia="Times New Roman" w:hAnsi="Times New Roman"/>
              </w:rPr>
              <w:t xml:space="preserve"> (S2)</w:t>
            </w:r>
          </w:p>
        </w:tc>
        <w:tc>
          <w:tcPr>
            <w:tcW w:w="951" w:type="dxa"/>
          </w:tcPr>
          <w:p w14:paraId="3C1D6A2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10-85</w:t>
            </w:r>
          </w:p>
        </w:tc>
        <w:tc>
          <w:tcPr>
            <w:tcW w:w="2070" w:type="dxa"/>
          </w:tcPr>
          <w:p w14:paraId="4F7F48C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BD29A0">
              <w:rPr>
                <w:rFonts w:ascii="Times New Roman" w:eastAsia="Times New Roman" w:hAnsi="Times New Roman"/>
                <w:szCs w:val="24"/>
              </w:rPr>
              <w:t>0.05307 +/- 0.00085 (0.06000)</w:t>
            </w:r>
          </w:p>
        </w:tc>
        <w:tc>
          <w:tcPr>
            <w:tcW w:w="2340" w:type="dxa"/>
          </w:tcPr>
          <w:p w14:paraId="611864A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BD29A0">
              <w:rPr>
                <w:rFonts w:ascii="Times New Roman" w:eastAsia="Times New Roman" w:hAnsi="Times New Roman"/>
                <w:szCs w:val="24"/>
              </w:rPr>
              <w:t>52.46547 +/- 0.26366 (65.00000)</w:t>
            </w:r>
          </w:p>
        </w:tc>
        <w:tc>
          <w:tcPr>
            <w:tcW w:w="1762" w:type="dxa"/>
          </w:tcPr>
          <w:p w14:paraId="7FDAD48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BD29A0">
              <w:rPr>
                <w:rFonts w:ascii="Times New Roman" w:eastAsia="Times New Roman" w:hAnsi="Times New Roman"/>
                <w:szCs w:val="24"/>
              </w:rPr>
              <w:t>1060.09213 +/- 8.86226 (2000.00000)</w:t>
            </w:r>
          </w:p>
        </w:tc>
        <w:tc>
          <w:tcPr>
            <w:tcW w:w="1203" w:type="dxa"/>
          </w:tcPr>
          <w:p w14:paraId="09191CA9" w14:textId="77777777" w:rsidR="000802ED" w:rsidRPr="27D895B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D29A0">
              <w:rPr>
                <w:rFonts w:ascii="Times New Roman" w:eastAsia="Times New Roman" w:hAnsi="Times New Roman"/>
                <w:szCs w:val="24"/>
              </w:rPr>
              <w:t>2.90594</w:t>
            </w:r>
          </w:p>
        </w:tc>
      </w:tr>
      <w:tr w:rsidR="000802ED" w14:paraId="07FE997B" w14:textId="77777777" w:rsidTr="00637B69">
        <w:tc>
          <w:tcPr>
            <w:cnfStyle w:val="001000000000" w:firstRow="0" w:lastRow="0" w:firstColumn="1" w:lastColumn="0" w:oddVBand="0" w:evenVBand="0" w:oddHBand="0" w:evenHBand="0" w:firstRowFirstColumn="0" w:firstRowLastColumn="0" w:lastRowFirstColumn="0" w:lastRowLastColumn="0"/>
            <w:tcW w:w="1024" w:type="dxa"/>
          </w:tcPr>
          <w:p w14:paraId="325EC2FE" w14:textId="77777777" w:rsidR="000802ED" w:rsidRPr="00A4562D" w:rsidRDefault="000802ED" w:rsidP="00637B69">
            <w:pPr>
              <w:jc w:val="left"/>
            </w:pPr>
            <w:r w:rsidRPr="00A4562D">
              <w:rPr>
                <w:rFonts w:ascii="Times New Roman" w:eastAsia="Times New Roman" w:hAnsi="Times New Roman"/>
              </w:rPr>
              <w:t>Fig. 2e</w:t>
            </w:r>
            <w:r>
              <w:rPr>
                <w:rFonts w:ascii="Times New Roman" w:eastAsia="Times New Roman" w:hAnsi="Times New Roman"/>
              </w:rPr>
              <w:t xml:space="preserve"> (S4)</w:t>
            </w:r>
          </w:p>
        </w:tc>
        <w:tc>
          <w:tcPr>
            <w:tcW w:w="951" w:type="dxa"/>
          </w:tcPr>
          <w:p w14:paraId="786B4AC9"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E67E59">
              <w:t>10-58</w:t>
            </w:r>
          </w:p>
        </w:tc>
        <w:tc>
          <w:tcPr>
            <w:tcW w:w="2070" w:type="dxa"/>
          </w:tcPr>
          <w:p w14:paraId="4720E9E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szCs w:val="24"/>
              </w:rPr>
              <w:t>0.06704 +/- 0.00140 (</w:t>
            </w:r>
            <w:r w:rsidRPr="004A1DE2">
              <w:rPr>
                <w:rFonts w:ascii="Times New Roman" w:eastAsia="Times New Roman" w:hAnsi="Times New Roman"/>
                <w:szCs w:val="24"/>
              </w:rPr>
              <w:t>0.06000)</w:t>
            </w:r>
          </w:p>
        </w:tc>
        <w:tc>
          <w:tcPr>
            <w:tcW w:w="2340" w:type="dxa"/>
          </w:tcPr>
          <w:p w14:paraId="54BAC199"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rPr>
              <w:t>36.01013 +/- 0.31566 (</w:t>
            </w:r>
            <w:r w:rsidRPr="004A1DE2">
              <w:rPr>
                <w:rFonts w:ascii="Times New Roman" w:eastAsia="Times New Roman" w:hAnsi="Times New Roman"/>
              </w:rPr>
              <w:t>36.00000)</w:t>
            </w:r>
          </w:p>
        </w:tc>
        <w:tc>
          <w:tcPr>
            <w:tcW w:w="1762" w:type="dxa"/>
          </w:tcPr>
          <w:p w14:paraId="1BA1F3A2"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4A1DE2">
              <w:rPr>
                <w:rFonts w:ascii="Times New Roman" w:eastAsia="Times New Roman" w:hAnsi="Times New Roman"/>
              </w:rPr>
              <w:t>1578.07440 +/- 24.92965 (2000.00000)</w:t>
            </w:r>
          </w:p>
        </w:tc>
        <w:tc>
          <w:tcPr>
            <w:tcW w:w="1203" w:type="dxa"/>
          </w:tcPr>
          <w:p w14:paraId="2F0C5AA8" w14:textId="77777777" w:rsidR="000802ED" w:rsidRPr="27D895B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996DF6">
              <w:rPr>
                <w:rFonts w:ascii="Times New Roman" w:eastAsia="Times New Roman" w:hAnsi="Times New Roman"/>
                <w:szCs w:val="24"/>
              </w:rPr>
              <w:t>3.69303</w:t>
            </w:r>
          </w:p>
        </w:tc>
      </w:tr>
      <w:tr w:rsidR="000802ED" w14:paraId="5A4CDC03" w14:textId="77777777" w:rsidTr="00637B69">
        <w:tc>
          <w:tcPr>
            <w:cnfStyle w:val="001000000000" w:firstRow="0" w:lastRow="0" w:firstColumn="1" w:lastColumn="0" w:oddVBand="0" w:evenVBand="0" w:oddHBand="0" w:evenHBand="0" w:firstRowFirstColumn="0" w:firstRowLastColumn="0" w:lastRowFirstColumn="0" w:lastRowLastColumn="0"/>
            <w:tcW w:w="1024" w:type="dxa"/>
          </w:tcPr>
          <w:p w14:paraId="4D52AADF" w14:textId="77777777" w:rsidR="000802ED" w:rsidRPr="00A4562D" w:rsidRDefault="000802ED" w:rsidP="00637B69">
            <w:pPr>
              <w:jc w:val="left"/>
            </w:pPr>
            <w:r w:rsidRPr="00A4562D">
              <w:rPr>
                <w:rFonts w:ascii="Times New Roman" w:eastAsia="Times New Roman" w:hAnsi="Times New Roman"/>
              </w:rPr>
              <w:t>Fig. 2f</w:t>
            </w:r>
            <w:r>
              <w:rPr>
                <w:rFonts w:ascii="Times New Roman" w:eastAsia="Times New Roman" w:hAnsi="Times New Roman"/>
              </w:rPr>
              <w:t xml:space="preserve"> (S4)</w:t>
            </w:r>
          </w:p>
        </w:tc>
        <w:tc>
          <w:tcPr>
            <w:tcW w:w="951" w:type="dxa"/>
          </w:tcPr>
          <w:p w14:paraId="777206C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E67E59">
              <w:rPr>
                <w:rFonts w:ascii="Times New Roman" w:eastAsia="Times New Roman" w:hAnsi="Times New Roman"/>
                <w:szCs w:val="24"/>
              </w:rPr>
              <w:t>60-80</w:t>
            </w:r>
          </w:p>
        </w:tc>
        <w:tc>
          <w:tcPr>
            <w:tcW w:w="2070" w:type="dxa"/>
          </w:tcPr>
          <w:p w14:paraId="6C7ACAF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rPr>
              <w:t>0.16059 +/- 0.00455 (</w:t>
            </w:r>
            <w:r w:rsidRPr="004A1DE2">
              <w:rPr>
                <w:rFonts w:ascii="Times New Roman" w:eastAsia="Times New Roman" w:hAnsi="Times New Roman"/>
              </w:rPr>
              <w:t>0.20000)</w:t>
            </w:r>
          </w:p>
        </w:tc>
        <w:tc>
          <w:tcPr>
            <w:tcW w:w="2340" w:type="dxa"/>
          </w:tcPr>
          <w:p w14:paraId="3DCA7639"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rPr>
              <w:t>68.33332 +/- 0.18268 (</w:t>
            </w:r>
            <w:r w:rsidRPr="004A1DE2">
              <w:rPr>
                <w:rFonts w:ascii="Times New Roman" w:eastAsia="Times New Roman" w:hAnsi="Times New Roman"/>
              </w:rPr>
              <w:t>68.00000)</w:t>
            </w:r>
          </w:p>
        </w:tc>
        <w:tc>
          <w:tcPr>
            <w:tcW w:w="1762" w:type="dxa"/>
          </w:tcPr>
          <w:p w14:paraId="1B263D9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4A1DE2">
              <w:rPr>
                <w:rFonts w:ascii="Times New Roman" w:eastAsia="Times New Roman" w:hAnsi="Times New Roman"/>
              </w:rPr>
              <w:t>1168.23242 +/- 25.75853 (50000.00000)</w:t>
            </w:r>
          </w:p>
        </w:tc>
        <w:tc>
          <w:tcPr>
            <w:tcW w:w="1203" w:type="dxa"/>
          </w:tcPr>
          <w:p w14:paraId="25160F12" w14:textId="77777777" w:rsidR="000802ED" w:rsidRPr="27D895B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366106">
              <w:rPr>
                <w:rFonts w:ascii="Times New Roman" w:eastAsia="Times New Roman" w:hAnsi="Times New Roman"/>
                <w:szCs w:val="24"/>
              </w:rPr>
              <w:t>2.10939</w:t>
            </w:r>
          </w:p>
        </w:tc>
      </w:tr>
      <w:tr w:rsidR="000802ED" w14:paraId="4C6287DA" w14:textId="77777777" w:rsidTr="00637B69">
        <w:trPr>
          <w:trHeight w:val="858"/>
        </w:trPr>
        <w:tc>
          <w:tcPr>
            <w:cnfStyle w:val="001000000000" w:firstRow="0" w:lastRow="0" w:firstColumn="1" w:lastColumn="0" w:oddVBand="0" w:evenVBand="0" w:oddHBand="0" w:evenHBand="0" w:firstRowFirstColumn="0" w:firstRowLastColumn="0" w:lastRowFirstColumn="0" w:lastRowLastColumn="0"/>
            <w:tcW w:w="1024" w:type="dxa"/>
          </w:tcPr>
          <w:p w14:paraId="51A13AF4" w14:textId="77777777" w:rsidR="000802ED" w:rsidRPr="00A4562D" w:rsidRDefault="000802ED" w:rsidP="00637B69">
            <w:pPr>
              <w:spacing w:after="0"/>
              <w:jc w:val="left"/>
              <w:rPr>
                <w:rFonts w:ascii="Times New Roman" w:eastAsia="Times New Roman" w:hAnsi="Times New Roman"/>
              </w:rPr>
            </w:pPr>
            <w:r w:rsidRPr="00A4562D">
              <w:rPr>
                <w:rFonts w:ascii="Times New Roman" w:eastAsia="Times New Roman" w:hAnsi="Times New Roman"/>
              </w:rPr>
              <w:t>Fig. 2h</w:t>
            </w:r>
            <w:r>
              <w:rPr>
                <w:rFonts w:ascii="Times New Roman" w:eastAsia="Times New Roman" w:hAnsi="Times New Roman"/>
              </w:rPr>
              <w:t xml:space="preserve"> (S5)</w:t>
            </w:r>
          </w:p>
        </w:tc>
        <w:tc>
          <w:tcPr>
            <w:tcW w:w="951" w:type="dxa"/>
          </w:tcPr>
          <w:p w14:paraId="315F70A4" w14:textId="77777777" w:rsidR="000802ED" w:rsidRPr="27D895BD"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102-114</w:t>
            </w:r>
          </w:p>
        </w:tc>
        <w:tc>
          <w:tcPr>
            <w:tcW w:w="2070" w:type="dxa"/>
          </w:tcPr>
          <w:p w14:paraId="357120CA" w14:textId="77777777" w:rsidR="000802ED" w:rsidRPr="27D895BD"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0.24072 +/- 0.00595 (</w:t>
            </w:r>
            <w:r w:rsidRPr="004E51AB">
              <w:rPr>
                <w:rFonts w:ascii="Times New Roman" w:eastAsia="Times New Roman" w:hAnsi="Times New Roman"/>
              </w:rPr>
              <w:t>0.06000)</w:t>
            </w:r>
          </w:p>
        </w:tc>
        <w:tc>
          <w:tcPr>
            <w:tcW w:w="2340" w:type="dxa"/>
          </w:tcPr>
          <w:p w14:paraId="5003BDB9" w14:textId="77777777" w:rsidR="000802ED" w:rsidRPr="27D895BD"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108.36698 +/- 0.10856 (</w:t>
            </w:r>
            <w:r w:rsidRPr="004E51AB">
              <w:rPr>
                <w:rFonts w:ascii="Times New Roman" w:eastAsia="Times New Roman" w:hAnsi="Times New Roman"/>
              </w:rPr>
              <w:t>150.00000)</w:t>
            </w:r>
          </w:p>
        </w:tc>
        <w:tc>
          <w:tcPr>
            <w:tcW w:w="1762" w:type="dxa"/>
          </w:tcPr>
          <w:p w14:paraId="3A9241F7" w14:textId="77777777" w:rsidR="000802ED" w:rsidRPr="008D4FE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4"/>
              </w:rPr>
            </w:pPr>
            <w:r w:rsidRPr="008D4FE9">
              <w:rPr>
                <w:rFonts w:ascii="Times New Roman" w:eastAsia="Times New Roman" w:hAnsi="Times New Roman"/>
                <w:szCs w:val="24"/>
              </w:rPr>
              <w:t>5708.37941 +/- 120.48441 (10000.00000)</w:t>
            </w:r>
          </w:p>
          <w:p w14:paraId="17F97FD1" w14:textId="77777777" w:rsidR="000802ED" w:rsidRPr="27D895BD"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1203" w:type="dxa"/>
          </w:tcPr>
          <w:p w14:paraId="59A93BA8" w14:textId="77777777" w:rsidR="000802ED" w:rsidRPr="27D895BD"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8D4FE9">
              <w:rPr>
                <w:rFonts w:ascii="Times New Roman" w:eastAsia="Times New Roman" w:hAnsi="Times New Roman"/>
                <w:szCs w:val="24"/>
              </w:rPr>
              <w:t>5.46518</w:t>
            </w:r>
          </w:p>
        </w:tc>
      </w:tr>
      <w:tr w:rsidR="000802ED" w14:paraId="26757FE0" w14:textId="77777777" w:rsidTr="00637B69">
        <w:tc>
          <w:tcPr>
            <w:cnfStyle w:val="001000000000" w:firstRow="0" w:lastRow="0" w:firstColumn="1" w:lastColumn="0" w:oddVBand="0" w:evenVBand="0" w:oddHBand="0" w:evenHBand="0" w:firstRowFirstColumn="0" w:firstRowLastColumn="0" w:lastRowFirstColumn="0" w:lastRowLastColumn="0"/>
            <w:tcW w:w="1024" w:type="dxa"/>
          </w:tcPr>
          <w:p w14:paraId="7B029EA4" w14:textId="77777777" w:rsidR="000802ED" w:rsidRPr="00A4562D" w:rsidRDefault="000802ED" w:rsidP="00637B69">
            <w:pPr>
              <w:jc w:val="left"/>
              <w:rPr>
                <w:rFonts w:ascii="Times New Roman" w:eastAsia="Times New Roman" w:hAnsi="Times New Roman"/>
              </w:rPr>
            </w:pPr>
            <w:r w:rsidRPr="00A4562D">
              <w:rPr>
                <w:rFonts w:ascii="Times New Roman" w:eastAsia="Times New Roman" w:hAnsi="Times New Roman"/>
              </w:rPr>
              <w:t>Fig. 2i</w:t>
            </w:r>
            <w:r>
              <w:rPr>
                <w:rFonts w:ascii="Times New Roman" w:eastAsia="Times New Roman" w:hAnsi="Times New Roman"/>
              </w:rPr>
              <w:t xml:space="preserve"> (S5)</w:t>
            </w:r>
          </w:p>
        </w:tc>
        <w:tc>
          <w:tcPr>
            <w:tcW w:w="951" w:type="dxa"/>
          </w:tcPr>
          <w:p w14:paraId="2E8D01B9" w14:textId="77777777" w:rsidR="000802ED" w:rsidRPr="27D895B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103-123</w:t>
            </w:r>
          </w:p>
        </w:tc>
        <w:tc>
          <w:tcPr>
            <w:tcW w:w="2070" w:type="dxa"/>
          </w:tcPr>
          <w:p w14:paraId="7287F1B1" w14:textId="77777777" w:rsidR="000802ED" w:rsidRPr="27D895B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0.11633 +/- 0.00405 (</w:t>
            </w:r>
            <w:r w:rsidRPr="004E51AB">
              <w:rPr>
                <w:rFonts w:ascii="Times New Roman" w:eastAsia="Times New Roman" w:hAnsi="Times New Roman"/>
              </w:rPr>
              <w:t>0.06000)</w:t>
            </w:r>
          </w:p>
        </w:tc>
        <w:tc>
          <w:tcPr>
            <w:tcW w:w="2340" w:type="dxa"/>
          </w:tcPr>
          <w:p w14:paraId="64500B2F" w14:textId="77777777" w:rsidR="000802ED" w:rsidRPr="008762AE"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4"/>
              </w:rPr>
            </w:pPr>
            <w:r>
              <w:rPr>
                <w:rFonts w:ascii="Times New Roman" w:eastAsia="Times New Roman" w:hAnsi="Times New Roman"/>
                <w:szCs w:val="24"/>
              </w:rPr>
              <w:t>111.08643+/- 0.32843 (</w:t>
            </w:r>
            <w:r w:rsidRPr="008762AE">
              <w:rPr>
                <w:rFonts w:ascii="Times New Roman" w:eastAsia="Times New Roman" w:hAnsi="Times New Roman"/>
                <w:szCs w:val="24"/>
              </w:rPr>
              <w:t>65.00000)</w:t>
            </w:r>
          </w:p>
          <w:p w14:paraId="6DC9FBE3" w14:textId="77777777" w:rsidR="000802ED" w:rsidRPr="27D895BD" w:rsidRDefault="000802ED" w:rsidP="00637B69">
            <w:pPr>
              <w:ind w:left="720" w:hanging="7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1762" w:type="dxa"/>
          </w:tcPr>
          <w:p w14:paraId="78D1304B" w14:textId="77777777" w:rsidR="000802ED" w:rsidRPr="27D895B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4D03BE">
              <w:rPr>
                <w:rFonts w:ascii="Times New Roman" w:eastAsia="Times New Roman" w:hAnsi="Times New Roman"/>
              </w:rPr>
              <w:t>4672.40966 +/- 156.70792 (2000.00000)</w:t>
            </w:r>
          </w:p>
        </w:tc>
        <w:tc>
          <w:tcPr>
            <w:tcW w:w="1203" w:type="dxa"/>
          </w:tcPr>
          <w:p w14:paraId="0C369EC4" w14:textId="77777777" w:rsidR="000802ED" w:rsidRPr="27D895B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8762AE">
              <w:rPr>
                <w:rFonts w:ascii="Times New Roman" w:eastAsia="Times New Roman" w:hAnsi="Times New Roman"/>
                <w:szCs w:val="24"/>
              </w:rPr>
              <w:t>10.78492</w:t>
            </w:r>
          </w:p>
        </w:tc>
      </w:tr>
      <w:tr w:rsidR="000802ED" w14:paraId="68851EBE" w14:textId="77777777" w:rsidTr="00637B69">
        <w:tc>
          <w:tcPr>
            <w:cnfStyle w:val="001000000000" w:firstRow="0" w:lastRow="0" w:firstColumn="1" w:lastColumn="0" w:oddVBand="0" w:evenVBand="0" w:oddHBand="0" w:evenHBand="0" w:firstRowFirstColumn="0" w:firstRowLastColumn="0" w:lastRowFirstColumn="0" w:lastRowLastColumn="0"/>
            <w:tcW w:w="1024" w:type="dxa"/>
          </w:tcPr>
          <w:p w14:paraId="04B77079" w14:textId="77777777" w:rsidR="000802ED" w:rsidRDefault="000802ED" w:rsidP="00637B69">
            <w:pPr>
              <w:spacing w:after="0"/>
              <w:jc w:val="left"/>
              <w:rPr>
                <w:rFonts w:ascii="Times New Roman" w:eastAsia="Times New Roman" w:hAnsi="Times New Roman"/>
                <w:b w:val="0"/>
                <w:bCs w:val="0"/>
              </w:rPr>
            </w:pPr>
            <w:r>
              <w:rPr>
                <w:rFonts w:ascii="Times New Roman" w:eastAsia="Times New Roman" w:hAnsi="Times New Roman"/>
              </w:rPr>
              <w:t>Fig. 2k</w:t>
            </w:r>
          </w:p>
          <w:p w14:paraId="0C627900" w14:textId="77777777" w:rsidR="000802ED" w:rsidRPr="00A4562D" w:rsidRDefault="000802ED" w:rsidP="00637B69">
            <w:pPr>
              <w:spacing w:after="0"/>
              <w:jc w:val="left"/>
              <w:rPr>
                <w:rFonts w:ascii="Times New Roman" w:eastAsia="Times New Roman" w:hAnsi="Times New Roman"/>
              </w:rPr>
            </w:pPr>
            <w:r>
              <w:rPr>
                <w:rFonts w:ascii="Times New Roman" w:eastAsia="Times New Roman" w:hAnsi="Times New Roman"/>
              </w:rPr>
              <w:t>(S6)</w:t>
            </w:r>
          </w:p>
        </w:tc>
        <w:tc>
          <w:tcPr>
            <w:tcW w:w="951" w:type="dxa"/>
          </w:tcPr>
          <w:p w14:paraId="38C89A7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50-70</w:t>
            </w:r>
          </w:p>
        </w:tc>
        <w:tc>
          <w:tcPr>
            <w:tcW w:w="2070" w:type="dxa"/>
          </w:tcPr>
          <w:p w14:paraId="02DA9A2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t xml:space="preserve">0.13626 +/- 0.00100 </w:t>
            </w:r>
            <w:proofErr w:type="gramStart"/>
            <w:r>
              <w:t>( 0</w:t>
            </w:r>
            <w:proofErr w:type="gramEnd"/>
            <w:r>
              <w:t>.06000</w:t>
            </w:r>
          </w:p>
        </w:tc>
        <w:tc>
          <w:tcPr>
            <w:tcW w:w="2340" w:type="dxa"/>
          </w:tcPr>
          <w:p w14:paraId="17598D1D" w14:textId="77777777" w:rsidR="000802ED"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4"/>
              </w:rPr>
            </w:pPr>
            <w:r>
              <w:t xml:space="preserve">59.49699 +/- 0.05211 </w:t>
            </w:r>
            <w:proofErr w:type="gramStart"/>
            <w:r>
              <w:t>( 80.00000</w:t>
            </w:r>
            <w:proofErr w:type="gramEnd"/>
            <w:r>
              <w:t>)</w:t>
            </w:r>
          </w:p>
        </w:tc>
        <w:tc>
          <w:tcPr>
            <w:tcW w:w="1762" w:type="dxa"/>
          </w:tcPr>
          <w:p w14:paraId="61874011" w14:textId="77777777" w:rsidR="000802ED" w:rsidRPr="004D03BE"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t>13292.46966 +/- 72.32722 (20000.00000)</w:t>
            </w:r>
          </w:p>
        </w:tc>
        <w:tc>
          <w:tcPr>
            <w:tcW w:w="1203" w:type="dxa"/>
          </w:tcPr>
          <w:p w14:paraId="1CB1B54D" w14:textId="77777777" w:rsidR="000802ED" w:rsidRPr="008762AE"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4"/>
              </w:rPr>
            </w:pPr>
            <w:r>
              <w:t>2.10597</w:t>
            </w:r>
          </w:p>
        </w:tc>
      </w:tr>
      <w:tr w:rsidR="000802ED" w14:paraId="3CA0C00F" w14:textId="77777777" w:rsidTr="00637B69">
        <w:tc>
          <w:tcPr>
            <w:cnfStyle w:val="001000000000" w:firstRow="0" w:lastRow="0" w:firstColumn="1" w:lastColumn="0" w:oddVBand="0" w:evenVBand="0" w:oddHBand="0" w:evenHBand="0" w:firstRowFirstColumn="0" w:firstRowLastColumn="0" w:lastRowFirstColumn="0" w:lastRowLastColumn="0"/>
            <w:tcW w:w="1024" w:type="dxa"/>
          </w:tcPr>
          <w:p w14:paraId="55F93BB5" w14:textId="77777777" w:rsidR="000802ED" w:rsidRDefault="000802ED" w:rsidP="00637B69">
            <w:pPr>
              <w:spacing w:after="0"/>
              <w:jc w:val="left"/>
              <w:rPr>
                <w:rFonts w:ascii="Times New Roman" w:eastAsia="Times New Roman" w:hAnsi="Times New Roman"/>
                <w:b w:val="0"/>
                <w:bCs w:val="0"/>
              </w:rPr>
            </w:pPr>
            <w:r>
              <w:rPr>
                <w:rFonts w:ascii="Times New Roman" w:eastAsia="Times New Roman" w:hAnsi="Times New Roman"/>
              </w:rPr>
              <w:t>Fig. 2l</w:t>
            </w:r>
          </w:p>
          <w:p w14:paraId="5574830B" w14:textId="77777777" w:rsidR="000802ED" w:rsidRDefault="000802ED" w:rsidP="00637B69">
            <w:pPr>
              <w:spacing w:after="0"/>
              <w:jc w:val="left"/>
              <w:rPr>
                <w:rFonts w:ascii="Times New Roman" w:eastAsia="Times New Roman" w:hAnsi="Times New Roman"/>
              </w:rPr>
            </w:pPr>
            <w:r>
              <w:rPr>
                <w:rFonts w:ascii="Times New Roman" w:eastAsia="Times New Roman" w:hAnsi="Times New Roman"/>
              </w:rPr>
              <w:t>(S6)</w:t>
            </w:r>
          </w:p>
        </w:tc>
        <w:tc>
          <w:tcPr>
            <w:tcW w:w="951" w:type="dxa"/>
          </w:tcPr>
          <w:p w14:paraId="71D4133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30-90</w:t>
            </w:r>
          </w:p>
        </w:tc>
        <w:tc>
          <w:tcPr>
            <w:tcW w:w="2070" w:type="dxa"/>
          </w:tcPr>
          <w:p w14:paraId="6FF2E79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 xml:space="preserve">0.05793 +/- 0.00114 </w:t>
            </w:r>
            <w:proofErr w:type="gramStart"/>
            <w:r>
              <w:t>( 0.06000</w:t>
            </w:r>
            <w:proofErr w:type="gramEnd"/>
            <w:r>
              <w:t>)</w:t>
            </w:r>
          </w:p>
        </w:tc>
        <w:tc>
          <w:tcPr>
            <w:tcW w:w="2340" w:type="dxa"/>
          </w:tcPr>
          <w:p w14:paraId="54AC9E4B" w14:textId="77777777" w:rsidR="000802ED" w:rsidRDefault="000802ED" w:rsidP="00637B69">
            <w:pPr>
              <w:spacing w:after="0"/>
              <w:jc w:val="left"/>
              <w:cnfStyle w:val="000000000000" w:firstRow="0" w:lastRow="0" w:firstColumn="0" w:lastColumn="0" w:oddVBand="0" w:evenVBand="0" w:oddHBand="0" w:evenHBand="0" w:firstRowFirstColumn="0" w:firstRowLastColumn="0" w:lastRowFirstColumn="0" w:lastRowLastColumn="0"/>
            </w:pPr>
            <w:r>
              <w:t xml:space="preserve">63.74432 +/- 0.30850 </w:t>
            </w:r>
            <w:proofErr w:type="gramStart"/>
            <w:r>
              <w:t>( 65.00000</w:t>
            </w:r>
            <w:proofErr w:type="gramEnd"/>
            <w:r>
              <w:t>)</w:t>
            </w:r>
          </w:p>
        </w:tc>
        <w:tc>
          <w:tcPr>
            <w:tcW w:w="1762" w:type="dxa"/>
          </w:tcPr>
          <w:p w14:paraId="7D4193D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4066.15893 +/- 46.14646 (2000.00000)</w:t>
            </w:r>
          </w:p>
        </w:tc>
        <w:tc>
          <w:tcPr>
            <w:tcW w:w="1203" w:type="dxa"/>
          </w:tcPr>
          <w:p w14:paraId="57D25F59"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19.44231</w:t>
            </w:r>
          </w:p>
        </w:tc>
      </w:tr>
    </w:tbl>
    <w:p w14:paraId="7DF4DA69" w14:textId="77777777" w:rsidR="000802ED" w:rsidRDefault="000802ED" w:rsidP="000802ED">
      <w:pPr>
        <w:pStyle w:val="SNSynopsisTOC"/>
        <w:spacing w:after="240"/>
        <w:jc w:val="left"/>
      </w:pPr>
    </w:p>
    <w:p w14:paraId="356BDB9E" w14:textId="77777777" w:rsidR="000802ED" w:rsidRDefault="000802ED" w:rsidP="000802ED">
      <w:pPr>
        <w:pStyle w:val="TAMainText"/>
        <w:ind w:firstLine="0"/>
        <w:jc w:val="left"/>
        <w:outlineLvl w:val="0"/>
      </w:pPr>
      <w:r>
        <w:t>Upon close examination of the fitted results (second column of Fig. 2 of main text), with particular attention to the intervals of sputter time during which</w:t>
      </w:r>
      <w:r w:rsidRPr="00B40638">
        <w:rPr>
          <w:i/>
        </w:rPr>
        <w:t xml:space="preserve"> </w:t>
      </w:r>
      <w:proofErr w:type="spellStart"/>
      <w:r w:rsidRPr="00382AA8">
        <w:rPr>
          <w:i/>
        </w:rPr>
        <w:t>erfc</w:t>
      </w:r>
      <w:proofErr w:type="spellEnd"/>
      <w:r>
        <w:t xml:space="preserve"> transitions take place for the plotted silver ion count and plotted aluminum ion count, we find that the two (Ag and Al) intervals are never exactly overlapping; in fact, the intervals are either partially overlapping or disjoint. An exact </w:t>
      </w:r>
      <w:r w:rsidRPr="00A83DE1">
        <w:t xml:space="preserve">overlap of the </w:t>
      </w:r>
      <w:r w:rsidRPr="00200FF9">
        <w:t xml:space="preserve">ion count transitions is expected for an </w:t>
      </w:r>
      <w:r>
        <w:t xml:space="preserve">ideal </w:t>
      </w:r>
      <w:r w:rsidRPr="00254550">
        <w:t>interface between two different materials</w:t>
      </w:r>
      <w:r>
        <w:t>, for which</w:t>
      </w:r>
      <w:r w:rsidRPr="00A83DE1">
        <w:t xml:space="preserve"> the </w:t>
      </w:r>
      <w:proofErr w:type="spellStart"/>
      <w:r w:rsidRPr="00A83DE1">
        <w:rPr>
          <w:i/>
        </w:rPr>
        <w:t>erfc</w:t>
      </w:r>
      <w:proofErr w:type="spellEnd"/>
      <w:r w:rsidRPr="00A83DE1">
        <w:t xml:space="preserve"> function is always observed due to roughness of the interface</w:t>
      </w:r>
      <w:r>
        <w:t xml:space="preserve"> (Fig. 1b of main text)</w:t>
      </w:r>
      <w:r w:rsidRPr="00A83DE1">
        <w:t xml:space="preserve"> and resolution of the detector.</w:t>
      </w:r>
      <w:r w:rsidRPr="00254550">
        <w:t xml:space="preserve"> In contrast, partially or completely disjoint concentration transitions indicate changes in concentration of one</w:t>
      </w:r>
      <w:r w:rsidRPr="00A83DE1">
        <w:t xml:space="preserve"> material </w:t>
      </w:r>
      <w:r>
        <w:t>within</w:t>
      </w:r>
      <w:r w:rsidRPr="00A83DE1">
        <w:t xml:space="preserve"> the other in addition to the</w:t>
      </w:r>
      <w:r>
        <w:t xml:space="preserve"> usual</w:t>
      </w:r>
      <w:r w:rsidRPr="00A83DE1">
        <w:t xml:space="preserve"> transitions at the interfaces</w:t>
      </w:r>
      <w:r>
        <w:t>; this is most apparent in samples S4 (Fig. 2b of main text)</w:t>
      </w:r>
      <w:r w:rsidRPr="00A83DE1">
        <w:t>.</w:t>
      </w:r>
      <w:r>
        <w:t xml:space="preserve"> Note that we could have fitted the Ag (or Al) ion counts to two </w:t>
      </w:r>
      <w:proofErr w:type="spellStart"/>
      <w:r w:rsidRPr="00E306EB">
        <w:rPr>
          <w:i/>
        </w:rPr>
        <w:t>erfc</w:t>
      </w:r>
      <w:proofErr w:type="spellEnd"/>
      <w:r>
        <w:t xml:space="preserve"> functions directly, but the statistics of the fit would be compromised as one of the two </w:t>
      </w:r>
      <w:proofErr w:type="spellStart"/>
      <w:r w:rsidRPr="00E306EB">
        <w:rPr>
          <w:i/>
        </w:rPr>
        <w:t>erfc</w:t>
      </w:r>
      <w:proofErr w:type="spellEnd"/>
      <w:r>
        <w:t xml:space="preserve"> functions would inevitably suffer from high noise or low signal.</w:t>
      </w:r>
    </w:p>
    <w:p w14:paraId="05D4FE6A" w14:textId="77777777" w:rsidR="000802ED" w:rsidRPr="003C53B8" w:rsidRDefault="000802ED" w:rsidP="000802ED">
      <w:pPr>
        <w:pStyle w:val="TAMainText"/>
        <w:ind w:firstLine="0"/>
        <w:jc w:val="left"/>
        <w:outlineLvl w:val="0"/>
      </w:pPr>
    </w:p>
    <w:p w14:paraId="5730DCF5" w14:textId="77777777" w:rsidR="000802ED" w:rsidRDefault="000802ED" w:rsidP="000802ED">
      <w:pPr>
        <w:spacing w:line="480" w:lineRule="auto"/>
        <w:jc w:val="left"/>
        <w:rPr>
          <w:b/>
          <w:lang w:val="en-CA"/>
        </w:rPr>
      </w:pPr>
      <w:r>
        <w:rPr>
          <w:b/>
          <w:lang w:val="en-CA"/>
        </w:rPr>
        <w:t xml:space="preserve">Calculation of Silver Volume Concentration </w:t>
      </w:r>
    </w:p>
    <w:p w14:paraId="0899828B" w14:textId="2C9B18ED" w:rsidR="000802ED" w:rsidRPr="003C53B8" w:rsidRDefault="000802ED" w:rsidP="000802ED">
      <w:pPr>
        <w:pStyle w:val="TAMainText"/>
        <w:ind w:firstLine="0"/>
        <w:jc w:val="left"/>
        <w:outlineLvl w:val="0"/>
        <w:rPr>
          <w:lang w:val="en-CA"/>
        </w:rPr>
      </w:pPr>
      <w:r>
        <w:rPr>
          <w:lang w:val="en-CA"/>
        </w:rPr>
        <w:t>Since the concentration of nitrogen is relatively low (12.6% a.t), we estimate the volume fraction of silver (10.5 g/cm</w:t>
      </w:r>
      <w:r w:rsidRPr="008A3B0D">
        <w:rPr>
          <w:vertAlign w:val="superscript"/>
          <w:lang w:val="en-CA"/>
        </w:rPr>
        <w:t>3</w:t>
      </w:r>
      <w:r>
        <w:rPr>
          <w:lang w:val="en-CA"/>
        </w:rPr>
        <w:t>) assuming it to be within an oxygen-rich</w:t>
      </w:r>
      <w:r>
        <w:fldChar w:fldCharType="begin" w:fldLock="1"/>
      </w:r>
      <w:r w:rsidR="009171A1">
        <w:instrText>ADDIN CSL_CITATION {"citationItems":[{"id":"ITEM-1","itemData":{"DOI":"10.1021/la00041a017","ISSN":"0743-7463","author":[{"dropping-particle":"","family":"Wang","given":"Xiao Dong","non-dropping-particle":"","parse-names":false,"suffix":""},{"dropping-particle":"","family":"Hipps","given":"K. W.","non-dropping-particle":"","parse-names":false,"suffix":""},{"dropping-particle":"","family":"Mazur","given":"Ursula","non-dropping-particle":"","parse-names":false,"suffix":""}],"container-title":"Langmuir","id":"ITEM-1","issue":"5","issued":{"date-parts":[["1992"]]},"page":"1347-1353","title":"Infrared and morphological studies of hydrogenated aluminum nitride thin films","type":"article-journal","volume":"8"},"uris":["http://www.mendeley.com/documents/?uuid=f4c1663b-cfe1-4602-b1df-51aa7a752106"]},{"id":"ITEM-2","itemData":{"DOI":"10.1116/1.580496","ISSN":"0734-2101","author":[{"dropping-particle":"","family":"Yong","given":"Yoon-Joong","non-dropping-particle":"","parse-names":false,"suffix":""},{"dropping-particle":"","family":"Lee","given":"Jai-Young","non-dropping-particle":"","parse-names":false,"suffix":""}],"container-title":"Journal of Vacuum Science &amp; Technology A: Vacuum, Surfaces, and Films","id":"ITEM-2","issue":"2","issued":{"date-parts":[["1997"]]},"page":"390-393","title":"Characteristics of hydrogenated aluminum nitride films prepared by radio frequency reactive sputtering and their application to surface acoustic wave devices","type":"article-journal","volume":"15"},"uris":["http://www.mendeley.com/documents/?uuid=ede1aade-ba78-4449-ae4d-e5678e85ac71"]}],"mendeley":{"formattedCitation":"&lt;sup&gt;[1,2]&lt;/sup&gt;","plainTextFormattedCitation":"[1,2]","previouslyFormattedCitation":"&lt;sup&gt;[1,2]&lt;/sup&gt;"},"properties":{"noteIndex":0},"schema":"https://github.com/citation-style-language/schema/raw/master/csl-citation.json"}</w:instrText>
      </w:r>
      <w:r>
        <w:fldChar w:fldCharType="separate"/>
      </w:r>
      <w:r w:rsidR="009171A1" w:rsidRPr="009171A1">
        <w:rPr>
          <w:noProof/>
          <w:vertAlign w:val="superscript"/>
        </w:rPr>
        <w:t>[1,2]</w:t>
      </w:r>
      <w:r>
        <w:fldChar w:fldCharType="end"/>
      </w:r>
      <w:r>
        <w:rPr>
          <w:lang w:val="en-CA"/>
        </w:rPr>
        <w:t xml:space="preserve"> amorphous aluminum oxide (3.77 g/cm</w:t>
      </w:r>
      <w:r w:rsidRPr="008A3B0D">
        <w:rPr>
          <w:vertAlign w:val="superscript"/>
          <w:lang w:val="en-CA"/>
        </w:rPr>
        <w:t>3</w:t>
      </w:r>
      <w:r>
        <w:rPr>
          <w:lang w:val="en-CA"/>
        </w:rPr>
        <w:t>)</w:t>
      </w:r>
      <w:r>
        <w:rPr>
          <w:lang w:val="en-CA"/>
        </w:rPr>
        <w:fldChar w:fldCharType="begin" w:fldLock="1"/>
      </w:r>
      <w:r w:rsidR="009171A1">
        <w:rPr>
          <w:lang w:val="en-CA"/>
        </w:rPr>
        <w:instrText>ADDIN CSL_CITATION {"citationItems":[{"id":"ITEM-1","itemData":{"author":[{"dropping-particle":"","family":"Juliet","given":"Pierre","non-dropping-particle":"","parse-names":false,"suffix":""},{"dropping-particle":"","family":"Koski","given":"Kari","non-dropping-particle":"","parse-names":false,"suffix":""},{"dropping-particle":"","family":"Holsa","given":"Jorma","non-dropping-particle":"","parse-names":false,"suffix":""}],"container-title":"Thin Solid Films","id":"ITEM-1","issued":{"date-parts":[["1999"]]},"page":"240-248","title":"Properties of aluminium oxide thin ® lms deposited by reactive magnetron sputtering","type":"article-journal","volume":"339"},"uris":["http://www.mendeley.com/documents/?uuid=c8d70b26-f523-4ff0-9d1d-91356a6fa72c"]}],"mendeley":{"formattedCitation":"&lt;sup&gt;[3]&lt;/sup&gt;","plainTextFormattedCitation":"[3]","previouslyFormattedCitation":"&lt;sup&gt;[3]&lt;/sup&gt;"},"properties":{"noteIndex":0},"schema":"https://github.com/citation-style-language/schema/raw/master/csl-citation.json"}</w:instrText>
      </w:r>
      <w:r>
        <w:rPr>
          <w:lang w:val="en-CA"/>
        </w:rPr>
        <w:fldChar w:fldCharType="separate"/>
      </w:r>
      <w:r w:rsidR="009171A1" w:rsidRPr="009171A1">
        <w:rPr>
          <w:noProof/>
          <w:vertAlign w:val="superscript"/>
          <w:lang w:val="en-CA"/>
        </w:rPr>
        <w:t>[3]</w:t>
      </w:r>
      <w:r>
        <w:rPr>
          <w:lang w:val="en-CA"/>
        </w:rPr>
        <w:fldChar w:fldCharType="end"/>
      </w:r>
      <w:r>
        <w:rPr>
          <w:lang w:val="en-CA"/>
        </w:rPr>
        <w:t xml:space="preserve">. While silver diffusion might be visually apparent in the XPS profile, XPS has a depth resolution of about 10 nm, so the atomic concentrations at a given depth are significantly convolved/blurred. This limits the quantitative analysis of the full diffusion profile of the silver. That said, the measured relative atomic concentration of silver at 1297s (after </w:t>
      </w:r>
      <w:proofErr w:type="gramStart"/>
      <w:r>
        <w:rPr>
          <w:lang w:val="en-CA"/>
        </w:rPr>
        <w:t>the vast majority of</w:t>
      </w:r>
      <w:proofErr w:type="gramEnd"/>
      <w:r>
        <w:rPr>
          <w:lang w:val="en-CA"/>
        </w:rPr>
        <w:t xml:space="preserve"> the carbon contamination is removed) is 0.12%. As can be seen in Fig. 3a, both the top and seed AlN layers are heavily oxidized. In fact, there is significantly more oxygen than nitrogen in the top AlN layer, with the mid-layer </w:t>
      </w:r>
      <w:proofErr w:type="spellStart"/>
      <w:r>
        <w:rPr>
          <w:lang w:val="en-CA"/>
        </w:rPr>
        <w:t>Al:O:N</w:t>
      </w:r>
      <w:proofErr w:type="spellEnd"/>
      <w:r>
        <w:rPr>
          <w:lang w:val="en-CA"/>
        </w:rPr>
        <w:t xml:space="preserve"> ratio being roughly 3:4:1. </w:t>
      </w:r>
      <w:r>
        <w:t>The oxidation of the AlN has been observed in literature and is attributed to nitrogen hydrolysis</w:t>
      </w:r>
      <w:r>
        <w:fldChar w:fldCharType="begin" w:fldLock="1"/>
      </w:r>
      <w:r w:rsidR="009171A1">
        <w:instrText>ADDIN CSL_CITATION {"citationItems":[{"id":"ITEM-1","itemData":{"DOI":"10.1021/la00041a017","ISSN":"0743-7463","author":[{"dropping-particle":"","family":"Wang","given":"Xiao Dong","non-dropping-particle":"","parse-names":false,"suffix":""},{"dropping-particle":"","family":"Hipps","given":"K. W.","non-dropping-particle":"","parse-names":false,"suffix":""},{"dropping-particle":"","family":"Mazur","given":"Ursula","non-dropping-particle":"","parse-names":false,"suffix":""}],"container-title":"Langmuir","id":"ITEM-1","issue":"5","issued":{"date-parts":[["1992"]]},"page":"1347-1353","title":"Infrared and morphological studies of hydrogenated aluminum nitride thin films","type":"article-journal","volume":"8"},"uris":["http://www.mendeley.com/documents/?uuid=f4c1663b-cfe1-4602-b1df-51aa7a752106"]},{"id":"ITEM-2","itemData":{"DOI":"10.1116/1.580496","ISSN":"0734-2101","author":[{"dropping-particle":"","family":"Yong","given":"Yoon-Joong","non-dropping-particle":"","parse-names":false,"suffix":""},{"dropping-particle":"","family":"Lee","given":"Jai-Young","non-dropping-particle":"","parse-names":false,"suffix":""}],"container-title":"Journal of Vacuum Science &amp; Technology A: Vacuum, Surfaces, and Films","id":"ITEM-2","issue":"2","issued":{"date-parts":[["1997"]]},"page":"390-393","title":"Characteristics of hydrogenated aluminum nitride films prepared by radio frequency reactive sputtering and their application to surface acoustic wave devices","type":"article-journal","volume":"15"},"uris":["http://www.mendeley.com/documents/?uuid=ede1aade-ba78-4449-ae4d-e5678e85ac71"]}],"mendeley":{"formattedCitation":"&lt;sup&gt;[1,2]&lt;/sup&gt;","plainTextFormattedCitation":"[1,2]","previouslyFormattedCitation":"&lt;sup&gt;[1,2]&lt;/sup&gt;"},"properties":{"noteIndex":0},"schema":"https://github.com/citation-style-language/schema/raw/master/csl-citation.json"}</w:instrText>
      </w:r>
      <w:r>
        <w:fldChar w:fldCharType="separate"/>
      </w:r>
      <w:r w:rsidR="009171A1" w:rsidRPr="009171A1">
        <w:rPr>
          <w:noProof/>
          <w:vertAlign w:val="superscript"/>
        </w:rPr>
        <w:t>[1,2]</w:t>
      </w:r>
      <w:r>
        <w:fldChar w:fldCharType="end"/>
      </w:r>
      <w:r>
        <w:t>.</w:t>
      </w:r>
    </w:p>
    <w:p w14:paraId="0431B251" w14:textId="77777777" w:rsidR="000802ED" w:rsidRPr="00EA1FA3" w:rsidRDefault="000802ED" w:rsidP="000802ED">
      <w:pPr>
        <w:spacing w:after="0"/>
        <w:jc w:val="left"/>
        <w:rPr>
          <w:b/>
        </w:rPr>
      </w:pPr>
    </w:p>
    <w:p w14:paraId="01927A2A" w14:textId="77777777" w:rsidR="000802ED" w:rsidRDefault="000802ED" w:rsidP="000802ED">
      <w:pPr>
        <w:pStyle w:val="SNSynopsisTOC"/>
        <w:spacing w:after="240"/>
        <w:jc w:val="left"/>
      </w:pPr>
    </w:p>
    <w:p w14:paraId="6B653B3A" w14:textId="77777777" w:rsidR="000802ED" w:rsidRPr="00BF20B4" w:rsidRDefault="000802ED" w:rsidP="000802ED">
      <w:pPr>
        <w:spacing w:line="480" w:lineRule="auto"/>
        <w:jc w:val="left"/>
        <w:outlineLvl w:val="0"/>
        <w:rPr>
          <w:rFonts w:ascii="Times New Roman" w:eastAsia="Times New Roman" w:hAnsi="Times New Roman"/>
        </w:rPr>
      </w:pPr>
      <w:r>
        <w:rPr>
          <w:b/>
          <w:bCs/>
        </w:rPr>
        <w:t>SE of AlN</w:t>
      </w:r>
    </w:p>
    <w:p w14:paraId="259E1317" w14:textId="77777777" w:rsidR="000802ED" w:rsidRDefault="000802ED" w:rsidP="000802ED">
      <w:pPr>
        <w:spacing w:line="480" w:lineRule="auto"/>
        <w:jc w:val="left"/>
      </w:pPr>
      <w:r>
        <w:rPr>
          <w:b/>
        </w:rPr>
        <w:t>AlN</w:t>
      </w:r>
      <w:r w:rsidRPr="00B5454C">
        <w:rPr>
          <w:b/>
        </w:rPr>
        <w:t xml:space="preserve"> on Si. </w:t>
      </w:r>
      <w:r>
        <w:t xml:space="preserve">Spectroscopic Ellipsometry (SE) was performed on AlN deposited on Si substrate with results in Fig. S1. The complex refractive index (Fig.S1a) has a dispersion relationship characteristic of dielectrics with bandgap in the UV. The fit (Fig.S1b) from which the index was generated show an excellent match between experimental and theory. This complex index of AlN was taken, wherever appropriate, as inputs to theoretical calculations. The thickness of AlN was </w:t>
      </w:r>
      <w:r w:rsidRPr="00831B80">
        <w:t>obtained</w:t>
      </w:r>
      <w:r>
        <w:t xml:space="preserve"> from the fit and used with sputter time to calculate an approximate rate of deposition for the nominal thicknesses in Table 1 of main text. </w:t>
      </w:r>
    </w:p>
    <w:p w14:paraId="3C4F117A" w14:textId="77777777" w:rsidR="000802ED" w:rsidRDefault="000802ED" w:rsidP="000802ED">
      <w:pPr>
        <w:spacing w:line="480" w:lineRule="auto"/>
        <w:jc w:val="left"/>
      </w:pPr>
    </w:p>
    <w:p w14:paraId="405E5108" w14:textId="77777777" w:rsidR="000802ED" w:rsidRDefault="000802ED" w:rsidP="000802ED">
      <w:pPr>
        <w:spacing w:line="480" w:lineRule="auto"/>
        <w:jc w:val="left"/>
        <w:rPr>
          <w:b/>
          <w:bCs/>
        </w:rPr>
      </w:pPr>
      <w:r w:rsidRPr="004E6782">
        <w:rPr>
          <w:noProof/>
          <w:lang w:val="en-CA" w:eastAsia="zh-CN"/>
        </w:rPr>
        <w:t xml:space="preserve"> </w:t>
      </w:r>
      <w:r>
        <w:rPr>
          <w:b/>
          <w:bCs/>
          <w:noProof/>
        </w:rPr>
        <w:drawing>
          <wp:inline distT="0" distB="0" distL="0" distR="0" wp14:anchorId="602A61E6" wp14:editId="54FA9955">
            <wp:extent cx="4277322" cy="720190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E of AlN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77322" cy="7201905"/>
                    </a:xfrm>
                    <a:prstGeom prst="rect">
                      <a:avLst/>
                    </a:prstGeom>
                  </pic:spPr>
                </pic:pic>
              </a:graphicData>
            </a:graphic>
          </wp:inline>
        </w:drawing>
      </w:r>
    </w:p>
    <w:p w14:paraId="7D578654" w14:textId="5D8F44AE" w:rsidR="000802ED" w:rsidRDefault="000802ED" w:rsidP="000802ED">
      <w:pPr>
        <w:jc w:val="left"/>
        <w:rPr>
          <w:bCs/>
        </w:rPr>
      </w:pPr>
      <w:r>
        <w:rPr>
          <w:b/>
          <w:bCs/>
        </w:rPr>
        <w:t xml:space="preserve">Figure S1 | SE Results </w:t>
      </w:r>
      <w:r w:rsidRPr="004E6782">
        <w:rPr>
          <w:b/>
          <w:bCs/>
        </w:rPr>
        <w:t xml:space="preserve">50 nm </w:t>
      </w:r>
      <w:r>
        <w:rPr>
          <w:b/>
          <w:bCs/>
        </w:rPr>
        <w:t>AlN</w:t>
      </w:r>
      <w:r w:rsidRPr="004E6782">
        <w:rPr>
          <w:b/>
          <w:bCs/>
        </w:rPr>
        <w:t xml:space="preserve"> on Si.</w:t>
      </w:r>
      <w:r>
        <w:rPr>
          <w:b/>
          <w:bCs/>
        </w:rPr>
        <w:t xml:space="preserve"> (a) </w:t>
      </w:r>
      <w:r>
        <w:rPr>
          <w:bCs/>
        </w:rPr>
        <w:t xml:space="preserve">Complex refractive index spectrum from </w:t>
      </w:r>
      <w:r w:rsidRPr="004E6782">
        <w:rPr>
          <w:b/>
          <w:bCs/>
        </w:rPr>
        <w:t xml:space="preserve">(b) </w:t>
      </w:r>
      <w:r>
        <w:rPr>
          <w:bCs/>
        </w:rPr>
        <w:t>the fit of the normalized Fourier coefficients: Alpha and Beta</w:t>
      </w:r>
      <w:r>
        <w:fldChar w:fldCharType="begin" w:fldLock="1"/>
      </w:r>
      <w:r w:rsidR="009171A1">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w:instrText>
      </w:r>
      <w:r w:rsidR="009171A1">
        <w:rPr>
          <w:rFonts w:hint="eastAsia"/>
        </w:rPr>
        <w:instrText xml:space="preserve">ic, the success rate (RMSD </w:instrText>
      </w:r>
      <w:r w:rsidR="009171A1">
        <w:rPr>
          <w:rFonts w:hint="eastAsia"/>
        </w:rPr>
        <w:instrText>≤</w:instrText>
      </w:r>
      <w:r w:rsidR="009171A1">
        <w:rPr>
          <w:rFonts w:hint="eastAsia"/>
        </w:rPr>
        <w:instrText xml:space="preserve"> 2.0 Å for the interface backbone atoms) increased from 21% with default Glide SP settings to 58% with the enhanced peptide sampling and scoring protocol in the case of redocking to the native protein structure. This approaches</w:instrText>
      </w:r>
      <w:r w:rsidR="009171A1">
        <w:instrText xml:space="preserve">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approach.","author":[{"dropping-particle":"","family":"Fujiwara","given":"Hiroyuki","non-dropping-particle":"","parse-names":false,"suffix":""}],"container-title":"Book","id":"ITEM-1","issued":{"date-parts":[["2007"]]},"title":"Spectroscopic Ellipsometry Principles and Applications","type":"book"},"uris":["http://www.mendeley.com/documents/?uuid=730e337b-23c4-491c-9f74-5e66f66b339a"]}],"mendeley":{"formattedCitation":"&lt;sup&gt;[4]&lt;/sup&gt;","plainTextFormattedCitation":"[4]","previouslyFormattedCitation":"&lt;sup&gt;[4]&lt;/sup&gt;"},"properties":{"noteIndex":0},"schema":"https://github.com/citation-style-language/schema/raw/master/csl-citation.json"}</w:instrText>
      </w:r>
      <w:r>
        <w:fldChar w:fldCharType="separate"/>
      </w:r>
      <w:r w:rsidR="009171A1" w:rsidRPr="009171A1">
        <w:rPr>
          <w:noProof/>
          <w:vertAlign w:val="superscript"/>
        </w:rPr>
        <w:t>[4]</w:t>
      </w:r>
      <w:r>
        <w:fldChar w:fldCharType="end"/>
      </w:r>
      <w:r>
        <w:rPr>
          <w:bCs/>
        </w:rPr>
        <w:t xml:space="preserve">. </w:t>
      </w:r>
    </w:p>
    <w:p w14:paraId="21C95056" w14:textId="77777777" w:rsidR="000802ED" w:rsidRDefault="000802ED" w:rsidP="000802ED">
      <w:pPr>
        <w:jc w:val="left"/>
        <w:rPr>
          <w:bCs/>
        </w:rPr>
      </w:pPr>
    </w:p>
    <w:p w14:paraId="431BA49F" w14:textId="77777777" w:rsidR="000802ED" w:rsidRDefault="000802ED" w:rsidP="000802ED">
      <w:pPr>
        <w:spacing w:line="480" w:lineRule="auto"/>
        <w:ind w:firstLine="360"/>
        <w:jc w:val="left"/>
        <w:rPr>
          <w:rFonts w:ascii="Times New Roman" w:hAnsi="Times New Roman"/>
        </w:rPr>
      </w:pPr>
      <w:r>
        <w:rPr>
          <w:b/>
          <w:bCs/>
        </w:rPr>
        <w:t>Thin AlN</w:t>
      </w:r>
      <w:r w:rsidRPr="00B5454C">
        <w:rPr>
          <w:b/>
          <w:bCs/>
        </w:rPr>
        <w:t xml:space="preserve"> on </w:t>
      </w:r>
      <w:r>
        <w:rPr>
          <w:b/>
          <w:bCs/>
        </w:rPr>
        <w:t xml:space="preserve">thick </w:t>
      </w:r>
      <w:r w:rsidRPr="00B5454C">
        <w:rPr>
          <w:b/>
          <w:bCs/>
        </w:rPr>
        <w:t xml:space="preserve">Ag. </w:t>
      </w:r>
      <w:r>
        <w:rPr>
          <w:rFonts w:ascii="Times New Roman" w:hAnsi="Times New Roman"/>
        </w:rPr>
        <w:t>To obtain the complex refractive indices of the top AlN layer on bulk Ag, Spectroscopic Ellipsometry (SE) was performed on samples S1 and S2. We chose only these two samples because:</w:t>
      </w:r>
    </w:p>
    <w:p w14:paraId="16873624" w14:textId="77777777" w:rsidR="000802ED" w:rsidRPr="005D03D6" w:rsidRDefault="000802ED" w:rsidP="000802ED">
      <w:pPr>
        <w:pStyle w:val="ListParagraph"/>
        <w:numPr>
          <w:ilvl w:val="0"/>
          <w:numId w:val="21"/>
        </w:numPr>
        <w:spacing w:line="480" w:lineRule="auto"/>
        <w:jc w:val="left"/>
        <w:rPr>
          <w:b/>
          <w:bCs/>
          <w:lang w:val="en-CA" w:eastAsia="zh-CN"/>
        </w:rPr>
      </w:pPr>
      <w:r>
        <w:rPr>
          <w:rFonts w:ascii="Times New Roman" w:hAnsi="Times New Roman"/>
        </w:rPr>
        <w:t>The silver, at 300 nm, is optically thick.</w:t>
      </w:r>
    </w:p>
    <w:p w14:paraId="5C34B667" w14:textId="77777777" w:rsidR="000802ED" w:rsidRPr="005D03D6" w:rsidRDefault="000802ED" w:rsidP="000802ED">
      <w:pPr>
        <w:pStyle w:val="ListParagraph"/>
        <w:numPr>
          <w:ilvl w:val="0"/>
          <w:numId w:val="21"/>
        </w:numPr>
        <w:spacing w:line="480" w:lineRule="auto"/>
        <w:jc w:val="left"/>
        <w:rPr>
          <w:b/>
          <w:bCs/>
          <w:lang w:val="en-CA" w:eastAsia="zh-CN"/>
        </w:rPr>
      </w:pPr>
      <w:r>
        <w:rPr>
          <w:rFonts w:ascii="Times New Roman" w:hAnsi="Times New Roman"/>
          <w:lang w:val="en-CA"/>
        </w:rPr>
        <w:t>T</w:t>
      </w:r>
      <w:r w:rsidRPr="0020308E">
        <w:rPr>
          <w:rFonts w:ascii="Times New Roman" w:hAnsi="Times New Roman"/>
        </w:rPr>
        <w:t>here is little upward diffusion of Ag in these samples</w:t>
      </w:r>
      <w:r>
        <w:rPr>
          <w:rFonts w:ascii="Times New Roman" w:hAnsi="Times New Roman"/>
        </w:rPr>
        <w:t xml:space="preserve"> </w:t>
      </w:r>
      <w:r w:rsidRPr="005D03D6">
        <w:rPr>
          <w:rFonts w:ascii="Times New Roman" w:hAnsi="Times New Roman"/>
        </w:rPr>
        <w:t xml:space="preserve">(as was shown in the </w:t>
      </w:r>
      <w:proofErr w:type="spellStart"/>
      <w:r w:rsidRPr="005D03D6">
        <w:rPr>
          <w:rFonts w:ascii="Times New Roman" w:hAnsi="Times New Roman"/>
        </w:rPr>
        <w:t>ToF</w:t>
      </w:r>
      <w:proofErr w:type="spellEnd"/>
      <w:r w:rsidRPr="005D03D6">
        <w:rPr>
          <w:rFonts w:ascii="Times New Roman" w:hAnsi="Times New Roman"/>
        </w:rPr>
        <w:t>-SIMS profile of S2)</w:t>
      </w:r>
      <w:r>
        <w:rPr>
          <w:rFonts w:ascii="Times New Roman" w:hAnsi="Times New Roman"/>
        </w:rPr>
        <w:t>.</w:t>
      </w:r>
      <w:r w:rsidRPr="005D03D6">
        <w:rPr>
          <w:rFonts w:ascii="Times New Roman" w:hAnsi="Times New Roman"/>
        </w:rPr>
        <w:t xml:space="preserve"> </w:t>
      </w:r>
    </w:p>
    <w:p w14:paraId="6D467784" w14:textId="77777777" w:rsidR="000802ED" w:rsidRPr="005D03D6" w:rsidRDefault="000802ED" w:rsidP="000802ED">
      <w:pPr>
        <w:pStyle w:val="ListParagraph"/>
        <w:numPr>
          <w:ilvl w:val="0"/>
          <w:numId w:val="21"/>
        </w:numPr>
        <w:spacing w:line="480" w:lineRule="auto"/>
        <w:jc w:val="left"/>
        <w:rPr>
          <w:b/>
          <w:bCs/>
          <w:lang w:val="en-CA" w:eastAsia="zh-CN"/>
        </w:rPr>
      </w:pPr>
      <w:r>
        <w:rPr>
          <w:rFonts w:ascii="Times New Roman" w:hAnsi="Times New Roman"/>
        </w:rPr>
        <w:t>T</w:t>
      </w:r>
      <w:r w:rsidRPr="005D03D6">
        <w:rPr>
          <w:rFonts w:ascii="Times New Roman" w:hAnsi="Times New Roman"/>
        </w:rPr>
        <w:t>he top layer thickness is of the order of the interface roughness</w:t>
      </w:r>
      <w:r>
        <w:rPr>
          <w:rFonts w:ascii="Times New Roman" w:hAnsi="Times New Roman"/>
        </w:rPr>
        <w:t xml:space="preserve"> (S1: 3 nm, S2: 20 nm, roughness: ~15 nm)</w:t>
      </w:r>
      <w:r w:rsidRPr="005D03D6">
        <w:rPr>
          <w:rFonts w:ascii="Times New Roman" w:hAnsi="Times New Roman"/>
        </w:rPr>
        <w:t xml:space="preserve">, which </w:t>
      </w:r>
      <w:r w:rsidRPr="00A00A73">
        <w:rPr>
          <w:bCs/>
        </w:rPr>
        <w:t xml:space="preserve">allows for representation of the top layer as one layer with a homogenous effective refractive index spectrum. </w:t>
      </w:r>
    </w:p>
    <w:p w14:paraId="4363E496" w14:textId="79E48F8B" w:rsidR="000802ED" w:rsidRDefault="000802ED" w:rsidP="000802ED">
      <w:pPr>
        <w:spacing w:line="480" w:lineRule="auto"/>
        <w:jc w:val="left"/>
        <w:rPr>
          <w:bCs/>
        </w:rPr>
      </w:pPr>
      <w:r>
        <w:rPr>
          <w:rFonts w:ascii="Times New Roman" w:hAnsi="Times New Roman"/>
          <w:lang w:val="en-CA"/>
        </w:rPr>
        <w:t xml:space="preserve">    </w:t>
      </w:r>
      <w:r w:rsidRPr="002E6F86">
        <w:rPr>
          <w:rFonts w:ascii="Times New Roman" w:hAnsi="Times New Roman"/>
          <w:lang w:val="en-CA"/>
        </w:rPr>
        <w:t xml:space="preserve">Using the ellipsometry analysis software </w:t>
      </w:r>
      <w:proofErr w:type="spellStart"/>
      <w:r w:rsidRPr="002E6F86">
        <w:rPr>
          <w:rFonts w:ascii="Times New Roman" w:hAnsi="Times New Roman"/>
          <w:lang w:val="en-CA"/>
        </w:rPr>
        <w:t>Winelli</w:t>
      </w:r>
      <w:proofErr w:type="spellEnd"/>
      <w:r w:rsidRPr="002E6F86">
        <w:rPr>
          <w:rFonts w:ascii="Times New Roman" w:hAnsi="Times New Roman"/>
          <w:lang w:val="en-CA"/>
        </w:rPr>
        <w:t xml:space="preserve"> II, a model consisting of 4 Lorentz Oscillators</w:t>
      </w:r>
      <w:r>
        <w:rPr>
          <w:rFonts w:ascii="Times New Roman" w:hAnsi="Times New Roman"/>
          <w:lang w:val="en-CA"/>
        </w:rPr>
        <w:fldChar w:fldCharType="begin" w:fldLock="1"/>
      </w:r>
      <w:r w:rsidR="009171A1">
        <w:rPr>
          <w:rFonts w:ascii="Times New Roman" w:hAnsi="Times New Roman"/>
          <w:lang w:val="en-CA"/>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w:instrText>
      </w:r>
      <w:r w:rsidR="009171A1">
        <w:rPr>
          <w:rFonts w:ascii="Times New Roman" w:hAnsi="Times New Roman" w:hint="eastAsia"/>
          <w:lang w:val="en-CA"/>
        </w:rPr>
        <w:instrText xml:space="preserve">ic, the success rate (RMSD </w:instrText>
      </w:r>
      <w:r w:rsidR="009171A1">
        <w:rPr>
          <w:rFonts w:ascii="Times New Roman" w:hAnsi="Times New Roman" w:hint="eastAsia"/>
          <w:lang w:val="en-CA"/>
        </w:rPr>
        <w:instrText>≤</w:instrText>
      </w:r>
      <w:r w:rsidR="009171A1">
        <w:rPr>
          <w:rFonts w:ascii="Times New Roman" w:hAnsi="Times New Roman" w:hint="eastAsia"/>
          <w:lang w:val="en-CA"/>
        </w:rPr>
        <w:instrText xml:space="preserve"> 2.0 Å for the interface backbone atoms) increased from 21% with default Glide SP settings to 58% with the enhanced peptide sampling and scoring protocol in the case of redocking to the native protein structure. This approaches</w:instrText>
      </w:r>
      <w:r w:rsidR="009171A1">
        <w:rPr>
          <w:rFonts w:ascii="Times New Roman" w:hAnsi="Times New Roman"/>
          <w:lang w:val="en-CA"/>
        </w:rPr>
        <w:instrText xml:space="preserve">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approach.","author":[{"dropping-particle":"","family":"Fujiwara","given":"Hiroyuki","non-dropping-particle":"","parse-names":false,"suffix":""}],"container-title":"Book","id":"ITEM-1","issued":{"date-parts":[["2007"]]},"title":"Spectroscopic Ellipsometry Principles and Applications","type":"book"},"uris":["http://www.mendeley.com/documents/?uuid=730e337b-23c4-491c-9f74-5e66f66b339a"]}],"mendeley":{"formattedCitation":"&lt;sup&gt;[4]&lt;/sup&gt;","plainTextFormattedCitation":"[4]","previouslyFormattedCitation":"&lt;sup&gt;[4]&lt;/sup&gt;"},"properties":{"noteIndex":0},"schema":"https://github.com/citation-style-language/schema/raw/master/csl-citation.json"}</w:instrText>
      </w:r>
      <w:r>
        <w:rPr>
          <w:rFonts w:ascii="Times New Roman" w:hAnsi="Times New Roman"/>
          <w:lang w:val="en-CA"/>
        </w:rPr>
        <w:fldChar w:fldCharType="separate"/>
      </w:r>
      <w:r w:rsidR="009171A1" w:rsidRPr="009171A1">
        <w:rPr>
          <w:rFonts w:ascii="Times New Roman" w:hAnsi="Times New Roman"/>
          <w:noProof/>
          <w:vertAlign w:val="superscript"/>
          <w:lang w:val="en-CA"/>
        </w:rPr>
        <w:t>[4]</w:t>
      </w:r>
      <w:r>
        <w:rPr>
          <w:rFonts w:ascii="Times New Roman" w:hAnsi="Times New Roman"/>
          <w:lang w:val="en-CA"/>
        </w:rPr>
        <w:fldChar w:fldCharType="end"/>
      </w:r>
      <w:r w:rsidRPr="002E6F86">
        <w:rPr>
          <w:rFonts w:ascii="Times New Roman" w:hAnsi="Times New Roman"/>
          <w:lang w:val="en-CA"/>
        </w:rPr>
        <w:t xml:space="preserve"> was used to successfully fit the ellipsometric data</w:t>
      </w:r>
      <w:r>
        <w:rPr>
          <w:rFonts w:ascii="Times New Roman" w:hAnsi="Times New Roman"/>
          <w:lang w:val="en-CA"/>
        </w:rPr>
        <w:t xml:space="preserve">. </w:t>
      </w:r>
      <w:r>
        <w:rPr>
          <w:bCs/>
        </w:rPr>
        <w:t xml:space="preserve">Fig. S2,3 and Table S4,5 below show the regression fit results of ellipsometry on samples S1 and S2 of Table 1, respectively. The Lorentz Oscillator is a commonly used dielectric function that models the electron-nucleus interaction under incident electromagnetic waves as a forced ball-spring oscillator. It computes a dielectric constant dispersion </w:t>
      </w:r>
      <m:oMath>
        <m:r>
          <w:rPr>
            <w:rFonts w:ascii="Cambria Math" w:hAnsi="Cambria Math"/>
          </w:rPr>
          <m:t>ϵ(λ)=</m:t>
        </m:r>
        <m:sSub>
          <m:sSubPr>
            <m:ctrlPr>
              <w:rPr>
                <w:rFonts w:ascii="Cambria Math" w:hAnsi="Cambria Math"/>
                <w:bCs/>
                <w:i/>
              </w:rPr>
            </m:ctrlPr>
          </m:sSubPr>
          <m:e>
            <m:r>
              <w:rPr>
                <w:rFonts w:ascii="Cambria Math" w:hAnsi="Cambria Math"/>
              </w:rPr>
              <m:t>ϵ</m:t>
            </m:r>
          </m:e>
          <m:sub>
            <m:r>
              <w:rPr>
                <w:rFonts w:ascii="Cambria Math" w:hAnsi="Cambria Math"/>
              </w:rPr>
              <m:t xml:space="preserve">r </m:t>
            </m:r>
          </m:sub>
        </m:sSub>
        <m:r>
          <w:rPr>
            <w:rFonts w:ascii="Cambria Math" w:hAnsi="Cambria Math"/>
          </w:rPr>
          <m:t>(λ)-j</m:t>
        </m:r>
        <m:sSub>
          <m:sSubPr>
            <m:ctrlPr>
              <w:rPr>
                <w:rFonts w:ascii="Cambria Math" w:hAnsi="Cambria Math"/>
                <w:bCs/>
                <w:i/>
              </w:rPr>
            </m:ctrlPr>
          </m:sSubPr>
          <m:e>
            <m:r>
              <w:rPr>
                <w:rFonts w:ascii="Cambria Math" w:hAnsi="Cambria Math"/>
              </w:rPr>
              <m:t>ϵ</m:t>
            </m:r>
          </m:e>
          <m:sub>
            <m:r>
              <w:rPr>
                <w:rFonts w:ascii="Cambria Math" w:hAnsi="Cambria Math"/>
              </w:rPr>
              <m:t>i</m:t>
            </m:r>
          </m:sub>
        </m:sSub>
        <m:r>
          <w:rPr>
            <w:rFonts w:ascii="Cambria Math" w:hAnsi="Cambria Math"/>
          </w:rPr>
          <m:t>(λ)</m:t>
        </m:r>
      </m:oMath>
      <w:r>
        <w:rPr>
          <w:bCs/>
        </w:rPr>
        <w:t xml:space="preserve"> of</w:t>
      </w:r>
      <w:r>
        <w:rPr>
          <w:bCs/>
        </w:rPr>
        <w:fldChar w:fldCharType="begin" w:fldLock="1"/>
      </w:r>
      <w:r w:rsidR="009171A1">
        <w:rPr>
          <w:bCs/>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w:instrText>
      </w:r>
      <w:r w:rsidR="009171A1">
        <w:rPr>
          <w:rFonts w:hint="eastAsia"/>
          <w:bCs/>
        </w:rPr>
        <w:instrText xml:space="preserve">ic, the success rate (RMSD </w:instrText>
      </w:r>
      <w:r w:rsidR="009171A1">
        <w:rPr>
          <w:rFonts w:hint="eastAsia"/>
          <w:bCs/>
        </w:rPr>
        <w:instrText>≤</w:instrText>
      </w:r>
      <w:r w:rsidR="009171A1">
        <w:rPr>
          <w:rFonts w:hint="eastAsia"/>
          <w:bCs/>
        </w:rPr>
        <w:instrText xml:space="preserve"> 2.0 Å for the interface backbone atoms) increased from 21% with default Glide SP settings to 58% with the enhanced peptide sampling and scoring protocol in the case of redocking to the native protein structure. This approaches</w:instrText>
      </w:r>
      <w:r w:rsidR="009171A1">
        <w:rPr>
          <w:bCs/>
        </w:rPr>
        <w:instrText xml:space="preserve">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approach.","author":[{"dropping-particle":"","family":"Fujiwara","given":"Hiroyuki","non-dropping-particle":"","parse-names":false,"suffix":""}],"container-title":"Book","id":"ITEM-1","issued":{"date-parts":[["2007"]]},"title":"Spectroscopic Ellipsometry Principles and Applications","type":"book"},"uris":["http://www.mendeley.com/documents/?uuid=730e337b-23c4-491c-9f74-5e66f66b339a"]}],"mendeley":{"formattedCitation":"&lt;sup&gt;[4]&lt;/sup&gt;","plainTextFormattedCitation":"[4]","previouslyFormattedCitation":"&lt;sup&gt;[4]&lt;/sup&gt;"},"properties":{"noteIndex":0},"schema":"https://github.com/citation-style-language/schema/raw/master/csl-citation.json"}</w:instrText>
      </w:r>
      <w:r>
        <w:rPr>
          <w:bCs/>
        </w:rPr>
        <w:fldChar w:fldCharType="separate"/>
      </w:r>
      <w:r w:rsidR="009171A1" w:rsidRPr="009171A1">
        <w:rPr>
          <w:bCs/>
          <w:noProof/>
          <w:vertAlign w:val="superscript"/>
        </w:rPr>
        <w:t>[4]</w:t>
      </w:r>
      <w:r>
        <w:rPr>
          <w:bCs/>
        </w:rPr>
        <w:fldChar w:fldCharType="end"/>
      </w:r>
      <w:r>
        <w:rPr>
          <w:bCs/>
        </w:rPr>
        <w:t>:</w:t>
      </w:r>
    </w:p>
    <w:p w14:paraId="6A451C0A" w14:textId="77777777" w:rsidR="000802ED" w:rsidRPr="00ED204C" w:rsidRDefault="000802ED" w:rsidP="000802ED">
      <w:pPr>
        <w:spacing w:line="480" w:lineRule="auto"/>
        <w:jc w:val="left"/>
        <w:rPr>
          <w:bCs/>
        </w:rPr>
      </w:pPr>
      <m:oMathPara>
        <m:oMath>
          <m:r>
            <w:rPr>
              <w:rFonts w:ascii="Cambria Math" w:hAnsi="Cambria Math"/>
            </w:rPr>
            <m:t xml:space="preserve"> </m:t>
          </m:r>
          <m:sSub>
            <m:sSubPr>
              <m:ctrlPr>
                <w:rPr>
                  <w:rFonts w:ascii="Cambria Math" w:hAnsi="Cambria Math"/>
                  <w:bCs/>
                  <w:i/>
                </w:rPr>
              </m:ctrlPr>
            </m:sSubPr>
            <m:e>
              <m:r>
                <w:rPr>
                  <w:rFonts w:ascii="Cambria Math" w:hAnsi="Cambria Math"/>
                </w:rPr>
                <m:t>ϵ</m:t>
              </m:r>
            </m:e>
            <m:sub>
              <m:r>
                <w:rPr>
                  <w:rFonts w:ascii="Cambria Math" w:hAnsi="Cambria Math"/>
                </w:rPr>
                <m:t>r</m:t>
              </m:r>
            </m:sub>
          </m:sSub>
          <m:d>
            <m:dPr>
              <m:ctrlPr>
                <w:rPr>
                  <w:rFonts w:ascii="Cambria Math" w:hAnsi="Cambria Math"/>
                  <w:bCs/>
                  <w:i/>
                </w:rPr>
              </m:ctrlPr>
            </m:dPr>
            <m:e>
              <m:r>
                <w:rPr>
                  <w:rFonts w:ascii="Cambria Math" w:hAnsi="Cambria Math"/>
                </w:rPr>
                <m:t>λ</m:t>
              </m:r>
            </m:e>
          </m:d>
          <m:r>
            <w:rPr>
              <w:rFonts w:ascii="Cambria Math" w:hAnsi="Cambria Math"/>
            </w:rPr>
            <m:t>=</m:t>
          </m:r>
          <m:f>
            <m:fPr>
              <m:ctrlPr>
                <w:rPr>
                  <w:rFonts w:ascii="Cambria Math" w:hAnsi="Cambria Math"/>
                  <w:bCs/>
                  <w:i/>
                </w:rPr>
              </m:ctrlPr>
            </m:fPr>
            <m:num>
              <m:r>
                <w:rPr>
                  <w:rFonts w:ascii="Cambria Math" w:hAnsi="Cambria Math"/>
                </w:rPr>
                <m:t>A</m:t>
              </m:r>
              <m:sSup>
                <m:sSupPr>
                  <m:ctrlPr>
                    <w:rPr>
                      <w:rFonts w:ascii="Cambria Math" w:hAnsi="Cambria Math"/>
                      <w:bCs/>
                      <w:i/>
                    </w:rPr>
                  </m:ctrlPr>
                </m:sSupPr>
                <m:e>
                  <m:r>
                    <w:rPr>
                      <w:rFonts w:ascii="Cambria Math" w:hAnsi="Cambria Math"/>
                    </w:rPr>
                    <m:t>λ</m:t>
                  </m:r>
                </m:e>
                <m:sup>
                  <m:r>
                    <w:rPr>
                      <w:rFonts w:ascii="Cambria Math" w:hAnsi="Cambria Math"/>
                    </w:rPr>
                    <m:t>2</m:t>
                  </m:r>
                </m:sup>
              </m:sSup>
              <m:r>
                <w:rPr>
                  <w:rFonts w:ascii="Cambria Math" w:hAnsi="Cambria Math"/>
                </w:rPr>
                <m:t>(</m:t>
              </m:r>
              <m:sSup>
                <m:sSupPr>
                  <m:ctrlPr>
                    <w:rPr>
                      <w:rFonts w:ascii="Cambria Math" w:hAnsi="Cambria Math"/>
                      <w:bCs/>
                      <w:i/>
                    </w:rPr>
                  </m:ctrlPr>
                </m:sSupPr>
                <m:e>
                  <m:r>
                    <w:rPr>
                      <w:rFonts w:ascii="Cambria Math" w:hAnsi="Cambria Math"/>
                    </w:rPr>
                    <m:t>λ</m:t>
                  </m:r>
                </m:e>
                <m:sup>
                  <m:r>
                    <w:rPr>
                      <w:rFonts w:ascii="Cambria Math" w:hAnsi="Cambria Math"/>
                    </w:rPr>
                    <m:t>2</m:t>
                  </m:r>
                </m:sup>
              </m:sSup>
              <m:r>
                <w:rPr>
                  <w:rFonts w:ascii="Cambria Math" w:hAnsi="Cambria Math"/>
                </w:rPr>
                <m:t>-</m:t>
              </m:r>
              <m:sSup>
                <m:sSupPr>
                  <m:ctrlPr>
                    <w:rPr>
                      <w:rFonts w:ascii="Cambria Math" w:hAnsi="Cambria Math"/>
                      <w:bCs/>
                      <w:i/>
                    </w:rPr>
                  </m:ctrlPr>
                </m:sSupPr>
                <m:e>
                  <m:d>
                    <m:dPr>
                      <m:ctrlPr>
                        <w:rPr>
                          <w:rFonts w:ascii="Cambria Math" w:hAnsi="Cambria Math"/>
                          <w:bCs/>
                          <w:i/>
                        </w:rPr>
                      </m:ctrlPr>
                    </m:dPr>
                    <m:e>
                      <m:f>
                        <m:fPr>
                          <m:ctrlPr>
                            <w:rPr>
                              <w:rFonts w:ascii="Cambria Math" w:hAnsi="Cambria Math"/>
                              <w:bCs/>
                              <w:i/>
                            </w:rPr>
                          </m:ctrlPr>
                        </m:fPr>
                        <m:num>
                          <m:sSub>
                            <m:sSubPr>
                              <m:ctrlPr>
                                <w:rPr>
                                  <w:rFonts w:ascii="Cambria Math" w:hAnsi="Cambria Math"/>
                                  <w:bCs/>
                                  <w:i/>
                                </w:rPr>
                              </m:ctrlPr>
                            </m:sSubPr>
                            <m:e>
                              <m:r>
                                <w:rPr>
                                  <w:rFonts w:ascii="Cambria Math" w:hAnsi="Cambria Math"/>
                                </w:rPr>
                                <m:t>K</m:t>
                              </m:r>
                            </m:e>
                            <m:sub>
                              <m:r>
                                <w:rPr>
                                  <w:rFonts w:ascii="Cambria Math" w:hAnsi="Cambria Math"/>
                                </w:rPr>
                                <m:t>0</m:t>
                              </m:r>
                            </m:sub>
                          </m:sSub>
                        </m:num>
                        <m:den>
                          <m:sSub>
                            <m:sSubPr>
                              <m:ctrlPr>
                                <w:rPr>
                                  <w:rFonts w:ascii="Cambria Math" w:hAnsi="Cambria Math"/>
                                  <w:bCs/>
                                  <w:i/>
                                </w:rPr>
                              </m:ctrlPr>
                            </m:sSubPr>
                            <m:e>
                              <m:r>
                                <w:rPr>
                                  <w:rFonts w:ascii="Cambria Math" w:hAnsi="Cambria Math"/>
                                </w:rPr>
                                <m:t>E</m:t>
                              </m:r>
                            </m:e>
                            <m:sub>
                              <m:r>
                                <w:rPr>
                                  <w:rFonts w:ascii="Cambria Math" w:hAnsi="Cambria Math"/>
                                </w:rPr>
                                <m:t>0</m:t>
                              </m:r>
                            </m:sub>
                          </m:sSub>
                        </m:den>
                      </m:f>
                    </m:e>
                  </m:d>
                </m:e>
                <m:sup>
                  <m:r>
                    <w:rPr>
                      <w:rFonts w:ascii="Cambria Math" w:hAnsi="Cambria Math"/>
                    </w:rPr>
                    <m:t>2</m:t>
                  </m:r>
                </m:sup>
              </m:sSup>
              <m:r>
                <w:rPr>
                  <w:rFonts w:ascii="Cambria Math" w:hAnsi="Cambria Math"/>
                </w:rPr>
                <m:t>)</m:t>
              </m:r>
            </m:num>
            <m:den>
              <m:sSup>
                <m:sSupPr>
                  <m:ctrlPr>
                    <w:rPr>
                      <w:rFonts w:ascii="Cambria Math" w:hAnsi="Cambria Math"/>
                      <w:bCs/>
                      <w:i/>
                    </w:rPr>
                  </m:ctrlPr>
                </m:sSupPr>
                <m:e>
                  <m:d>
                    <m:dPr>
                      <m:ctrlPr>
                        <w:rPr>
                          <w:rFonts w:ascii="Cambria Math" w:hAnsi="Cambria Math"/>
                          <w:bCs/>
                          <w:i/>
                        </w:rPr>
                      </m:ctrlPr>
                    </m:dPr>
                    <m:e>
                      <m:sSup>
                        <m:sSupPr>
                          <m:ctrlPr>
                            <w:rPr>
                              <w:rFonts w:ascii="Cambria Math" w:hAnsi="Cambria Math"/>
                              <w:bCs/>
                              <w:i/>
                            </w:rPr>
                          </m:ctrlPr>
                        </m:sSupPr>
                        <m:e>
                          <m:r>
                            <w:rPr>
                              <w:rFonts w:ascii="Cambria Math" w:hAnsi="Cambria Math"/>
                            </w:rPr>
                            <m:t>λ</m:t>
                          </m:r>
                        </m:e>
                        <m:sup>
                          <m:r>
                            <w:rPr>
                              <w:rFonts w:ascii="Cambria Math" w:hAnsi="Cambria Math"/>
                            </w:rPr>
                            <m:t>2</m:t>
                          </m:r>
                        </m:sup>
                      </m:sSup>
                      <m:r>
                        <w:rPr>
                          <w:rFonts w:ascii="Cambria Math" w:hAnsi="Cambria Math"/>
                        </w:rPr>
                        <m:t>-</m:t>
                      </m:r>
                      <m:sSup>
                        <m:sSupPr>
                          <m:ctrlPr>
                            <w:rPr>
                              <w:rFonts w:ascii="Cambria Math" w:hAnsi="Cambria Math"/>
                              <w:bCs/>
                              <w:i/>
                            </w:rPr>
                          </m:ctrlPr>
                        </m:sSupPr>
                        <m:e>
                          <m:d>
                            <m:dPr>
                              <m:ctrlPr>
                                <w:rPr>
                                  <w:rFonts w:ascii="Cambria Math" w:hAnsi="Cambria Math"/>
                                  <w:bCs/>
                                  <w:i/>
                                </w:rPr>
                              </m:ctrlPr>
                            </m:dPr>
                            <m:e>
                              <m:f>
                                <m:fPr>
                                  <m:ctrlPr>
                                    <w:rPr>
                                      <w:rFonts w:ascii="Cambria Math" w:hAnsi="Cambria Math"/>
                                      <w:bCs/>
                                      <w:i/>
                                    </w:rPr>
                                  </m:ctrlPr>
                                </m:fPr>
                                <m:num>
                                  <m:sSub>
                                    <m:sSubPr>
                                      <m:ctrlPr>
                                        <w:rPr>
                                          <w:rFonts w:ascii="Cambria Math" w:hAnsi="Cambria Math"/>
                                          <w:bCs/>
                                          <w:i/>
                                        </w:rPr>
                                      </m:ctrlPr>
                                    </m:sSubPr>
                                    <m:e>
                                      <m:r>
                                        <w:rPr>
                                          <w:rFonts w:ascii="Cambria Math" w:hAnsi="Cambria Math"/>
                                        </w:rPr>
                                        <m:t>K</m:t>
                                      </m:r>
                                    </m:e>
                                    <m:sub>
                                      <m:r>
                                        <w:rPr>
                                          <w:rFonts w:ascii="Cambria Math" w:hAnsi="Cambria Math"/>
                                        </w:rPr>
                                        <m:t>0</m:t>
                                      </m:r>
                                    </m:sub>
                                  </m:sSub>
                                </m:num>
                                <m:den>
                                  <m:sSub>
                                    <m:sSubPr>
                                      <m:ctrlPr>
                                        <w:rPr>
                                          <w:rFonts w:ascii="Cambria Math" w:hAnsi="Cambria Math"/>
                                          <w:bCs/>
                                          <w:i/>
                                        </w:rPr>
                                      </m:ctrlPr>
                                    </m:sSubPr>
                                    <m:e>
                                      <m:r>
                                        <w:rPr>
                                          <w:rFonts w:ascii="Cambria Math" w:hAnsi="Cambria Math"/>
                                        </w:rPr>
                                        <m:t>E</m:t>
                                      </m:r>
                                    </m:e>
                                    <m:sub>
                                      <m:r>
                                        <w:rPr>
                                          <w:rFonts w:ascii="Cambria Math" w:hAnsi="Cambria Math"/>
                                        </w:rPr>
                                        <m:t>0</m:t>
                                      </m:r>
                                    </m:sub>
                                  </m:sSub>
                                </m:den>
                              </m:f>
                            </m:e>
                          </m:d>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bCs/>
                      <w:i/>
                    </w:rPr>
                  </m:ctrlPr>
                </m:sSupPr>
                <m:e>
                  <m:r>
                    <m:rPr>
                      <m:sty m:val="p"/>
                    </m:rPr>
                    <w:rPr>
                      <w:rFonts w:ascii="Cambria Math" w:hAnsi="Cambria Math"/>
                    </w:rPr>
                    <m:t>Γ</m:t>
                  </m:r>
                  <m:ctrlPr>
                    <w:rPr>
                      <w:rFonts w:ascii="Cambria Math" w:hAnsi="Cambria Math"/>
                      <w:bCs/>
                    </w:rPr>
                  </m:ctrlPr>
                </m:e>
                <m:sup>
                  <m:r>
                    <w:rPr>
                      <w:rFonts w:ascii="Cambria Math" w:hAnsi="Cambria Math"/>
                    </w:rPr>
                    <m:t>2</m:t>
                  </m:r>
                </m:sup>
              </m:sSup>
              <m:sSup>
                <m:sSupPr>
                  <m:ctrlPr>
                    <w:rPr>
                      <w:rFonts w:ascii="Cambria Math" w:hAnsi="Cambria Math"/>
                      <w:bCs/>
                      <w:i/>
                    </w:rPr>
                  </m:ctrlPr>
                </m:sSupPr>
                <m:e>
                  <m:r>
                    <w:rPr>
                      <w:rFonts w:ascii="Cambria Math" w:hAnsi="Cambria Math"/>
                    </w:rPr>
                    <m:t>λ</m:t>
                  </m:r>
                </m:e>
                <m:sup>
                  <m:r>
                    <w:rPr>
                      <w:rFonts w:ascii="Cambria Math" w:hAnsi="Cambria Math"/>
                    </w:rPr>
                    <m:t>2</m:t>
                  </m:r>
                </m:sup>
              </m:sSup>
            </m:den>
          </m:f>
        </m:oMath>
      </m:oMathPara>
    </w:p>
    <w:p w14:paraId="7851ABC2" w14:textId="77777777" w:rsidR="000802ED" w:rsidRDefault="00752F75" w:rsidP="000802ED">
      <w:pPr>
        <w:spacing w:line="480" w:lineRule="auto"/>
        <w:jc w:val="left"/>
        <w:rPr>
          <w:bCs/>
        </w:rPr>
      </w:pPr>
      <m:oMathPara>
        <m:oMath>
          <m:sSub>
            <m:sSubPr>
              <m:ctrlPr>
                <w:rPr>
                  <w:rFonts w:ascii="Cambria Math" w:hAnsi="Cambria Math"/>
                  <w:bCs/>
                  <w:i/>
                </w:rPr>
              </m:ctrlPr>
            </m:sSubPr>
            <m:e>
              <m:r>
                <w:rPr>
                  <w:rFonts w:ascii="Cambria Math" w:hAnsi="Cambria Math"/>
                </w:rPr>
                <m:t>ϵ</m:t>
              </m:r>
            </m:e>
            <m:sub>
              <m:r>
                <w:rPr>
                  <w:rFonts w:ascii="Cambria Math" w:hAnsi="Cambria Math"/>
                </w:rPr>
                <m:t>i</m:t>
              </m:r>
            </m:sub>
          </m:sSub>
          <m:r>
            <w:rPr>
              <w:rFonts w:ascii="Cambria Math" w:hAnsi="Cambria Math"/>
            </w:rPr>
            <m:t>(λ)=</m:t>
          </m:r>
          <m:f>
            <m:fPr>
              <m:ctrlPr>
                <w:rPr>
                  <w:rFonts w:ascii="Cambria Math" w:hAnsi="Cambria Math"/>
                  <w:bCs/>
                  <w:i/>
                </w:rPr>
              </m:ctrlPr>
            </m:fPr>
            <m:num>
              <m:r>
                <w:rPr>
                  <w:rFonts w:ascii="Cambria Math" w:hAnsi="Cambria Math"/>
                </w:rPr>
                <m:t>A</m:t>
              </m:r>
              <m:sSup>
                <m:sSupPr>
                  <m:ctrlPr>
                    <w:rPr>
                      <w:rFonts w:ascii="Cambria Math" w:hAnsi="Cambria Math"/>
                      <w:bCs/>
                      <w:i/>
                    </w:rPr>
                  </m:ctrlPr>
                </m:sSupPr>
                <m:e>
                  <m:r>
                    <w:rPr>
                      <w:rFonts w:ascii="Cambria Math" w:hAnsi="Cambria Math"/>
                    </w:rPr>
                    <m:t>λ</m:t>
                  </m:r>
                </m:e>
                <m:sup>
                  <m:r>
                    <w:rPr>
                      <w:rFonts w:ascii="Cambria Math" w:hAnsi="Cambria Math"/>
                    </w:rPr>
                    <m:t>3</m:t>
                  </m:r>
                </m:sup>
              </m:sSup>
              <m:r>
                <m:rPr>
                  <m:sty m:val="p"/>
                </m:rPr>
                <w:rPr>
                  <w:rFonts w:ascii="Cambria Math" w:hAnsi="Cambria Math"/>
                </w:rPr>
                <m:t>Γ</m:t>
              </m:r>
            </m:num>
            <m:den>
              <m:sSup>
                <m:sSupPr>
                  <m:ctrlPr>
                    <w:rPr>
                      <w:rFonts w:ascii="Cambria Math" w:hAnsi="Cambria Math"/>
                      <w:bCs/>
                      <w:i/>
                    </w:rPr>
                  </m:ctrlPr>
                </m:sSupPr>
                <m:e>
                  <m:d>
                    <m:dPr>
                      <m:ctrlPr>
                        <w:rPr>
                          <w:rFonts w:ascii="Cambria Math" w:hAnsi="Cambria Math"/>
                          <w:bCs/>
                          <w:i/>
                        </w:rPr>
                      </m:ctrlPr>
                    </m:dPr>
                    <m:e>
                      <m:sSup>
                        <m:sSupPr>
                          <m:ctrlPr>
                            <w:rPr>
                              <w:rFonts w:ascii="Cambria Math" w:hAnsi="Cambria Math"/>
                              <w:bCs/>
                              <w:i/>
                            </w:rPr>
                          </m:ctrlPr>
                        </m:sSupPr>
                        <m:e>
                          <m:r>
                            <w:rPr>
                              <w:rFonts w:ascii="Cambria Math" w:hAnsi="Cambria Math"/>
                            </w:rPr>
                            <m:t>λ</m:t>
                          </m:r>
                        </m:e>
                        <m:sup>
                          <m:r>
                            <w:rPr>
                              <w:rFonts w:ascii="Cambria Math" w:hAnsi="Cambria Math"/>
                            </w:rPr>
                            <m:t>2</m:t>
                          </m:r>
                        </m:sup>
                      </m:sSup>
                      <m:r>
                        <w:rPr>
                          <w:rFonts w:ascii="Cambria Math" w:hAnsi="Cambria Math"/>
                        </w:rPr>
                        <m:t>-</m:t>
                      </m:r>
                      <m:sSup>
                        <m:sSupPr>
                          <m:ctrlPr>
                            <w:rPr>
                              <w:rFonts w:ascii="Cambria Math" w:hAnsi="Cambria Math"/>
                              <w:bCs/>
                              <w:i/>
                            </w:rPr>
                          </m:ctrlPr>
                        </m:sSupPr>
                        <m:e>
                          <m:d>
                            <m:dPr>
                              <m:ctrlPr>
                                <w:rPr>
                                  <w:rFonts w:ascii="Cambria Math" w:hAnsi="Cambria Math"/>
                                  <w:bCs/>
                                  <w:i/>
                                </w:rPr>
                              </m:ctrlPr>
                            </m:dPr>
                            <m:e>
                              <m:f>
                                <m:fPr>
                                  <m:ctrlPr>
                                    <w:rPr>
                                      <w:rFonts w:ascii="Cambria Math" w:hAnsi="Cambria Math"/>
                                      <w:bCs/>
                                      <w:i/>
                                    </w:rPr>
                                  </m:ctrlPr>
                                </m:fPr>
                                <m:num>
                                  <m:sSub>
                                    <m:sSubPr>
                                      <m:ctrlPr>
                                        <w:rPr>
                                          <w:rFonts w:ascii="Cambria Math" w:hAnsi="Cambria Math"/>
                                          <w:bCs/>
                                          <w:i/>
                                        </w:rPr>
                                      </m:ctrlPr>
                                    </m:sSubPr>
                                    <m:e>
                                      <m:r>
                                        <w:rPr>
                                          <w:rFonts w:ascii="Cambria Math" w:hAnsi="Cambria Math"/>
                                        </w:rPr>
                                        <m:t>K</m:t>
                                      </m:r>
                                    </m:e>
                                    <m:sub>
                                      <m:r>
                                        <w:rPr>
                                          <w:rFonts w:ascii="Cambria Math" w:hAnsi="Cambria Math"/>
                                        </w:rPr>
                                        <m:t>0</m:t>
                                      </m:r>
                                    </m:sub>
                                  </m:sSub>
                                </m:num>
                                <m:den>
                                  <m:sSub>
                                    <m:sSubPr>
                                      <m:ctrlPr>
                                        <w:rPr>
                                          <w:rFonts w:ascii="Cambria Math" w:hAnsi="Cambria Math"/>
                                          <w:bCs/>
                                          <w:i/>
                                        </w:rPr>
                                      </m:ctrlPr>
                                    </m:sSubPr>
                                    <m:e>
                                      <m:r>
                                        <w:rPr>
                                          <w:rFonts w:ascii="Cambria Math" w:hAnsi="Cambria Math"/>
                                        </w:rPr>
                                        <m:t>E</m:t>
                                      </m:r>
                                    </m:e>
                                    <m:sub>
                                      <m:r>
                                        <w:rPr>
                                          <w:rFonts w:ascii="Cambria Math" w:hAnsi="Cambria Math"/>
                                        </w:rPr>
                                        <m:t>0</m:t>
                                      </m:r>
                                    </m:sub>
                                  </m:sSub>
                                </m:den>
                              </m:f>
                            </m:e>
                          </m:d>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bCs/>
                      <w:i/>
                    </w:rPr>
                  </m:ctrlPr>
                </m:sSupPr>
                <m:e>
                  <m:r>
                    <m:rPr>
                      <m:sty m:val="p"/>
                    </m:rPr>
                    <w:rPr>
                      <w:rFonts w:ascii="Cambria Math" w:hAnsi="Cambria Math"/>
                    </w:rPr>
                    <m:t>Γ</m:t>
                  </m:r>
                  <m:ctrlPr>
                    <w:rPr>
                      <w:rFonts w:ascii="Cambria Math" w:hAnsi="Cambria Math"/>
                      <w:bCs/>
                    </w:rPr>
                  </m:ctrlPr>
                </m:e>
                <m:sup>
                  <m:r>
                    <w:rPr>
                      <w:rFonts w:ascii="Cambria Math" w:hAnsi="Cambria Math"/>
                    </w:rPr>
                    <m:t>2</m:t>
                  </m:r>
                </m:sup>
              </m:sSup>
              <m:sSup>
                <m:sSupPr>
                  <m:ctrlPr>
                    <w:rPr>
                      <w:rFonts w:ascii="Cambria Math" w:hAnsi="Cambria Math"/>
                      <w:bCs/>
                      <w:i/>
                    </w:rPr>
                  </m:ctrlPr>
                </m:sSupPr>
                <m:e>
                  <m:r>
                    <w:rPr>
                      <w:rFonts w:ascii="Cambria Math" w:hAnsi="Cambria Math"/>
                    </w:rPr>
                    <m:t>λ</m:t>
                  </m:r>
                </m:e>
                <m:sup>
                  <m:r>
                    <w:rPr>
                      <w:rFonts w:ascii="Cambria Math" w:hAnsi="Cambria Math"/>
                    </w:rPr>
                    <m:t>2</m:t>
                  </m:r>
                </m:sup>
              </m:sSup>
            </m:den>
          </m:f>
        </m:oMath>
      </m:oMathPara>
    </w:p>
    <w:p w14:paraId="7037228A" w14:textId="77777777" w:rsidR="000802ED" w:rsidRDefault="000802ED" w:rsidP="000802ED">
      <w:pPr>
        <w:spacing w:line="480" w:lineRule="auto"/>
        <w:jc w:val="left"/>
        <w:rPr>
          <w:bCs/>
        </w:rPr>
      </w:pPr>
      <w:r>
        <w:rPr>
          <w:bCs/>
        </w:rPr>
        <w:t xml:space="preserve">For the constant </w:t>
      </w:r>
      <m:oMath>
        <m:sSub>
          <m:sSubPr>
            <m:ctrlPr>
              <w:rPr>
                <w:rFonts w:ascii="Cambria Math" w:hAnsi="Cambria Math"/>
                <w:bCs/>
                <w:i/>
              </w:rPr>
            </m:ctrlPr>
          </m:sSubPr>
          <m:e>
            <m:r>
              <w:rPr>
                <w:rFonts w:ascii="Cambria Math" w:hAnsi="Cambria Math"/>
              </w:rPr>
              <m:t>K</m:t>
            </m:r>
          </m:e>
          <m:sub>
            <m:r>
              <w:rPr>
                <w:rFonts w:ascii="Cambria Math" w:hAnsi="Cambria Math"/>
              </w:rPr>
              <m:t>0</m:t>
            </m:r>
          </m:sub>
        </m:sSub>
        <m:r>
          <w:rPr>
            <w:rFonts w:ascii="Cambria Math" w:hAnsi="Cambria Math"/>
          </w:rPr>
          <m:t xml:space="preserve">=1.24 eV </m:t>
        </m:r>
      </m:oMath>
      <w:r>
        <w:rPr>
          <w:bCs/>
        </w:rPr>
        <w:t xml:space="preserve">and the three parameters A, </w:t>
      </w:r>
      <m:oMath>
        <m:sSub>
          <m:sSubPr>
            <m:ctrlPr>
              <w:rPr>
                <w:rFonts w:ascii="Cambria Math" w:hAnsi="Cambria Math"/>
                <w:bCs/>
                <w:i/>
              </w:rPr>
            </m:ctrlPr>
          </m:sSubPr>
          <m:e>
            <m:r>
              <w:rPr>
                <w:rFonts w:ascii="Cambria Math" w:hAnsi="Cambria Math"/>
              </w:rPr>
              <m:t>E</m:t>
            </m:r>
          </m:e>
          <m:sub>
            <m:r>
              <w:rPr>
                <w:rFonts w:ascii="Cambria Math" w:hAnsi="Cambria Math"/>
              </w:rPr>
              <m:t>0</m:t>
            </m:r>
          </m:sub>
        </m:sSub>
      </m:oMath>
      <w:r>
        <w:rPr>
          <w:bCs/>
        </w:rPr>
        <w:t xml:space="preserve"> and </w:t>
      </w:r>
      <m:oMath>
        <m:r>
          <m:rPr>
            <m:sty m:val="p"/>
          </m:rPr>
          <w:rPr>
            <w:rFonts w:ascii="Cambria Math" w:hAnsi="Cambria Math"/>
          </w:rPr>
          <m:t>Γ</m:t>
        </m:r>
      </m:oMath>
      <w:r>
        <w:rPr>
          <w:bCs/>
        </w:rPr>
        <w:t xml:space="preserve"> which represent the intensity, central energy, and width of the peak, respectively. We choose to set the locations of these oscillators near peaks and dips of the UV-Vis absorption spectra (see Fig. 1 of main text) to model those behaviors. Note in Table S4,5 that one of the Lorentz oscillators in the four Lorentz oscillator model has negative intensity which corresponds to a dip instead of a peak. This was a trick to fit the sharp absorption dip in the transition region between UV and visible.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802ED" w14:paraId="241D5686" w14:textId="77777777" w:rsidTr="00637B69">
        <w:tc>
          <w:tcPr>
            <w:tcW w:w="8060" w:type="dxa"/>
          </w:tcPr>
          <w:p w14:paraId="0E350C16" w14:textId="77777777" w:rsidR="000802ED" w:rsidRDefault="000802ED" w:rsidP="00637B69">
            <w:pPr>
              <w:spacing w:line="480" w:lineRule="auto"/>
              <w:jc w:val="left"/>
              <w:rPr>
                <w:rFonts w:eastAsia="Times" w:cs="Times"/>
              </w:rPr>
            </w:pPr>
            <w:r>
              <w:rPr>
                <w:rFonts w:eastAsia="Times" w:cs="Times"/>
                <w:noProof/>
              </w:rPr>
              <w:drawing>
                <wp:inline distT="0" distB="0" distL="0" distR="0" wp14:anchorId="2CD9377C" wp14:editId="24324F37">
                  <wp:extent cx="5943600" cy="19094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E of 3 nm Fit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909445"/>
                          </a:xfrm>
                          <a:prstGeom prst="rect">
                            <a:avLst/>
                          </a:prstGeom>
                        </pic:spPr>
                      </pic:pic>
                    </a:graphicData>
                  </a:graphic>
                </wp:inline>
              </w:drawing>
            </w:r>
          </w:p>
        </w:tc>
      </w:tr>
      <w:tr w:rsidR="000802ED" w14:paraId="6D506EF0" w14:textId="77777777" w:rsidTr="00637B69">
        <w:tc>
          <w:tcPr>
            <w:tcW w:w="8060" w:type="dxa"/>
          </w:tcPr>
          <w:p w14:paraId="148D24CE" w14:textId="65F11C0A" w:rsidR="000802ED" w:rsidRDefault="000802ED" w:rsidP="00637B69">
            <w:pPr>
              <w:jc w:val="left"/>
            </w:pPr>
            <w:r w:rsidRPr="38242599">
              <w:rPr>
                <w:b/>
                <w:bCs/>
              </w:rPr>
              <w:t xml:space="preserve">Figure </w:t>
            </w:r>
            <w:r>
              <w:rPr>
                <w:b/>
                <w:bCs/>
              </w:rPr>
              <w:t>S2</w:t>
            </w:r>
            <w:r w:rsidRPr="38242599">
              <w:rPr>
                <w:b/>
                <w:bCs/>
              </w:rPr>
              <w:t xml:space="preserve">. </w:t>
            </w:r>
            <w:r>
              <w:rPr>
                <w:bCs/>
              </w:rPr>
              <w:t>Regression fit to the e</w:t>
            </w:r>
            <w:r w:rsidRPr="639EE130">
              <w:t xml:space="preserve">xperimental </w:t>
            </w:r>
            <w:r>
              <w:t xml:space="preserve">ellipsometry </w:t>
            </w:r>
            <w:r w:rsidRPr="639EE130">
              <w:t xml:space="preserve">data </w:t>
            </w:r>
            <w:r>
              <w:t>of 3 nm AlN / 300 nm Ag / 20 nm AlN / Si (Sample S1). (a) Alpha, and (b) Beta are normalized Fourier coefficients</w:t>
            </w:r>
            <w:r>
              <w:fldChar w:fldCharType="begin" w:fldLock="1"/>
            </w:r>
            <w:r w:rsidR="009171A1">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w:instrText>
            </w:r>
            <w:r w:rsidR="009171A1">
              <w:rPr>
                <w:rFonts w:hint="eastAsia"/>
              </w:rPr>
              <w:instrText xml:space="preserve">ic, the success rate (RMSD </w:instrText>
            </w:r>
            <w:r w:rsidR="009171A1">
              <w:rPr>
                <w:rFonts w:hint="eastAsia"/>
              </w:rPr>
              <w:instrText>≤</w:instrText>
            </w:r>
            <w:r w:rsidR="009171A1">
              <w:rPr>
                <w:rFonts w:hint="eastAsia"/>
              </w:rPr>
              <w:instrText xml:space="preserve"> 2.0 Å for the interface backbone atoms) increased from 21% with default Glide SP settings to 58% with the enhanced peptide sampling and scoring protocol in the case of redocking to the native protein structure. This approaches</w:instrText>
            </w:r>
            <w:r w:rsidR="009171A1">
              <w:instrText xml:space="preserve">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approach.","author":[{"dropping-particle":"","family":"Fujiwara","given":"Hiroyuki","non-dropping-particle":"","parse-names":false,"suffix":""}],"container-title":"Book","id":"ITEM-1","issued":{"date-parts":[["2007"]]},"title":"Spectroscopic Ellipsometry Principles and Applications","type":"book"},"uris":["http://www.mendeley.com/documents/?uuid=730e337b-23c4-491c-9f74-5e66f66b339a"]}],"mendeley":{"formattedCitation":"&lt;sup&gt;[4]&lt;/sup&gt;","plainTextFormattedCitation":"[4]","previouslyFormattedCitation":"&lt;sup&gt;[4]&lt;/sup&gt;"},"properties":{"noteIndex":0},"schema":"https://github.com/citation-style-language/schema/raw/master/csl-citation.json"}</w:instrText>
            </w:r>
            <w:r>
              <w:fldChar w:fldCharType="separate"/>
            </w:r>
            <w:r w:rsidR="009171A1" w:rsidRPr="009171A1">
              <w:rPr>
                <w:noProof/>
                <w:vertAlign w:val="superscript"/>
              </w:rPr>
              <w:t>[4]</w:t>
            </w:r>
            <w:r>
              <w:fldChar w:fldCharType="end"/>
            </w:r>
            <w:r>
              <w:t>. Fit results are summarized in Table S4.</w:t>
            </w:r>
          </w:p>
          <w:p w14:paraId="05C9A950" w14:textId="77777777" w:rsidR="000802ED" w:rsidRDefault="000802ED" w:rsidP="00637B69">
            <w:pPr>
              <w:jc w:val="left"/>
            </w:pPr>
          </w:p>
          <w:p w14:paraId="24711790" w14:textId="77777777" w:rsidR="000802ED" w:rsidRDefault="000802ED" w:rsidP="00637B69">
            <w:pPr>
              <w:jc w:val="left"/>
              <w:rPr>
                <w:b/>
                <w:bCs/>
              </w:rPr>
            </w:pPr>
            <w:r w:rsidRPr="2DE79879">
              <w:rPr>
                <w:b/>
                <w:bCs/>
              </w:rPr>
              <w:t>Table S</w:t>
            </w:r>
            <w:r>
              <w:rPr>
                <w:b/>
                <w:bCs/>
              </w:rPr>
              <w:t>4</w:t>
            </w:r>
            <w:r w:rsidRPr="2DE79879">
              <w:rPr>
                <w:b/>
                <w:bCs/>
              </w:rPr>
              <w:t>.</w:t>
            </w:r>
            <w:r>
              <w:t xml:space="preserve"> Best fit parameters used in dispersion model using 4 Lorentz Peaks for fitting 3 nm AlN / 300 nm Ag / 20 nm AlN / Si sample (Sample S1 of Table 1).</w:t>
            </w:r>
          </w:p>
          <w:tbl>
            <w:tblPr>
              <w:tblStyle w:val="GridTable1Light-Accent11"/>
              <w:tblW w:w="9105" w:type="dxa"/>
              <w:tblLook w:val="04A0" w:firstRow="1" w:lastRow="0" w:firstColumn="1" w:lastColumn="0" w:noHBand="0" w:noVBand="1"/>
            </w:tblPr>
            <w:tblGrid>
              <w:gridCol w:w="1425"/>
              <w:gridCol w:w="1170"/>
              <w:gridCol w:w="1605"/>
              <w:gridCol w:w="2385"/>
              <w:gridCol w:w="2520"/>
            </w:tblGrid>
            <w:tr w:rsidR="000802ED" w14:paraId="404646B6" w14:textId="77777777" w:rsidTr="00637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5" w:type="dxa"/>
                </w:tcPr>
                <w:p w14:paraId="21A1BD51" w14:textId="77777777" w:rsidR="000802ED" w:rsidRDefault="000802ED" w:rsidP="00637B69">
                  <w:pPr>
                    <w:jc w:val="left"/>
                  </w:pPr>
                  <w:r w:rsidRPr="27D895BD">
                    <w:rPr>
                      <w:rFonts w:ascii="Times New Roman" w:eastAsia="Times New Roman" w:hAnsi="Times New Roman"/>
                    </w:rPr>
                    <w:t>Peak Number</w:t>
                  </w:r>
                </w:p>
              </w:tc>
              <w:tc>
                <w:tcPr>
                  <w:tcW w:w="1170" w:type="dxa"/>
                </w:tcPr>
                <w:p w14:paraId="54E88346"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Model</w:t>
                  </w:r>
                </w:p>
              </w:tc>
              <w:tc>
                <w:tcPr>
                  <w:tcW w:w="1605" w:type="dxa"/>
                </w:tcPr>
                <w:p w14:paraId="7700ECC4"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Intensity A</w:t>
                  </w:r>
                </w:p>
              </w:tc>
              <w:tc>
                <w:tcPr>
                  <w:tcW w:w="2385" w:type="dxa"/>
                </w:tcPr>
                <w:p w14:paraId="79882152"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Energy of Central Wavelength E</w:t>
                  </w:r>
                  <w:r w:rsidRPr="27D895BD">
                    <w:rPr>
                      <w:rFonts w:ascii="Times New Roman" w:eastAsia="Times New Roman" w:hAnsi="Times New Roman"/>
                      <w:vertAlign w:val="subscript"/>
                    </w:rPr>
                    <w:t>0</w:t>
                  </w:r>
                  <w:r w:rsidRPr="27D895BD">
                    <w:rPr>
                      <w:rFonts w:ascii="Times New Roman" w:eastAsia="Times New Roman" w:hAnsi="Times New Roman"/>
                    </w:rPr>
                    <w:t xml:space="preserve"> (</w:t>
                  </w:r>
                  <w:proofErr w:type="spellStart"/>
                  <w:r w:rsidRPr="27D895BD">
                    <w:rPr>
                      <w:rFonts w:ascii="Times New Roman" w:eastAsia="Times New Roman" w:hAnsi="Times New Roman"/>
                    </w:rPr>
                    <w:t>μm</w:t>
                  </w:r>
                  <w:proofErr w:type="spellEnd"/>
                  <w:r w:rsidRPr="27D895BD">
                    <w:rPr>
                      <w:rFonts w:ascii="Times New Roman" w:eastAsia="Times New Roman" w:hAnsi="Times New Roman"/>
                    </w:rPr>
                    <w:t>)</w:t>
                  </w:r>
                </w:p>
              </w:tc>
              <w:tc>
                <w:tcPr>
                  <w:tcW w:w="2520" w:type="dxa"/>
                </w:tcPr>
                <w:p w14:paraId="76734C62"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Width of Peak</w:t>
                  </w:r>
                  <w:r>
                    <w:rPr>
                      <w:rFonts w:ascii="Times New Roman" w:eastAsia="Times New Roman" w:hAnsi="Times New Roman"/>
                    </w:rPr>
                    <w:t xml:space="preserve"> </w:t>
                  </w:r>
                  <m:oMath>
                    <m:r>
                      <m:rPr>
                        <m:sty m:val="b"/>
                      </m:rPr>
                      <w:rPr>
                        <w:rFonts w:ascii="Cambria Math" w:eastAsia="Times New Roman" w:hAnsi="Cambria Math"/>
                      </w:rPr>
                      <m:t xml:space="preserve"> </m:t>
                    </m:r>
                  </m:oMath>
                  <w:r w:rsidRPr="27D895BD">
                    <w:rPr>
                      <w:rFonts w:ascii="Times New Roman" w:eastAsia="Times New Roman" w:hAnsi="Times New Roman"/>
                    </w:rPr>
                    <w:t xml:space="preserve"> (μm)</w:t>
                  </w:r>
                </w:p>
              </w:tc>
            </w:tr>
            <w:tr w:rsidR="000802ED" w14:paraId="1F7771A9" w14:textId="77777777" w:rsidTr="00637B69">
              <w:tc>
                <w:tcPr>
                  <w:cnfStyle w:val="001000000000" w:firstRow="0" w:lastRow="0" w:firstColumn="1" w:lastColumn="0" w:oddVBand="0" w:evenVBand="0" w:oddHBand="0" w:evenHBand="0" w:firstRowFirstColumn="0" w:firstRowLastColumn="0" w:lastRowFirstColumn="0" w:lastRowLastColumn="0"/>
                  <w:tcW w:w="1425" w:type="dxa"/>
                </w:tcPr>
                <w:p w14:paraId="63137860" w14:textId="77777777" w:rsidR="000802ED" w:rsidRDefault="000802ED" w:rsidP="00637B69">
                  <w:pPr>
                    <w:jc w:val="left"/>
                  </w:pPr>
                  <w:r w:rsidRPr="27D895BD">
                    <w:rPr>
                      <w:rFonts w:ascii="Times New Roman" w:eastAsia="Times New Roman" w:hAnsi="Times New Roman"/>
                    </w:rPr>
                    <w:t>1</w:t>
                  </w:r>
                </w:p>
              </w:tc>
              <w:tc>
                <w:tcPr>
                  <w:tcW w:w="1170" w:type="dxa"/>
                </w:tcPr>
                <w:p w14:paraId="7CFDE6E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Lorentz</w:t>
                  </w:r>
                </w:p>
              </w:tc>
              <w:tc>
                <w:tcPr>
                  <w:tcW w:w="1605" w:type="dxa"/>
                </w:tcPr>
                <w:p w14:paraId="3390C2B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-0.300± 0.127</w:t>
                  </w:r>
                </w:p>
              </w:tc>
              <w:tc>
                <w:tcPr>
                  <w:tcW w:w="2385" w:type="dxa"/>
                </w:tcPr>
                <w:p w14:paraId="538B2F1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0.330 ± 0.005</w:t>
                  </w:r>
                </w:p>
              </w:tc>
              <w:tc>
                <w:tcPr>
                  <w:tcW w:w="2520" w:type="dxa"/>
                </w:tcPr>
                <w:p w14:paraId="1D995C52"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0.0741 ± 0.0220</w:t>
                  </w:r>
                </w:p>
              </w:tc>
            </w:tr>
            <w:tr w:rsidR="000802ED" w14:paraId="7D6BA155" w14:textId="77777777" w:rsidTr="00637B69">
              <w:tc>
                <w:tcPr>
                  <w:cnfStyle w:val="001000000000" w:firstRow="0" w:lastRow="0" w:firstColumn="1" w:lastColumn="0" w:oddVBand="0" w:evenVBand="0" w:oddHBand="0" w:evenHBand="0" w:firstRowFirstColumn="0" w:firstRowLastColumn="0" w:lastRowFirstColumn="0" w:lastRowLastColumn="0"/>
                  <w:tcW w:w="1425" w:type="dxa"/>
                </w:tcPr>
                <w:p w14:paraId="445018E4" w14:textId="77777777" w:rsidR="000802ED" w:rsidRDefault="000802ED" w:rsidP="00637B69">
                  <w:pPr>
                    <w:jc w:val="left"/>
                  </w:pPr>
                  <w:r w:rsidRPr="27D895BD">
                    <w:rPr>
                      <w:rFonts w:ascii="Times New Roman" w:eastAsia="Times New Roman" w:hAnsi="Times New Roman"/>
                    </w:rPr>
                    <w:t>2</w:t>
                  </w:r>
                </w:p>
              </w:tc>
              <w:tc>
                <w:tcPr>
                  <w:tcW w:w="1170" w:type="dxa"/>
                </w:tcPr>
                <w:p w14:paraId="4FD7BB05"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Lorentz</w:t>
                  </w:r>
                </w:p>
              </w:tc>
              <w:tc>
                <w:tcPr>
                  <w:tcW w:w="1605" w:type="dxa"/>
                </w:tcPr>
                <w:p w14:paraId="222E80A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3.54 ± 0.436</w:t>
                  </w:r>
                </w:p>
              </w:tc>
              <w:tc>
                <w:tcPr>
                  <w:tcW w:w="2385" w:type="dxa"/>
                </w:tcPr>
                <w:p w14:paraId="6D09D48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-0.00221 ± 1.20570</w:t>
                  </w:r>
                </w:p>
              </w:tc>
              <w:tc>
                <w:tcPr>
                  <w:tcW w:w="2520" w:type="dxa"/>
                </w:tcPr>
                <w:p w14:paraId="2D2B9E7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0.138 ± 0.018</w:t>
                  </w:r>
                </w:p>
              </w:tc>
            </w:tr>
            <w:tr w:rsidR="000802ED" w14:paraId="4BBF86E2" w14:textId="77777777" w:rsidTr="00637B69">
              <w:tc>
                <w:tcPr>
                  <w:cnfStyle w:val="001000000000" w:firstRow="0" w:lastRow="0" w:firstColumn="1" w:lastColumn="0" w:oddVBand="0" w:evenVBand="0" w:oddHBand="0" w:evenHBand="0" w:firstRowFirstColumn="0" w:firstRowLastColumn="0" w:lastRowFirstColumn="0" w:lastRowLastColumn="0"/>
                  <w:tcW w:w="1425" w:type="dxa"/>
                </w:tcPr>
                <w:p w14:paraId="2519331D" w14:textId="77777777" w:rsidR="000802ED" w:rsidRDefault="000802ED" w:rsidP="00637B69">
                  <w:pPr>
                    <w:jc w:val="left"/>
                  </w:pPr>
                  <w:r w:rsidRPr="27D895BD">
                    <w:rPr>
                      <w:rFonts w:ascii="Times New Roman" w:eastAsia="Times New Roman" w:hAnsi="Times New Roman"/>
                    </w:rPr>
                    <w:t>3</w:t>
                  </w:r>
                </w:p>
              </w:tc>
              <w:tc>
                <w:tcPr>
                  <w:tcW w:w="1170" w:type="dxa"/>
                </w:tcPr>
                <w:p w14:paraId="52CAB57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Lorentz</w:t>
                  </w:r>
                </w:p>
              </w:tc>
              <w:tc>
                <w:tcPr>
                  <w:tcW w:w="1605" w:type="dxa"/>
                </w:tcPr>
                <w:p w14:paraId="45A0F04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1.32 ± 0.14</w:t>
                  </w:r>
                </w:p>
              </w:tc>
              <w:tc>
                <w:tcPr>
                  <w:tcW w:w="2385" w:type="dxa"/>
                </w:tcPr>
                <w:p w14:paraId="4A2E76EF"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0.412 ± 0.002</w:t>
                  </w:r>
                </w:p>
              </w:tc>
              <w:tc>
                <w:tcPr>
                  <w:tcW w:w="2520" w:type="dxa"/>
                </w:tcPr>
                <w:p w14:paraId="73958FE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0.0871 ± 0.0067</w:t>
                  </w:r>
                </w:p>
              </w:tc>
            </w:tr>
            <w:tr w:rsidR="000802ED" w14:paraId="42B7A1CC" w14:textId="77777777" w:rsidTr="00637B69">
              <w:tc>
                <w:tcPr>
                  <w:cnfStyle w:val="001000000000" w:firstRow="0" w:lastRow="0" w:firstColumn="1" w:lastColumn="0" w:oddVBand="0" w:evenVBand="0" w:oddHBand="0" w:evenHBand="0" w:firstRowFirstColumn="0" w:firstRowLastColumn="0" w:lastRowFirstColumn="0" w:lastRowLastColumn="0"/>
                  <w:tcW w:w="1425" w:type="dxa"/>
                </w:tcPr>
                <w:p w14:paraId="0DA67BD3" w14:textId="77777777" w:rsidR="000802ED" w:rsidRDefault="000802ED" w:rsidP="00637B69">
                  <w:pPr>
                    <w:jc w:val="left"/>
                  </w:pPr>
                  <w:r w:rsidRPr="27D895BD">
                    <w:rPr>
                      <w:rFonts w:ascii="Times New Roman" w:eastAsia="Times New Roman" w:hAnsi="Times New Roman"/>
                    </w:rPr>
                    <w:t>4</w:t>
                  </w:r>
                </w:p>
              </w:tc>
              <w:tc>
                <w:tcPr>
                  <w:tcW w:w="1170" w:type="dxa"/>
                </w:tcPr>
                <w:p w14:paraId="46E8FA7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Lorentz</w:t>
                  </w:r>
                </w:p>
              </w:tc>
              <w:tc>
                <w:tcPr>
                  <w:tcW w:w="1605" w:type="dxa"/>
                </w:tcPr>
                <w:p w14:paraId="72DD4C2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0.314 ± 0.099</w:t>
                  </w:r>
                </w:p>
              </w:tc>
              <w:tc>
                <w:tcPr>
                  <w:tcW w:w="2385" w:type="dxa"/>
                </w:tcPr>
                <w:p w14:paraId="2EBFFC8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0.545 ± 0.010</w:t>
                  </w:r>
                </w:p>
              </w:tc>
              <w:tc>
                <w:tcPr>
                  <w:tcW w:w="2520" w:type="dxa"/>
                </w:tcPr>
                <w:p w14:paraId="16472734"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27D895BD">
                    <w:rPr>
                      <w:rFonts w:ascii="Times New Roman" w:eastAsia="Times New Roman" w:hAnsi="Times New Roman"/>
                    </w:rPr>
                    <w:t>0.112 ± 0.035</w:t>
                  </w:r>
                </w:p>
              </w:tc>
            </w:tr>
          </w:tbl>
          <w:p w14:paraId="19C6F9E3" w14:textId="77777777" w:rsidR="000802ED" w:rsidRDefault="000802ED" w:rsidP="00637B69">
            <w:pPr>
              <w:spacing w:line="480" w:lineRule="auto"/>
              <w:jc w:val="left"/>
              <w:rPr>
                <w:rFonts w:ascii="Times New Roman" w:eastAsia="Times New Roman" w:hAnsi="Times New Roman"/>
              </w:rPr>
            </w:pPr>
            <w:r w:rsidRPr="67445DAE">
              <w:rPr>
                <w:rFonts w:ascii="Times New Roman" w:eastAsia="Times New Roman" w:hAnsi="Times New Roman"/>
              </w:rPr>
              <w:t>The Thickness (</w:t>
            </w:r>
            <w:proofErr w:type="spellStart"/>
            <w:r w:rsidRPr="67445DAE">
              <w:rPr>
                <w:rFonts w:ascii="Times New Roman" w:eastAsia="Times New Roman" w:hAnsi="Times New Roman"/>
              </w:rPr>
              <w:t>μm</w:t>
            </w:r>
            <w:proofErr w:type="spellEnd"/>
            <w:r w:rsidRPr="67445DAE">
              <w:rPr>
                <w:rFonts w:ascii="Times New Roman" w:eastAsia="Times New Roman" w:hAnsi="Times New Roman"/>
              </w:rPr>
              <w:t>) parameter used in the model was: 0.</w:t>
            </w:r>
            <w:r w:rsidRPr="6386D198">
              <w:rPr>
                <w:rFonts w:ascii="Times New Roman" w:eastAsia="Times New Roman" w:hAnsi="Times New Roman"/>
              </w:rPr>
              <w:t>00564</w:t>
            </w:r>
            <w:r w:rsidRPr="67445DAE">
              <w:rPr>
                <w:rFonts w:ascii="Times New Roman" w:eastAsia="Times New Roman" w:hAnsi="Times New Roman"/>
              </w:rPr>
              <w:t xml:space="preserve"> ± 0.</w:t>
            </w:r>
            <w:r w:rsidRPr="6386D198">
              <w:rPr>
                <w:rFonts w:ascii="Times New Roman" w:eastAsia="Times New Roman" w:hAnsi="Times New Roman"/>
              </w:rPr>
              <w:t>00026</w:t>
            </w:r>
          </w:p>
          <w:p w14:paraId="016D26BA" w14:textId="77777777" w:rsidR="000802ED" w:rsidRPr="004348D8" w:rsidRDefault="000802ED" w:rsidP="00637B69">
            <w:pPr>
              <w:spacing w:line="480" w:lineRule="auto"/>
              <w:jc w:val="left"/>
              <w:rPr>
                <w:b/>
              </w:rPr>
            </w:pPr>
          </w:p>
          <w:p w14:paraId="537355F5" w14:textId="77777777" w:rsidR="000802ED" w:rsidRPr="00C9778D" w:rsidRDefault="000802ED" w:rsidP="00637B69">
            <w:pPr>
              <w:spacing w:line="480" w:lineRule="auto"/>
              <w:jc w:val="left"/>
            </w:pPr>
          </w:p>
          <w:p w14:paraId="0AB56E2D" w14:textId="77777777" w:rsidR="000802ED" w:rsidRDefault="000802ED" w:rsidP="00637B69">
            <w:pPr>
              <w:spacing w:line="480" w:lineRule="auto"/>
              <w:jc w:val="left"/>
              <w:rPr>
                <w:rFonts w:eastAsia="Times" w:cs="Times"/>
              </w:rPr>
            </w:pPr>
            <w:r>
              <w:rPr>
                <w:rFonts w:eastAsia="Times" w:cs="Times"/>
                <w:noProof/>
              </w:rPr>
              <w:drawing>
                <wp:inline distT="0" distB="0" distL="0" distR="0" wp14:anchorId="3915A92D" wp14:editId="0F080608">
                  <wp:extent cx="5943600" cy="18319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E of 20 nm Fit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831975"/>
                          </a:xfrm>
                          <a:prstGeom prst="rect">
                            <a:avLst/>
                          </a:prstGeom>
                        </pic:spPr>
                      </pic:pic>
                    </a:graphicData>
                  </a:graphic>
                </wp:inline>
              </w:drawing>
            </w:r>
          </w:p>
        </w:tc>
      </w:tr>
    </w:tbl>
    <w:p w14:paraId="41BCEF0A" w14:textId="77B57C0F" w:rsidR="000802ED" w:rsidRDefault="000802ED" w:rsidP="000802ED">
      <w:pPr>
        <w:jc w:val="left"/>
      </w:pPr>
      <w:r w:rsidRPr="38242599">
        <w:rPr>
          <w:b/>
          <w:bCs/>
        </w:rPr>
        <w:t xml:space="preserve">Figure </w:t>
      </w:r>
      <w:r>
        <w:rPr>
          <w:b/>
          <w:bCs/>
        </w:rPr>
        <w:t>S3</w:t>
      </w:r>
      <w:r w:rsidRPr="38242599">
        <w:rPr>
          <w:b/>
          <w:bCs/>
        </w:rPr>
        <w:t xml:space="preserve">. </w:t>
      </w:r>
      <w:r>
        <w:rPr>
          <w:bCs/>
        </w:rPr>
        <w:t>Regression fit to the e</w:t>
      </w:r>
      <w:r w:rsidRPr="639EE130">
        <w:t xml:space="preserve">xperimental </w:t>
      </w:r>
      <w:r>
        <w:t xml:space="preserve">ellipsometry </w:t>
      </w:r>
      <w:r w:rsidRPr="639EE130">
        <w:t xml:space="preserve">data </w:t>
      </w:r>
      <w:r>
        <w:t>of 20 nm AlN / 300 nm Ag / 20 nm AlN / Si (Sample S2). (a) Alpha, and (b) Beta are the normalized Fourier coefficients</w:t>
      </w:r>
      <w:r>
        <w:fldChar w:fldCharType="begin" w:fldLock="1"/>
      </w:r>
      <w:r w:rsidR="009171A1">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w:instrText>
      </w:r>
      <w:r w:rsidR="009171A1">
        <w:rPr>
          <w:rFonts w:hint="eastAsia"/>
        </w:rPr>
        <w:instrText xml:space="preserve">ic, the success rate (RMSD </w:instrText>
      </w:r>
      <w:r w:rsidR="009171A1">
        <w:rPr>
          <w:rFonts w:hint="eastAsia"/>
        </w:rPr>
        <w:instrText>≤</w:instrText>
      </w:r>
      <w:r w:rsidR="009171A1">
        <w:rPr>
          <w:rFonts w:hint="eastAsia"/>
        </w:rPr>
        <w:instrText xml:space="preserve"> 2.0 Å for the interface backbone atoms) increased from 21% with default Glide SP settings to 58% with the enhanced peptide sampling and scoring protocol in the case of redocking to the native protein structure. This approaches</w:instrText>
      </w:r>
      <w:r w:rsidR="009171A1">
        <w:instrText xml:space="preserve">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approach.","author":[{"dropping-particle":"","family":"Fujiwara","given":"Hiroyuki","non-dropping-particle":"","parse-names":false,"suffix":""}],"container-title":"Book","id":"ITEM-1","issued":{"date-parts":[["2007"]]},"title":"Spectroscopic Ellipsometry Principles and Applications","type":"book"},"uris":["http://www.mendeley.com/documents/?uuid=730e337b-23c4-491c-9f74-5e66f66b339a"]}],"mendeley":{"formattedCitation":"&lt;sup&gt;[4]&lt;/sup&gt;","plainTextFormattedCitation":"[4]","previouslyFormattedCitation":"&lt;sup&gt;[4]&lt;/sup&gt;"},"properties":{"noteIndex":0},"schema":"https://github.com/citation-style-language/schema/raw/master/csl-citation.json"}</w:instrText>
      </w:r>
      <w:r>
        <w:fldChar w:fldCharType="separate"/>
      </w:r>
      <w:r w:rsidR="009171A1" w:rsidRPr="009171A1">
        <w:rPr>
          <w:noProof/>
          <w:vertAlign w:val="superscript"/>
        </w:rPr>
        <w:t>[4]</w:t>
      </w:r>
      <w:r>
        <w:fldChar w:fldCharType="end"/>
      </w:r>
      <w:r>
        <w:t>. Fit results are summarized in Table S5.</w:t>
      </w:r>
    </w:p>
    <w:p w14:paraId="082B243C" w14:textId="77777777" w:rsidR="000802ED" w:rsidRPr="00C9778D" w:rsidRDefault="000802ED" w:rsidP="000802ED">
      <w:pPr>
        <w:jc w:val="left"/>
      </w:pPr>
    </w:p>
    <w:p w14:paraId="7A19BDDA" w14:textId="77777777" w:rsidR="000802ED" w:rsidRDefault="000802ED" w:rsidP="000802ED">
      <w:pPr>
        <w:jc w:val="left"/>
      </w:pPr>
      <w:r w:rsidRPr="053E6D6D">
        <w:rPr>
          <w:rFonts w:eastAsia="Times" w:cs="Times"/>
          <w:b/>
        </w:rPr>
        <w:t xml:space="preserve">Table </w:t>
      </w:r>
      <w:r w:rsidRPr="2B0F40DB">
        <w:rPr>
          <w:rFonts w:eastAsia="Times" w:cs="Times"/>
          <w:b/>
        </w:rPr>
        <w:t>S</w:t>
      </w:r>
      <w:r>
        <w:rPr>
          <w:rFonts w:eastAsia="Times" w:cs="Times"/>
          <w:b/>
        </w:rPr>
        <w:t>5</w:t>
      </w:r>
      <w:r w:rsidRPr="053E6D6D">
        <w:rPr>
          <w:rFonts w:eastAsia="Times" w:cs="Times"/>
          <w:b/>
          <w:bCs/>
        </w:rPr>
        <w:t xml:space="preserve">. </w:t>
      </w:r>
      <w:r w:rsidRPr="053E6D6D">
        <w:rPr>
          <w:rFonts w:eastAsia="Times" w:cs="Times"/>
        </w:rPr>
        <w:t>Best fit energy parameters used in dispersion model u</w:t>
      </w:r>
      <w:r>
        <w:rPr>
          <w:rFonts w:eastAsia="Times" w:cs="Times"/>
        </w:rPr>
        <w:t>sing 4 Lorentz Peaks to fit 20nm AlN / 300 nm Ag / 20 nm AlN / Si</w:t>
      </w:r>
      <w:r w:rsidRPr="053E6D6D">
        <w:rPr>
          <w:rFonts w:eastAsia="Times" w:cs="Times"/>
        </w:rPr>
        <w:t xml:space="preserve"> sample</w:t>
      </w:r>
      <w:r>
        <w:rPr>
          <w:rFonts w:eastAsia="Times" w:cs="Times"/>
        </w:rPr>
        <w:t xml:space="preserve"> (Sample S2 of Table 1).</w:t>
      </w:r>
    </w:p>
    <w:tbl>
      <w:tblPr>
        <w:tblStyle w:val="GridTable1Light-Accent11"/>
        <w:tblW w:w="9150" w:type="dxa"/>
        <w:tblLayout w:type="fixed"/>
        <w:tblLook w:val="04A0" w:firstRow="1" w:lastRow="0" w:firstColumn="1" w:lastColumn="0" w:noHBand="0" w:noVBand="1"/>
      </w:tblPr>
      <w:tblGrid>
        <w:gridCol w:w="1425"/>
        <w:gridCol w:w="1155"/>
        <w:gridCol w:w="1845"/>
        <w:gridCol w:w="2516"/>
        <w:gridCol w:w="2209"/>
      </w:tblGrid>
      <w:tr w:rsidR="000802ED" w14:paraId="3B9B9408" w14:textId="77777777" w:rsidTr="00637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5" w:type="dxa"/>
          </w:tcPr>
          <w:p w14:paraId="48954CE8" w14:textId="77777777" w:rsidR="000802ED" w:rsidRDefault="000802ED" w:rsidP="00637B69">
            <w:pPr>
              <w:jc w:val="left"/>
            </w:pPr>
            <w:r w:rsidRPr="700A9AE6">
              <w:t>Peak Number</w:t>
            </w:r>
          </w:p>
        </w:tc>
        <w:tc>
          <w:tcPr>
            <w:tcW w:w="1155" w:type="dxa"/>
          </w:tcPr>
          <w:p w14:paraId="22B42BBC"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700A9AE6">
              <w:t>Model</w:t>
            </w:r>
          </w:p>
        </w:tc>
        <w:tc>
          <w:tcPr>
            <w:tcW w:w="1845" w:type="dxa"/>
          </w:tcPr>
          <w:p w14:paraId="74FEA1C3"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700A9AE6">
              <w:t>Intensity A</w:t>
            </w:r>
          </w:p>
        </w:tc>
        <w:tc>
          <w:tcPr>
            <w:tcW w:w="2516" w:type="dxa"/>
          </w:tcPr>
          <w:p w14:paraId="6790A734"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700A9AE6">
              <w:t>Energy of Central Wavelength E</w:t>
            </w:r>
            <w:r w:rsidRPr="700A9AE6">
              <w:rPr>
                <w:vertAlign w:val="subscript"/>
              </w:rPr>
              <w:t>0</w:t>
            </w:r>
            <w:r w:rsidRPr="700A9AE6">
              <w:t xml:space="preserve"> (</w:t>
            </w:r>
            <w:proofErr w:type="spellStart"/>
            <w:r w:rsidRPr="700A9AE6">
              <w:t>μm</w:t>
            </w:r>
            <w:proofErr w:type="spellEnd"/>
            <w:r w:rsidRPr="700A9AE6">
              <w:t>)</w:t>
            </w:r>
          </w:p>
        </w:tc>
        <w:tc>
          <w:tcPr>
            <w:tcW w:w="2209" w:type="dxa"/>
          </w:tcPr>
          <w:p w14:paraId="336B6F5A"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rsidRPr="700A9AE6">
              <w:t>Width of Peak</w:t>
            </w:r>
            <m:oMath>
              <m:r>
                <m:rPr>
                  <m:sty m:val="b"/>
                </m:rPr>
                <w:rPr>
                  <w:rFonts w:ascii="Cambria Math" w:eastAsia="Times New Roman" w:hAnsi="Cambria Math"/>
                </w:rPr>
                <m:t xml:space="preserve"> Γ</m:t>
              </m:r>
            </m:oMath>
            <w:r w:rsidRPr="700A9AE6">
              <w:t xml:space="preserve"> (μm)</w:t>
            </w:r>
          </w:p>
        </w:tc>
      </w:tr>
      <w:tr w:rsidR="000802ED" w14:paraId="3BAF7A4C" w14:textId="77777777" w:rsidTr="00637B69">
        <w:tc>
          <w:tcPr>
            <w:cnfStyle w:val="001000000000" w:firstRow="0" w:lastRow="0" w:firstColumn="1" w:lastColumn="0" w:oddVBand="0" w:evenVBand="0" w:oddHBand="0" w:evenHBand="0" w:firstRowFirstColumn="0" w:firstRowLastColumn="0" w:lastRowFirstColumn="0" w:lastRowLastColumn="0"/>
            <w:tcW w:w="1425" w:type="dxa"/>
          </w:tcPr>
          <w:p w14:paraId="5A8AC38E" w14:textId="77777777" w:rsidR="000802ED" w:rsidRDefault="000802ED" w:rsidP="00637B69">
            <w:pPr>
              <w:jc w:val="left"/>
            </w:pPr>
            <w:r>
              <w:t>1</w:t>
            </w:r>
          </w:p>
        </w:tc>
        <w:tc>
          <w:tcPr>
            <w:tcW w:w="1155" w:type="dxa"/>
          </w:tcPr>
          <w:p w14:paraId="187D17D3"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Lorentz</w:t>
            </w:r>
          </w:p>
        </w:tc>
        <w:tc>
          <w:tcPr>
            <w:tcW w:w="1845" w:type="dxa"/>
          </w:tcPr>
          <w:p w14:paraId="1207A916"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-0.0785± 0.0119</w:t>
            </w:r>
          </w:p>
        </w:tc>
        <w:tc>
          <w:tcPr>
            <w:tcW w:w="2516" w:type="dxa"/>
          </w:tcPr>
          <w:p w14:paraId="4AEE63A5"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0.339 ± 0.002</w:t>
            </w:r>
          </w:p>
        </w:tc>
        <w:tc>
          <w:tcPr>
            <w:tcW w:w="2209" w:type="dxa"/>
          </w:tcPr>
          <w:p w14:paraId="367182B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0.0392 ± 0.004</w:t>
            </w:r>
          </w:p>
        </w:tc>
      </w:tr>
      <w:tr w:rsidR="000802ED" w14:paraId="0AC09DE2" w14:textId="77777777" w:rsidTr="00637B69">
        <w:tc>
          <w:tcPr>
            <w:cnfStyle w:val="001000000000" w:firstRow="0" w:lastRow="0" w:firstColumn="1" w:lastColumn="0" w:oddVBand="0" w:evenVBand="0" w:oddHBand="0" w:evenHBand="0" w:firstRowFirstColumn="0" w:firstRowLastColumn="0" w:lastRowFirstColumn="0" w:lastRowLastColumn="0"/>
            <w:tcW w:w="1425" w:type="dxa"/>
          </w:tcPr>
          <w:p w14:paraId="55F37FB6" w14:textId="77777777" w:rsidR="000802ED" w:rsidRDefault="000802ED" w:rsidP="00637B69">
            <w:pPr>
              <w:jc w:val="left"/>
            </w:pPr>
            <w:r>
              <w:t>2</w:t>
            </w:r>
          </w:p>
        </w:tc>
        <w:tc>
          <w:tcPr>
            <w:tcW w:w="1155" w:type="dxa"/>
          </w:tcPr>
          <w:p w14:paraId="79775B9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Lorentz</w:t>
            </w:r>
          </w:p>
        </w:tc>
        <w:tc>
          <w:tcPr>
            <w:tcW w:w="1845" w:type="dxa"/>
          </w:tcPr>
          <w:p w14:paraId="7302382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2.70 ± 0.06</w:t>
            </w:r>
          </w:p>
        </w:tc>
        <w:tc>
          <w:tcPr>
            <w:tcW w:w="2516" w:type="dxa"/>
          </w:tcPr>
          <w:p w14:paraId="3730165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0.0736 ± 0.0035</w:t>
            </w:r>
          </w:p>
        </w:tc>
        <w:tc>
          <w:tcPr>
            <w:tcW w:w="2209" w:type="dxa"/>
          </w:tcPr>
          <w:p w14:paraId="4AD5E50A"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0.0354 ± 0.0009</w:t>
            </w:r>
          </w:p>
        </w:tc>
      </w:tr>
      <w:tr w:rsidR="000802ED" w14:paraId="0BFE4625" w14:textId="77777777" w:rsidTr="00637B69">
        <w:tc>
          <w:tcPr>
            <w:cnfStyle w:val="001000000000" w:firstRow="0" w:lastRow="0" w:firstColumn="1" w:lastColumn="0" w:oddVBand="0" w:evenVBand="0" w:oddHBand="0" w:evenHBand="0" w:firstRowFirstColumn="0" w:firstRowLastColumn="0" w:lastRowFirstColumn="0" w:lastRowLastColumn="0"/>
            <w:tcW w:w="1425" w:type="dxa"/>
          </w:tcPr>
          <w:p w14:paraId="1A759423" w14:textId="77777777" w:rsidR="000802ED" w:rsidRDefault="000802ED" w:rsidP="00637B69">
            <w:pPr>
              <w:jc w:val="left"/>
            </w:pPr>
            <w:r>
              <w:t>3</w:t>
            </w:r>
          </w:p>
        </w:tc>
        <w:tc>
          <w:tcPr>
            <w:tcW w:w="1155" w:type="dxa"/>
          </w:tcPr>
          <w:p w14:paraId="2BC0BC90"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Lorentz</w:t>
            </w:r>
          </w:p>
        </w:tc>
        <w:tc>
          <w:tcPr>
            <w:tcW w:w="1845" w:type="dxa"/>
          </w:tcPr>
          <w:p w14:paraId="1C0E9C7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0.544 ± 0.037</w:t>
            </w:r>
          </w:p>
        </w:tc>
        <w:tc>
          <w:tcPr>
            <w:tcW w:w="2516" w:type="dxa"/>
          </w:tcPr>
          <w:p w14:paraId="7795EF0D"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0.436 ± 0.002</w:t>
            </w:r>
          </w:p>
        </w:tc>
        <w:tc>
          <w:tcPr>
            <w:tcW w:w="2209" w:type="dxa"/>
          </w:tcPr>
          <w:p w14:paraId="4E00B3C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0.114 ± 0.008</w:t>
            </w:r>
          </w:p>
        </w:tc>
      </w:tr>
      <w:tr w:rsidR="000802ED" w14:paraId="6ED7D59C" w14:textId="77777777" w:rsidTr="00637B69">
        <w:tc>
          <w:tcPr>
            <w:cnfStyle w:val="001000000000" w:firstRow="0" w:lastRow="0" w:firstColumn="1" w:lastColumn="0" w:oddVBand="0" w:evenVBand="0" w:oddHBand="0" w:evenHBand="0" w:firstRowFirstColumn="0" w:firstRowLastColumn="0" w:lastRowFirstColumn="0" w:lastRowLastColumn="0"/>
            <w:tcW w:w="1425" w:type="dxa"/>
          </w:tcPr>
          <w:p w14:paraId="34D5B349" w14:textId="77777777" w:rsidR="000802ED" w:rsidRDefault="000802ED" w:rsidP="00637B69">
            <w:pPr>
              <w:jc w:val="left"/>
            </w:pPr>
            <w:r>
              <w:t>4</w:t>
            </w:r>
          </w:p>
        </w:tc>
        <w:tc>
          <w:tcPr>
            <w:tcW w:w="1155" w:type="dxa"/>
          </w:tcPr>
          <w:p w14:paraId="054BDA0E"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Lorentz</w:t>
            </w:r>
          </w:p>
        </w:tc>
        <w:tc>
          <w:tcPr>
            <w:tcW w:w="1845" w:type="dxa"/>
          </w:tcPr>
          <w:p w14:paraId="49F8F91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0.107 ± 0.031</w:t>
            </w:r>
          </w:p>
        </w:tc>
        <w:tc>
          <w:tcPr>
            <w:tcW w:w="2516" w:type="dxa"/>
          </w:tcPr>
          <w:p w14:paraId="6F78D56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0.654 ± 0.012</w:t>
            </w:r>
          </w:p>
        </w:tc>
        <w:tc>
          <w:tcPr>
            <w:tcW w:w="2209" w:type="dxa"/>
          </w:tcPr>
          <w:p w14:paraId="09A089EC"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0.126 ± 0.042</w:t>
            </w:r>
          </w:p>
        </w:tc>
      </w:tr>
    </w:tbl>
    <w:p w14:paraId="692AA852" w14:textId="77777777" w:rsidR="000802ED" w:rsidRDefault="000802ED" w:rsidP="000802ED">
      <w:pPr>
        <w:spacing w:line="480" w:lineRule="auto"/>
        <w:jc w:val="left"/>
      </w:pPr>
      <w:r w:rsidRPr="5AA1C770">
        <w:rPr>
          <w:rFonts w:eastAsia="Times" w:cs="Times"/>
        </w:rPr>
        <w:t>Th</w:t>
      </w:r>
      <w:r w:rsidRPr="2B0F40DB">
        <w:rPr>
          <w:rFonts w:eastAsia="Times" w:cs="Times"/>
        </w:rPr>
        <w:t>e Thickness (</w:t>
      </w:r>
      <w:proofErr w:type="spellStart"/>
      <w:r w:rsidRPr="2B0F40DB">
        <w:rPr>
          <w:rFonts w:eastAsia="Times" w:cs="Times"/>
        </w:rPr>
        <w:t>μm</w:t>
      </w:r>
      <w:proofErr w:type="spellEnd"/>
      <w:r w:rsidRPr="2B0F40DB">
        <w:rPr>
          <w:rFonts w:eastAsia="Times" w:cs="Times"/>
        </w:rPr>
        <w:t>) parameter used in the model was</w:t>
      </w:r>
      <w:r w:rsidRPr="5AA1C770">
        <w:rPr>
          <w:rFonts w:eastAsia="Times" w:cs="Times"/>
        </w:rPr>
        <w:t>:  0.0170 ± 0.0003</w:t>
      </w:r>
    </w:p>
    <w:p w14:paraId="24884C4C" w14:textId="7EBACED4" w:rsidR="000802ED" w:rsidRDefault="000802ED" w:rsidP="000802ED">
      <w:pPr>
        <w:spacing w:line="480" w:lineRule="auto"/>
        <w:jc w:val="left"/>
        <w:rPr>
          <w:rFonts w:ascii="Times New Roman" w:hAnsi="Times New Roman"/>
          <w:lang w:val="en-CA"/>
        </w:rPr>
      </w:pPr>
      <w:r>
        <w:rPr>
          <w:rFonts w:ascii="Times New Roman" w:hAnsi="Times New Roman"/>
          <w:lang w:val="en-CA"/>
        </w:rPr>
        <w:t>T</w:t>
      </w:r>
      <w:r w:rsidRPr="0020308E">
        <w:rPr>
          <w:rFonts w:ascii="Times New Roman" w:hAnsi="Times New Roman"/>
          <w:lang w:val="en-CA"/>
        </w:rPr>
        <w:t>he resulting complex refractive index spectra</w:t>
      </w:r>
      <w:r>
        <w:rPr>
          <w:rFonts w:ascii="Times New Roman" w:hAnsi="Times New Roman"/>
          <w:lang w:val="en-CA"/>
        </w:rPr>
        <w:t>,</w:t>
      </w:r>
      <w:r w:rsidRPr="00A00A73">
        <w:rPr>
          <w:rFonts w:ascii="Times New Roman" w:hAnsi="Times New Roman"/>
          <w:lang w:val="en-CA"/>
        </w:rPr>
        <w:t xml:space="preserve"> </w:t>
      </w:r>
      <w:r>
        <w:rPr>
          <w:rFonts w:ascii="Times New Roman" w:hAnsi="Times New Roman"/>
          <w:lang w:val="en-CA"/>
        </w:rPr>
        <w:t>as computed from the best fit of the 4 Lorentz Oscillator model, are shown in Fig. S4</w:t>
      </w:r>
      <w:proofErr w:type="gramStart"/>
      <w:r w:rsidRPr="00AB3D8D">
        <w:rPr>
          <w:rFonts w:ascii="Times New Roman" w:hAnsi="Times New Roman"/>
          <w:lang w:val="en-CA"/>
        </w:rPr>
        <w:t>a,b</w:t>
      </w:r>
      <w:r>
        <w:rPr>
          <w:rFonts w:ascii="Times New Roman" w:hAnsi="Times New Roman"/>
          <w:lang w:val="en-CA"/>
        </w:rPr>
        <w:t>.</w:t>
      </w:r>
      <w:proofErr w:type="gramEnd"/>
      <w:r>
        <w:rPr>
          <w:rFonts w:ascii="Times New Roman" w:hAnsi="Times New Roman"/>
          <w:lang w:val="en-CA"/>
        </w:rPr>
        <w:t xml:space="preserve"> They</w:t>
      </w:r>
      <w:r w:rsidRPr="00AB3D8D">
        <w:rPr>
          <w:rFonts w:ascii="Times New Roman" w:hAnsi="Times New Roman"/>
          <w:lang w:val="en-CA"/>
        </w:rPr>
        <w:t xml:space="preserve"> do not resemble that of the pure </w:t>
      </w:r>
      <w:r>
        <w:rPr>
          <w:rFonts w:ascii="Times New Roman" w:hAnsi="Times New Roman"/>
          <w:lang w:val="en-CA"/>
        </w:rPr>
        <w:t>AlN</w:t>
      </w:r>
      <w:r w:rsidRPr="00AB3D8D">
        <w:rPr>
          <w:rFonts w:ascii="Times New Roman" w:hAnsi="Times New Roman"/>
          <w:lang w:val="en-CA"/>
        </w:rPr>
        <w:t xml:space="preserve"> dielectric (</w:t>
      </w:r>
      <w:r>
        <w:rPr>
          <w:rFonts w:ascii="Times New Roman" w:hAnsi="Times New Roman"/>
          <w:lang w:val="en-CA"/>
        </w:rPr>
        <w:t>F</w:t>
      </w:r>
      <w:r w:rsidRPr="00AB3D8D">
        <w:rPr>
          <w:rFonts w:ascii="Times New Roman" w:hAnsi="Times New Roman"/>
          <w:lang w:val="en-CA"/>
        </w:rPr>
        <w:t>ig. S</w:t>
      </w:r>
      <w:r>
        <w:rPr>
          <w:rFonts w:ascii="Times New Roman" w:hAnsi="Times New Roman"/>
          <w:lang w:val="en-CA"/>
        </w:rPr>
        <w:t>1a</w:t>
      </w:r>
      <w:r w:rsidRPr="00AB3D8D">
        <w:rPr>
          <w:rFonts w:ascii="Times New Roman" w:hAnsi="Times New Roman"/>
          <w:lang w:val="en-CA"/>
        </w:rPr>
        <w:t xml:space="preserve">) nor that of a simple roughness layer made up of an equal mixture of </w:t>
      </w:r>
      <w:r>
        <w:rPr>
          <w:rFonts w:ascii="Times New Roman" w:hAnsi="Times New Roman"/>
          <w:lang w:val="en-CA"/>
        </w:rPr>
        <w:t>AlN</w:t>
      </w:r>
      <w:r w:rsidRPr="00AB3D8D">
        <w:rPr>
          <w:rFonts w:ascii="Times New Roman" w:hAnsi="Times New Roman"/>
          <w:lang w:val="en-CA"/>
        </w:rPr>
        <w:t xml:space="preserve"> and Ag</w:t>
      </w:r>
      <w:r>
        <w:rPr>
          <w:rFonts w:ascii="Times New Roman" w:hAnsi="Times New Roman"/>
          <w:lang w:val="en-CA"/>
        </w:rPr>
        <w:t>.</w:t>
      </w:r>
      <w:r w:rsidRPr="00AB3D8D">
        <w:rPr>
          <w:rFonts w:ascii="Times New Roman" w:hAnsi="Times New Roman"/>
          <w:lang w:val="en-CA"/>
        </w:rPr>
        <w:t xml:space="preserve"> </w:t>
      </w:r>
      <w:r>
        <w:rPr>
          <w:rFonts w:ascii="Times New Roman" w:hAnsi="Times New Roman"/>
          <w:lang w:val="en-CA"/>
        </w:rPr>
        <w:t>I</w:t>
      </w:r>
      <w:r w:rsidRPr="00AB3D8D">
        <w:rPr>
          <w:rFonts w:ascii="Times New Roman" w:hAnsi="Times New Roman"/>
          <w:lang w:val="en-CA"/>
        </w:rPr>
        <w:t>nstead</w:t>
      </w:r>
      <w:r>
        <w:rPr>
          <w:rFonts w:ascii="Times New Roman" w:hAnsi="Times New Roman"/>
          <w:lang w:val="en-CA"/>
        </w:rPr>
        <w:t>, they</w:t>
      </w:r>
      <w:r w:rsidRPr="00AB3D8D">
        <w:rPr>
          <w:rFonts w:ascii="Times New Roman" w:hAnsi="Times New Roman"/>
          <w:lang w:val="en-CA"/>
        </w:rPr>
        <w:t xml:space="preserve"> exhibit the anomalous dispersion characte</w:t>
      </w:r>
      <w:r>
        <w:rPr>
          <w:rFonts w:ascii="Times New Roman" w:hAnsi="Times New Roman"/>
          <w:lang w:val="en-CA"/>
        </w:rPr>
        <w:t>ristic of plasmonic materials</w:t>
      </w:r>
      <w:r>
        <w:rPr>
          <w:rFonts w:ascii="Times New Roman" w:hAnsi="Times New Roman"/>
          <w:lang w:val="en-CA"/>
        </w:rPr>
        <w:fldChar w:fldCharType="begin" w:fldLock="1"/>
      </w:r>
      <w:r w:rsidR="009171A1">
        <w:rPr>
          <w:rFonts w:ascii="Times New Roman" w:hAnsi="Times New Roman"/>
          <w:lang w:val="en-CA"/>
        </w:rPr>
        <w:instrText>ADDIN CSL_CITATION {"citationItems":[{"id":"ITEM-1","itemData":{"DOI":"10.1063/1.4979139","ISSN":"10897550","abstract":"The scientific and technological interest for metal-dielectric nanocomposite thin films emanates from the excitation of localized surface plasmon resonances (LSPRs) on the metal component. The overall optical response of the nanocomposite is governed by the refractive index of the dielectric matrix and the properties of the metallic nanoparticles in terms of their bulk optical properties, size, and shape, and the inter-particle distance of separation. In order to tune the film morphology and optical properties, complex synthesis processes which include multiple steps—i.e., film deposition followed by post-deposition treatment by thermal or laser annealing—are commonly employed. In the present study, we demonstrate that the absorption resonances of Ag/AlOxNy nanocomposite films can be effectively tuned from green (</w:instrText>
      </w:r>
      <w:r w:rsidR="009171A1">
        <w:rPr>
          <w:rFonts w:ascii="Cambria Math" w:hAnsi="Cambria Math" w:cs="Cambria Math"/>
          <w:lang w:val="en-CA"/>
        </w:rPr>
        <w:instrText>∼</w:instrText>
      </w:r>
      <w:r w:rsidR="009171A1">
        <w:rPr>
          <w:rFonts w:ascii="Times New Roman" w:hAnsi="Times New Roman"/>
          <w:lang w:val="en-CA"/>
        </w:rPr>
        <w:instrText>2.4 eV) to violet (</w:instrText>
      </w:r>
      <w:r w:rsidR="009171A1">
        <w:rPr>
          <w:rFonts w:ascii="Cambria Math" w:hAnsi="Cambria Math" w:cs="Cambria Math"/>
          <w:lang w:val="en-CA"/>
        </w:rPr>
        <w:instrText>∼</w:instrText>
      </w:r>
      <w:r w:rsidR="009171A1">
        <w:rPr>
          <w:rFonts w:ascii="Times New Roman" w:hAnsi="Times New Roman"/>
          <w:lang w:val="en-CA"/>
        </w:rPr>
        <w:instrText>2.8 eV) using a single-step synthesis process that is based on modulating the arrival pattern of film forming species with sub-monolayer resolution, while keeping the amount of Ag in the films constant. Our data indicate that the optical response of the films is the result of LSPRs on isolated Ag nanoparticles that are seemingly shifted by dipolar interactions between neighboring particles. The synthesis strategy presented may be of relevance for enabling integration of plasmonic nanocomposite films on thermally sensitive substrates.","author":[{"dropping-particle":"","family":"Magnfält","given":"D.","non-dropping-particle":"","parse-names":false,"suffix":""},{"dropping-particle":"","family":"Melander","given":"E.","non-dropping-particle":"","parse-names":false,"suffix":""},{"dropping-particle":"","family":"Boyd","given":"R. D.","non-dropping-particle":"","parse-names":false,"suffix":""},{"dropping-particle":"","family":"Kapaklis","given":"V.","non-dropping-particle":"","parse-names":false,"suffix":""},{"dropping-particle":"","family":"Sarakinos","given":"K.","non-dropping-particle":"","parse-names":false,"suffix":""}],"container-title":"Journal of Applied Physics","id":"ITEM-1","issue":"17","issued":{"date-parts":[["2017"]]},"title":"Synthesis of tunable plasmonic metal-ceramic nanocomposite thin films by temporally modulated sputtered fluxes","type":"article-journal","volume":"121"},"uris":["http://www.mendeley.com/documents/?uuid=7e712417-12c3-4fdd-b24a-18055d1cbf6d"]},{"id":"ITEM-2","itemData":{"DOI":"10.1039/c3nr01091k","ISBN":"2040-3372 (Electronic) 2040-3364 (Linking)","ISSN":"20403364","PMID":"23703218","abstract":"Noble metal nanoparticles that support localized surface plasmon resonances (LSPRs) have the unique ability to manipulate and confine light at subwavelength dimensions. Utilizing these capabilities in devices and coatings requires the controlled organization of metal nanoparticles into ordered or hierarchical structures. Polymer grafts can be used as assembly-regulating molecules that bind to the nanoparticle surface and guide nanoparticle organization in solution, at interfaces, and within condensed phases. Here, we present an overview of polymer-directed assembly of plasmonic nanoparticles. We discuss how polymer grafts can be used to control short-range nanoparticle interactions that dictate interparticle gap distance and orientation. We also discuss how condensed polymer grafts can be used to control long-range order within condensed nanoparticle-polymer blends. The assembly of shaped plasmonic nanoparticles that have potential applications in enhanced spectroscopy and optical metamaterials is highlighted. We end with a summary of promising new directions toward the fabrication of plasmonic nanocomposites that are responsive and possess three-dimensional order.","author":[{"dropping-particle":"","family":"Gao","given":"Bo","non-dropping-particle":"","parse-names":false,"suffix":""},{"dropping-particle":"","family":"Rozin","given":"Matthew J.","non-dropping-particle":"","parse-names":false,"suffix":""},{"dropping-particle":"","family":"Tao","given":"Andrea R.","non-dropping-particle":"","parse-names":false,"suffix":""}],"container-title":"Nanoscale","id":"ITEM-2","issue":"13","issued":{"date-parts":[["2013"]]},"page":"5677-5691","title":"Plasmonic nanocomposites: Polymer-guided strategies for assembling metal nanoparticles","type":"article-journal","volume":"5"},"uris":["http://www.mendeley.com/documents/?uuid=02507b40-5461-4b8d-8e7b-3cf9d9af450d"]}],"mendeley":{"formattedCitation":"&lt;sup&gt;[5,6]&lt;/sup&gt;","plainTextFormattedCitation":"[5,6]","previouslyFormattedCitation":"&lt;sup&gt;[5,6]&lt;/sup&gt;"},"properties":{"noteIndex":0},"schema":"https://github.com/citation-style-language/schema/raw/master/csl-citation.json"}</w:instrText>
      </w:r>
      <w:r>
        <w:rPr>
          <w:rFonts w:ascii="Times New Roman" w:hAnsi="Times New Roman"/>
          <w:lang w:val="en-CA"/>
        </w:rPr>
        <w:fldChar w:fldCharType="separate"/>
      </w:r>
      <w:r w:rsidR="009171A1" w:rsidRPr="009171A1">
        <w:rPr>
          <w:rFonts w:ascii="Times New Roman" w:hAnsi="Times New Roman"/>
          <w:noProof/>
          <w:vertAlign w:val="superscript"/>
          <w:lang w:val="en-CA"/>
        </w:rPr>
        <w:t>[5,6]</w:t>
      </w:r>
      <w:r>
        <w:rPr>
          <w:rFonts w:ascii="Times New Roman" w:hAnsi="Times New Roman"/>
          <w:lang w:val="en-CA"/>
        </w:rPr>
        <w:fldChar w:fldCharType="end"/>
      </w:r>
      <w:r w:rsidRPr="00AB3D8D">
        <w:rPr>
          <w:rFonts w:ascii="Times New Roman" w:hAnsi="Times New Roman"/>
          <w:lang w:val="en-CA"/>
        </w:rPr>
        <w:t xml:space="preserve">. </w:t>
      </w:r>
    </w:p>
    <w:p w14:paraId="1BE3D8C7" w14:textId="77777777" w:rsidR="000802ED" w:rsidRPr="00A00A73" w:rsidRDefault="000802ED" w:rsidP="000802ED">
      <w:pPr>
        <w:spacing w:line="480" w:lineRule="auto"/>
        <w:jc w:val="left"/>
        <w:rPr>
          <w:b/>
          <w:bCs/>
          <w:lang w:val="en-CA" w:eastAsia="zh-CN"/>
        </w:rPr>
      </w:pPr>
      <w:r>
        <w:rPr>
          <w:rFonts w:ascii="Times New Roman" w:hAnsi="Times New Roman"/>
          <w:lang w:val="en-CA"/>
        </w:rPr>
        <w:t xml:space="preserve">    </w:t>
      </w:r>
      <w:r w:rsidRPr="00FC6568">
        <w:rPr>
          <w:rFonts w:ascii="Times New Roman" w:hAnsi="Times New Roman"/>
          <w:lang w:val="en-CA"/>
        </w:rPr>
        <w:t xml:space="preserve">Using the refractive index of the modelled layer, we can compute the absorption spectra of S1 and S2 as shown in Fig. </w:t>
      </w:r>
      <w:r>
        <w:rPr>
          <w:rFonts w:ascii="Times New Roman" w:hAnsi="Times New Roman"/>
          <w:lang w:val="en-CA"/>
        </w:rPr>
        <w:t>S4</w:t>
      </w:r>
      <w:proofErr w:type="gramStart"/>
      <w:r w:rsidRPr="00FC6568">
        <w:rPr>
          <w:rFonts w:ascii="Times New Roman" w:hAnsi="Times New Roman"/>
          <w:lang w:val="en-CA"/>
        </w:rPr>
        <w:t>c,d</w:t>
      </w:r>
      <w:proofErr w:type="gramEnd"/>
      <w:r w:rsidRPr="00FC6568">
        <w:rPr>
          <w:rFonts w:ascii="Times New Roman" w:hAnsi="Times New Roman"/>
          <w:lang w:val="en-CA"/>
        </w:rPr>
        <w:t xml:space="preserve"> using the scattering matrix method</w:t>
      </w:r>
      <w:r>
        <w:rPr>
          <w:rFonts w:ascii="Times New Roman" w:hAnsi="Times New Roman"/>
          <w:lang w:val="en-CA"/>
        </w:rPr>
        <w:t>. T</w:t>
      </w:r>
      <w:r w:rsidRPr="00FC6568">
        <w:rPr>
          <w:rFonts w:ascii="Times New Roman" w:hAnsi="Times New Roman"/>
          <w:lang w:val="en-CA"/>
        </w:rPr>
        <w:t xml:space="preserve">he resulting spectra agree very well with the experimental spectra. </w:t>
      </w:r>
    </w:p>
    <w:p w14:paraId="0F00039E" w14:textId="77777777" w:rsidR="000802ED" w:rsidRDefault="000802ED" w:rsidP="000802ED">
      <w:pPr>
        <w:spacing w:line="480" w:lineRule="auto"/>
        <w:jc w:val="left"/>
      </w:pPr>
      <w:r>
        <w:rPr>
          <w:noProof/>
        </w:rPr>
        <w:drawing>
          <wp:inline distT="0" distB="0" distL="0" distR="0" wp14:anchorId="41DC1CD9" wp14:editId="344B96A9">
            <wp:extent cx="5943600" cy="35572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 SE and UV-Vi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557270"/>
                    </a:xfrm>
                    <a:prstGeom prst="rect">
                      <a:avLst/>
                    </a:prstGeom>
                  </pic:spPr>
                </pic:pic>
              </a:graphicData>
            </a:graphic>
          </wp:inline>
        </w:drawing>
      </w:r>
    </w:p>
    <w:p w14:paraId="0E977627" w14:textId="77777777" w:rsidR="000802ED" w:rsidRDefault="000802ED" w:rsidP="000802ED">
      <w:pPr>
        <w:jc w:val="left"/>
        <w:rPr>
          <w:rFonts w:eastAsia="Times" w:cs="Times"/>
        </w:rPr>
      </w:pPr>
      <w:r w:rsidRPr="2DE79879">
        <w:rPr>
          <w:rFonts w:eastAsia="Times" w:cs="Times"/>
          <w:b/>
          <w:bCs/>
        </w:rPr>
        <w:t>Figure</w:t>
      </w:r>
      <w:r>
        <w:rPr>
          <w:rFonts w:eastAsia="Times" w:cs="Times"/>
          <w:b/>
          <w:bCs/>
        </w:rPr>
        <w:t xml:space="preserve"> S4 |</w:t>
      </w:r>
      <w:r w:rsidRPr="2DE79879">
        <w:rPr>
          <w:rFonts w:eastAsia="Times" w:cs="Times"/>
          <w:b/>
          <w:bCs/>
        </w:rPr>
        <w:t xml:space="preserve"> </w:t>
      </w:r>
      <w:r>
        <w:rPr>
          <w:rFonts w:eastAsia="Times" w:cs="Times"/>
          <w:b/>
          <w:bCs/>
        </w:rPr>
        <w:t xml:space="preserve">Effective index and calculated absorption spectra for S1 and S2. </w:t>
      </w:r>
      <w:r w:rsidRPr="2DE79879">
        <w:rPr>
          <w:rFonts w:eastAsia="Times" w:cs="Times"/>
        </w:rPr>
        <w:t xml:space="preserve">The </w:t>
      </w:r>
      <w:r w:rsidRPr="10605F03">
        <w:rPr>
          <w:rFonts w:eastAsia="Times" w:cs="Times"/>
        </w:rPr>
        <w:t xml:space="preserve">refractive </w:t>
      </w:r>
      <w:r w:rsidRPr="2218A147">
        <w:rPr>
          <w:rFonts w:eastAsia="Times" w:cs="Times"/>
        </w:rPr>
        <w:t>indices</w:t>
      </w:r>
      <w:r w:rsidRPr="358EB423">
        <w:rPr>
          <w:rFonts w:eastAsia="Times" w:cs="Times"/>
        </w:rPr>
        <w:t xml:space="preserve"> and the extinction </w:t>
      </w:r>
      <w:r w:rsidRPr="4D80E87F">
        <w:rPr>
          <w:rFonts w:eastAsia="Times" w:cs="Times"/>
        </w:rPr>
        <w:t>coefficient</w:t>
      </w:r>
      <w:r>
        <w:rPr>
          <w:rFonts w:eastAsia="Times" w:cs="Times"/>
        </w:rPr>
        <w:t xml:space="preserve"> of </w:t>
      </w:r>
      <w:r w:rsidRPr="00C93138">
        <w:rPr>
          <w:rFonts w:eastAsia="Times" w:cs="Times"/>
          <w:b/>
        </w:rPr>
        <w:t>(a)</w:t>
      </w:r>
      <w:r>
        <w:rPr>
          <w:rFonts w:eastAsia="Times" w:cs="Times"/>
        </w:rPr>
        <w:t xml:space="preserve"> Top layer of Sample S1 (3 nm AlN / thick Ag) and </w:t>
      </w:r>
      <w:r w:rsidRPr="00C93138">
        <w:rPr>
          <w:rFonts w:eastAsia="Times" w:cs="Times"/>
          <w:b/>
        </w:rPr>
        <w:t>(b)</w:t>
      </w:r>
      <w:r>
        <w:rPr>
          <w:rFonts w:eastAsia="Times" w:cs="Times"/>
        </w:rPr>
        <w:t xml:space="preserve"> Top layer of Sample S2 (20 nm AlN / thick Ag) obtained with a 4-Lorentz fit to the SE data. The calculated absorption spectra of </w:t>
      </w:r>
      <w:r w:rsidRPr="00686DC7">
        <w:rPr>
          <w:rFonts w:eastAsia="Times" w:cs="Times"/>
          <w:b/>
        </w:rPr>
        <w:t>(c)</w:t>
      </w:r>
      <w:r>
        <w:rPr>
          <w:rFonts w:eastAsia="Times" w:cs="Times"/>
        </w:rPr>
        <w:t xml:space="preserve"> S1 and </w:t>
      </w:r>
      <w:r w:rsidRPr="00686DC7">
        <w:rPr>
          <w:rFonts w:eastAsia="Times" w:cs="Times"/>
          <w:b/>
        </w:rPr>
        <w:t>(d)</w:t>
      </w:r>
      <w:r>
        <w:rPr>
          <w:rFonts w:eastAsia="Times" w:cs="Times"/>
        </w:rPr>
        <w:t xml:space="preserve"> S2 using the indices from SE fit and the Scattering matrix method.</w:t>
      </w:r>
    </w:p>
    <w:p w14:paraId="639C8105" w14:textId="77777777" w:rsidR="000802ED" w:rsidRPr="00B5454C" w:rsidRDefault="000802ED" w:rsidP="000802ED">
      <w:pPr>
        <w:spacing w:line="480" w:lineRule="auto"/>
        <w:jc w:val="left"/>
        <w:outlineLvl w:val="0"/>
        <w:rPr>
          <w:b/>
        </w:rPr>
      </w:pPr>
    </w:p>
    <w:p w14:paraId="060E8844" w14:textId="77777777" w:rsidR="000802ED" w:rsidRDefault="000802ED" w:rsidP="000802ED">
      <w:pPr>
        <w:spacing w:line="480" w:lineRule="auto"/>
        <w:jc w:val="left"/>
        <w:outlineLvl w:val="0"/>
        <w:rPr>
          <w:b/>
          <w:lang w:val="en-CA"/>
        </w:rPr>
      </w:pPr>
      <w:r>
        <w:rPr>
          <w:b/>
          <w:lang w:val="en-CA"/>
        </w:rPr>
        <w:t>Roughness LSPR</w:t>
      </w:r>
    </w:p>
    <w:p w14:paraId="768E5E4F" w14:textId="77777777" w:rsidR="000802ED" w:rsidRDefault="000802ED" w:rsidP="000802ED">
      <w:pPr>
        <w:spacing w:line="480" w:lineRule="auto"/>
        <w:jc w:val="left"/>
        <w:outlineLvl w:val="0"/>
        <w:rPr>
          <w:lang w:val="en-CA"/>
        </w:rPr>
      </w:pPr>
      <w:r>
        <w:rPr>
          <w:lang w:val="en-CA"/>
        </w:rPr>
        <w:t xml:space="preserve">It is noted that LSPR can indeed be excited on the tips of roughness features (the top of the ‘hills’ of the surface terrain) which have high curvature and are in relative isolation. After all, the hills and valleys of a film surface are commonly modelled as a conglomerate of nanoparticles. Thus, a natural challenge to the proposed MG / BG hybrid model may be the </w:t>
      </w:r>
      <w:r w:rsidRPr="007D6966">
        <w:rPr>
          <w:lang w:val="en-CA"/>
        </w:rPr>
        <w:t>apparent</w:t>
      </w:r>
      <w:r>
        <w:rPr>
          <w:lang w:val="en-CA"/>
        </w:rPr>
        <w:t xml:space="preserve"> lack of consideration for this roughness induced LSPR effect. However, the proposed model </w:t>
      </w:r>
      <w:r w:rsidRPr="0031526B">
        <w:rPr>
          <w:lang w:val="en-CA"/>
        </w:rPr>
        <w:t>does</w:t>
      </w:r>
      <w:r>
        <w:rPr>
          <w:lang w:val="en-CA"/>
        </w:rPr>
        <w:t xml:space="preserve"> account for this effect by lumping it together with the diffusion induced LSPR region. As the division line between the MG and the BG modelled regimes (for the AlN samples) is determined from the regression fit, the best fit results would ideally draw the line such that the highly curved hills of the roughness features are lumped with the diffused nanoparticles just above them, so that all relevant LSPR sources are accounted for. For the SiN</w:t>
      </w:r>
      <w:r w:rsidRPr="00971ACF">
        <w:rPr>
          <w:vertAlign w:val="subscript"/>
          <w:lang w:val="en-CA"/>
        </w:rPr>
        <w:t>x</w:t>
      </w:r>
      <w:r>
        <w:rPr>
          <w:lang w:val="en-CA"/>
        </w:rPr>
        <w:t xml:space="preserve"> samples, where there is no regression fit and the selection of the LSPR vs SPR division line is solely based on experimental concentration, we can be reasonably confident that we’ve captured all the LSPR by considering all regions with relatively low (taken to be 0.1 vol%) Ag concentration. </w:t>
      </w:r>
    </w:p>
    <w:p w14:paraId="4EC4F316" w14:textId="77777777" w:rsidR="000802ED" w:rsidRDefault="000802ED" w:rsidP="000802ED">
      <w:pPr>
        <w:spacing w:line="480" w:lineRule="auto"/>
        <w:jc w:val="left"/>
        <w:outlineLvl w:val="0"/>
        <w:rPr>
          <w:lang w:val="en-CA"/>
        </w:rPr>
      </w:pPr>
      <w:r>
        <w:rPr>
          <w:lang w:val="en-CA"/>
        </w:rPr>
        <w:t xml:space="preserve">Furthermore, one can entertain the hypothesis that the nanoparticle diffusion originate from the detachment of roughness features due to surface energy minimization, and thus the tip of the rough silver surface serves as the reservoir of nanoparticles. In this model, the lumping of the diffused nanoparticles with the hills of the silver surface is not only a convenient mathematical formulation, but also captures the physical picture that the LSPR-inducing roughness features are just nanoparticles at time zero of the diffusion process. </w:t>
      </w:r>
    </w:p>
    <w:p w14:paraId="74AE6C87" w14:textId="77777777" w:rsidR="000802ED" w:rsidRPr="009F2191" w:rsidRDefault="000802ED" w:rsidP="000802ED">
      <w:pPr>
        <w:spacing w:line="480" w:lineRule="auto"/>
        <w:jc w:val="left"/>
        <w:outlineLvl w:val="0"/>
        <w:rPr>
          <w:lang w:val="en-CA"/>
        </w:rPr>
      </w:pPr>
    </w:p>
    <w:p w14:paraId="62867991" w14:textId="77777777" w:rsidR="000802ED" w:rsidRPr="009E6B5C" w:rsidRDefault="000802ED" w:rsidP="000802ED">
      <w:pPr>
        <w:pStyle w:val="SNSynopsisTOC"/>
        <w:spacing w:after="240"/>
        <w:jc w:val="left"/>
        <w:rPr>
          <w:b/>
        </w:rPr>
      </w:pPr>
      <w:r>
        <w:rPr>
          <w:b/>
        </w:rPr>
        <w:t>Samples S1 and S2</w:t>
      </w:r>
    </w:p>
    <w:p w14:paraId="5BF299B3" w14:textId="77777777" w:rsidR="000802ED" w:rsidRPr="009E6B5C" w:rsidRDefault="000802ED" w:rsidP="000802ED">
      <w:pPr>
        <w:spacing w:line="480" w:lineRule="auto"/>
        <w:jc w:val="left"/>
        <w:rPr>
          <w:lang w:val="en-CA"/>
        </w:rPr>
      </w:pPr>
      <w:r>
        <w:rPr>
          <w:lang w:val="en-CA"/>
        </w:rPr>
        <w:t xml:space="preserve">Note that we do not apply our model to samples S1 and S2 because these samples have dielectric thickness of less than 20 nm, which is of the same order as the thickness of the roughness features of the 300 nm silver layer. With extremely limited distances for silver nanoparticles to diffuse, the strong coupling (see Supplementary Information -- </w:t>
      </w:r>
      <w:r w:rsidRPr="00F71700">
        <w:rPr>
          <w:lang w:val="en-CA"/>
        </w:rPr>
        <w:t>Absorption Fit from Diffusion</w:t>
      </w:r>
      <w:r>
        <w:rPr>
          <w:lang w:val="en-CA"/>
        </w:rPr>
        <w:t xml:space="preserve">) between the diffused nanoparticles and the nearby roughness features would make the model’s separation of the MG and BG regimes break down. For these samples, we instead treat the dielectric and its embedded silver as one homogenous layer and perform spectroscopic ellipsometry for the refractive index. The fit and results can be found in Supplementary Information – SE of AlN. The absorption spectra calculated from the best fit refractive index, match very well with the experimental spectra. However, we stress that the SE fits are strictly mathematical as they do not model the complex physical setup involving diffusion and roughness, and the single homogenous layer assumption does not hold for thicker dielectric layers in which the gradient of silver content must be accounted for.  Additional diffusion effects beyond the top dielectric layer were not considered. This means that we did not alter the thickness of the silver layer to account for the losses due to diffusion, and we kept the second interface of Ag / AlN toward the substrate as an ideal sharp interface. These assumptions are very well justified for thick silver layer samples, as the thick silver is optically thick and functions effectively as the substrate. Practically, this keeps the model simple and the regression fit clean with less ambiguous results. But we can see from the </w:t>
      </w:r>
      <w:proofErr w:type="spellStart"/>
      <w:r>
        <w:rPr>
          <w:lang w:val="en-CA"/>
        </w:rPr>
        <w:t>ToF</w:t>
      </w:r>
      <w:proofErr w:type="spellEnd"/>
      <w:r>
        <w:rPr>
          <w:lang w:val="en-CA"/>
        </w:rPr>
        <w:t xml:space="preserve">-SIMS and XPS results in the main text that these assumptions are not as well-justified for the thin silver sample, S6. Consequently, the errors on the best-fit parameters of S6 (see Table S5) are much greater compared to the other samples. An important area of future work would be to specialize the model for multilayers comprised of thinner silver layers, and/or multilayers with multiple silver layers, wherein the diffusion at every interface as well as the individual silver layer thicknesses must be added to the model as parameters. </w:t>
      </w:r>
    </w:p>
    <w:p w14:paraId="04FF42B2" w14:textId="77777777" w:rsidR="000802ED" w:rsidRDefault="000802ED" w:rsidP="000802ED">
      <w:pPr>
        <w:spacing w:line="480" w:lineRule="auto"/>
        <w:jc w:val="left"/>
        <w:outlineLvl w:val="0"/>
        <w:rPr>
          <w:b/>
          <w:lang w:val="en-CA"/>
        </w:rPr>
      </w:pPr>
    </w:p>
    <w:p w14:paraId="4FAE51E6" w14:textId="77777777" w:rsidR="000802ED" w:rsidRDefault="000802ED" w:rsidP="000802ED">
      <w:pPr>
        <w:spacing w:line="480" w:lineRule="auto"/>
        <w:jc w:val="left"/>
        <w:outlineLvl w:val="0"/>
        <w:rPr>
          <w:b/>
          <w:lang w:val="en-CA"/>
        </w:rPr>
      </w:pPr>
    </w:p>
    <w:p w14:paraId="6D88B6F9" w14:textId="77777777" w:rsidR="000802ED" w:rsidRDefault="000802ED" w:rsidP="000802ED">
      <w:pPr>
        <w:spacing w:line="480" w:lineRule="auto"/>
        <w:jc w:val="left"/>
        <w:outlineLvl w:val="0"/>
        <w:rPr>
          <w:b/>
          <w:lang w:val="en-CA"/>
        </w:rPr>
      </w:pPr>
      <w:r w:rsidRPr="00B00E88">
        <w:rPr>
          <w:b/>
          <w:lang w:val="en-CA"/>
        </w:rPr>
        <w:t>Absorption Fit from Diffusion</w:t>
      </w:r>
    </w:p>
    <w:p w14:paraId="30E0672B" w14:textId="77777777" w:rsidR="000802ED" w:rsidRDefault="000802ED" w:rsidP="000802ED">
      <w:pPr>
        <w:spacing w:line="480" w:lineRule="auto"/>
        <w:jc w:val="left"/>
        <w:rPr>
          <w:lang w:val="en-CA"/>
        </w:rPr>
      </w:pPr>
      <w:r>
        <w:rPr>
          <w:lang w:val="en-CA"/>
        </w:rPr>
        <w:t xml:space="preserve">The fill factor of silver in the top dielectric layer, </w:t>
      </w:r>
      <m:oMath>
        <m:r>
          <w:rPr>
            <w:rFonts w:ascii="Cambria Math" w:hAnsi="Cambria Math"/>
            <w:lang w:val="en-CA"/>
          </w:rPr>
          <m:t>f</m:t>
        </m:r>
        <m:d>
          <m:dPr>
            <m:ctrlPr>
              <w:rPr>
                <w:rFonts w:ascii="Cambria Math" w:hAnsi="Cambria Math"/>
                <w:i/>
                <w:lang w:val="en-CA"/>
              </w:rPr>
            </m:ctrlPr>
          </m:dPr>
          <m:e>
            <m:r>
              <w:rPr>
                <w:rFonts w:ascii="Cambria Math" w:hAnsi="Cambria Math"/>
                <w:lang w:val="en-CA"/>
              </w:rPr>
              <m:t>x</m:t>
            </m:r>
          </m:e>
        </m:d>
      </m:oMath>
      <w:r>
        <w:rPr>
          <w:lang w:val="en-CA"/>
        </w:rPr>
        <w:t xml:space="preserve">, was constructed as in Eqn. 1 of main text. In the regression fit algorithm, six parameters were used fully constrain </w:t>
      </w:r>
      <m:oMath>
        <m:r>
          <w:rPr>
            <w:rFonts w:ascii="Cambria Math" w:hAnsi="Cambria Math"/>
            <w:lang w:val="en-CA"/>
          </w:rPr>
          <m:t>f</m:t>
        </m:r>
        <m:d>
          <m:dPr>
            <m:ctrlPr>
              <w:rPr>
                <w:rFonts w:ascii="Cambria Math" w:hAnsi="Cambria Math"/>
                <w:i/>
                <w:lang w:val="en-CA"/>
              </w:rPr>
            </m:ctrlPr>
          </m:dPr>
          <m:e>
            <m:r>
              <w:rPr>
                <w:rFonts w:ascii="Cambria Math" w:hAnsi="Cambria Math"/>
                <w:lang w:val="en-CA"/>
              </w:rPr>
              <m:t>x</m:t>
            </m:r>
          </m:e>
        </m:d>
      </m:oMath>
      <w:r>
        <w:rPr>
          <w:lang w:val="en-CA"/>
        </w:rPr>
        <w:t>, as shown in Table S6. The first is “Erf_scale” which scales the relative amplitude A</w:t>
      </w:r>
      <w:r w:rsidRPr="00F53423">
        <w:rPr>
          <w:vertAlign w:val="subscript"/>
          <w:lang w:val="en-CA"/>
        </w:rPr>
        <w:t>1</w:t>
      </w:r>
      <w:r>
        <w:rPr>
          <w:lang w:val="en-CA"/>
        </w:rPr>
        <w:t xml:space="preserve"> and A</w:t>
      </w:r>
      <w:r w:rsidRPr="00F53423">
        <w:rPr>
          <w:vertAlign w:val="subscript"/>
          <w:lang w:val="en-CA"/>
        </w:rPr>
        <w:t>2</w:t>
      </w:r>
      <w:r>
        <w:rPr>
          <w:lang w:val="en-CA"/>
        </w:rPr>
        <w:t xml:space="preserve"> of the first and the second </w:t>
      </w:r>
      <m:oMath>
        <m:r>
          <w:rPr>
            <w:rFonts w:ascii="Cambria Math" w:hAnsi="Cambria Math"/>
            <w:lang w:val="en-CA"/>
          </w:rPr>
          <m:t>erfc</m:t>
        </m:r>
        <m:d>
          <m:dPr>
            <m:ctrlPr>
              <w:rPr>
                <w:rFonts w:ascii="Cambria Math" w:hAnsi="Cambria Math"/>
                <w:i/>
                <w:lang w:val="en-CA"/>
              </w:rPr>
            </m:ctrlPr>
          </m:dPr>
          <m:e>
            <m:r>
              <w:rPr>
                <w:rFonts w:ascii="Cambria Math" w:hAnsi="Cambria Math"/>
                <w:lang w:val="en-CA"/>
              </w:rPr>
              <m:t>x</m:t>
            </m:r>
          </m:e>
        </m:d>
      </m:oMath>
      <w:r>
        <w:rPr>
          <w:lang w:val="en-CA"/>
        </w:rPr>
        <w:t xml:space="preserve">. The first, smaller amplitude </w:t>
      </w:r>
      <m:oMath>
        <m:r>
          <w:rPr>
            <w:rFonts w:ascii="Cambria Math" w:hAnsi="Cambria Math"/>
            <w:lang w:val="en-CA"/>
          </w:rPr>
          <m:t>erf</m:t>
        </m:r>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1</m:t>
            </m:r>
          </m:sub>
        </m:sSub>
        <m:d>
          <m:dPr>
            <m:ctrlPr>
              <w:rPr>
                <w:rFonts w:ascii="Cambria Math" w:hAnsi="Cambria Math"/>
                <w:i/>
                <w:lang w:val="en-CA"/>
              </w:rPr>
            </m:ctrlPr>
          </m:dPr>
          <m:e>
            <m:r>
              <w:rPr>
                <w:rFonts w:ascii="Cambria Math" w:hAnsi="Cambria Math"/>
                <w:lang w:val="en-CA"/>
              </w:rPr>
              <m:t>x</m:t>
            </m:r>
          </m:e>
        </m:d>
      </m:oMath>
      <w:r>
        <w:rPr>
          <w:lang w:val="en-CA"/>
        </w:rPr>
        <w:t xml:space="preserve"> will have some A</w:t>
      </w:r>
      <w:r w:rsidRPr="00F53423">
        <w:rPr>
          <w:vertAlign w:val="subscript"/>
          <w:lang w:val="en-CA"/>
        </w:rPr>
        <w:t>1</w:t>
      </w:r>
      <w:r>
        <w:rPr>
          <w:lang w:val="en-CA"/>
        </w:rPr>
        <w:t xml:space="preserve">, and the second, larger amplitude </w:t>
      </w:r>
      <m:oMath>
        <m:r>
          <w:rPr>
            <w:rFonts w:ascii="Cambria Math" w:hAnsi="Cambria Math"/>
            <w:lang w:val="en-CA"/>
          </w:rPr>
          <m:t>erf</m:t>
        </m:r>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2</m:t>
            </m:r>
          </m:sub>
        </m:sSub>
        <m:d>
          <m:dPr>
            <m:ctrlPr>
              <w:rPr>
                <w:rFonts w:ascii="Cambria Math" w:hAnsi="Cambria Math"/>
                <w:i/>
                <w:lang w:val="en-CA"/>
              </w:rPr>
            </m:ctrlPr>
          </m:dPr>
          <m:e>
            <m:r>
              <w:rPr>
                <w:rFonts w:ascii="Cambria Math" w:hAnsi="Cambria Math"/>
                <w:lang w:val="en-CA"/>
              </w:rPr>
              <m:t>x</m:t>
            </m:r>
          </m:e>
        </m:d>
      </m:oMath>
      <w:r>
        <w:rPr>
          <w:lang w:val="en-CA"/>
        </w:rPr>
        <w:t xml:space="preserve"> will have A</w:t>
      </w:r>
      <w:r w:rsidRPr="00F53423">
        <w:rPr>
          <w:vertAlign w:val="subscript"/>
          <w:lang w:val="en-CA"/>
        </w:rPr>
        <w:t>2</w:t>
      </w:r>
      <w:r>
        <w:rPr>
          <w:lang w:val="en-CA"/>
        </w:rPr>
        <w:t xml:space="preserve"> = 0.5 – A</w:t>
      </w:r>
      <w:r w:rsidRPr="0097408D">
        <w:rPr>
          <w:vertAlign w:val="subscript"/>
          <w:lang w:val="en-CA"/>
        </w:rPr>
        <w:t>1</w:t>
      </w:r>
      <w:r>
        <w:rPr>
          <w:lang w:val="en-CA"/>
        </w:rPr>
        <w:t xml:space="preserve"> in order to satisfy the 0% and 100% end behaviours of </w:t>
      </w:r>
      <m:oMath>
        <m:r>
          <w:rPr>
            <w:rFonts w:ascii="Cambria Math" w:hAnsi="Cambria Math"/>
            <w:lang w:val="en-CA"/>
          </w:rPr>
          <m:t>f</m:t>
        </m:r>
        <m:d>
          <m:dPr>
            <m:ctrlPr>
              <w:rPr>
                <w:rFonts w:ascii="Cambria Math" w:hAnsi="Cambria Math"/>
                <w:i/>
                <w:lang w:val="en-CA"/>
              </w:rPr>
            </m:ctrlPr>
          </m:dPr>
          <m:e>
            <m:r>
              <w:rPr>
                <w:rFonts w:ascii="Cambria Math" w:hAnsi="Cambria Math"/>
                <w:lang w:val="en-CA"/>
              </w:rPr>
              <m:t>x</m:t>
            </m:r>
          </m:e>
        </m:d>
      </m:oMath>
      <w:r>
        <w:rPr>
          <w:lang w:val="en-CA"/>
        </w:rPr>
        <w:t>. Then, “S</w:t>
      </w:r>
      <w:r w:rsidRPr="00C612E3">
        <w:rPr>
          <w:vertAlign w:val="subscript"/>
          <w:lang w:val="en-CA"/>
        </w:rPr>
        <w:t>1</w:t>
      </w:r>
      <w:r>
        <w:rPr>
          <w:lang w:val="en-CA"/>
        </w:rPr>
        <w:t>”, “C</w:t>
      </w:r>
      <w:r w:rsidRPr="00C612E3">
        <w:rPr>
          <w:vertAlign w:val="subscript"/>
          <w:lang w:val="en-CA"/>
        </w:rPr>
        <w:t>1</w:t>
      </w:r>
      <w:r>
        <w:rPr>
          <w:lang w:val="en-CA"/>
        </w:rPr>
        <w:t>”, “S</w:t>
      </w:r>
      <w:r w:rsidRPr="00C612E3">
        <w:rPr>
          <w:vertAlign w:val="subscript"/>
          <w:lang w:val="en-CA"/>
        </w:rPr>
        <w:t>2</w:t>
      </w:r>
      <w:r>
        <w:rPr>
          <w:lang w:val="en-CA"/>
        </w:rPr>
        <w:t>” are defined as they appear in Eqn. 1. The parameter “C</w:t>
      </w:r>
      <w:r w:rsidRPr="00C612E3">
        <w:rPr>
          <w:vertAlign w:val="subscript"/>
          <w:lang w:val="en-CA"/>
        </w:rPr>
        <w:t>2</w:t>
      </w:r>
      <w:r>
        <w:rPr>
          <w:lang w:val="en-CA"/>
        </w:rPr>
        <w:t xml:space="preserve"> – C</w:t>
      </w:r>
      <w:r w:rsidRPr="00C612E3">
        <w:rPr>
          <w:vertAlign w:val="subscript"/>
          <w:lang w:val="en-CA"/>
        </w:rPr>
        <w:t>1</w:t>
      </w:r>
      <w:r>
        <w:rPr>
          <w:lang w:val="en-CA"/>
        </w:rPr>
        <w:t>” is confined to be positive (to avoid two identical solutions under the exchange C</w:t>
      </w:r>
      <w:r w:rsidRPr="00C612E3">
        <w:rPr>
          <w:vertAlign w:val="subscript"/>
          <w:lang w:val="en-CA"/>
        </w:rPr>
        <w:t>1</w:t>
      </w:r>
      <w:r>
        <w:rPr>
          <w:lang w:val="en-CA"/>
        </w:rPr>
        <w:t xml:space="preserve"> &lt;-&gt; C</w:t>
      </w:r>
      <w:r w:rsidRPr="00C612E3">
        <w:rPr>
          <w:vertAlign w:val="subscript"/>
          <w:lang w:val="en-CA"/>
        </w:rPr>
        <w:t>2</w:t>
      </w:r>
      <w:r>
        <w:rPr>
          <w:lang w:val="en-CA"/>
        </w:rPr>
        <w:t>) and defines C</w:t>
      </w:r>
      <w:r w:rsidRPr="00C612E3">
        <w:rPr>
          <w:vertAlign w:val="subscript"/>
          <w:lang w:val="en-CA"/>
        </w:rPr>
        <w:t>2</w:t>
      </w:r>
      <w:r>
        <w:rPr>
          <w:lang w:val="en-CA"/>
        </w:rPr>
        <w:t xml:space="preserve"> relative to C</w:t>
      </w:r>
      <w:r w:rsidRPr="00C612E3">
        <w:rPr>
          <w:vertAlign w:val="subscript"/>
          <w:lang w:val="en-CA"/>
        </w:rPr>
        <w:t>1</w:t>
      </w:r>
      <w:r>
        <w:rPr>
          <w:lang w:val="en-CA"/>
        </w:rPr>
        <w:t xml:space="preserve">. Finally, the parameter L is the depolarization coefficient as it appears in the Maxwell Garnett Effective Medium Theory formula. </w:t>
      </w:r>
    </w:p>
    <w:p w14:paraId="2BE2A813" w14:textId="77777777" w:rsidR="000802ED" w:rsidRDefault="000802ED" w:rsidP="000802ED">
      <w:pPr>
        <w:spacing w:line="480" w:lineRule="auto"/>
        <w:ind w:firstLine="240"/>
        <w:jc w:val="left"/>
        <w:rPr>
          <w:lang w:val="en-CA"/>
        </w:rPr>
      </w:pPr>
      <w:r>
        <w:rPr>
          <w:lang w:eastAsia="zh-CN"/>
        </w:rPr>
        <w:t xml:space="preserve">The MG model assumes spherical inclusions of a metal with fractional content </w:t>
      </w:r>
      <m:oMath>
        <m:r>
          <w:rPr>
            <w:rFonts w:ascii="Cambria Math" w:hAnsi="Cambria Math"/>
          </w:rPr>
          <m:t xml:space="preserve">f </m:t>
        </m:r>
      </m:oMath>
      <w:r>
        <w:t>and dielectric constant</w:t>
      </w:r>
      <w:r>
        <w:rPr>
          <w:lang w:eastAsia="zh-CN"/>
        </w:rPr>
        <w:t xml:space="preserve"> </w:t>
      </w:r>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M</m:t>
            </m:r>
          </m:sub>
        </m:sSub>
      </m:oMath>
      <w:r>
        <w:rPr>
          <w:lang w:eastAsia="zh-CN"/>
        </w:rPr>
        <w:t xml:space="preserve"> within a dielectric host with fractional content </w:t>
      </w:r>
      <m:oMath>
        <m:r>
          <w:rPr>
            <w:rFonts w:ascii="Cambria Math" w:hAnsi="Cambria Math"/>
            <w:lang w:eastAsia="zh-CN"/>
          </w:rPr>
          <m:t>1-</m:t>
        </m:r>
        <m:r>
          <w:rPr>
            <w:rFonts w:ascii="Cambria Math" w:hAnsi="Cambria Math"/>
          </w:rPr>
          <m:t xml:space="preserve">f </m:t>
        </m:r>
      </m:oMath>
      <w:r>
        <w:t>and</w:t>
      </w:r>
      <w:r>
        <w:rPr>
          <w:lang w:eastAsia="zh-CN"/>
        </w:rPr>
        <w:t xml:space="preserve"> dielectric constant </w:t>
      </w:r>
      <m:oMath>
        <m:sSub>
          <m:sSubPr>
            <m:ctrlPr>
              <w:rPr>
                <w:rFonts w:ascii="Cambria Math" w:hAnsi="Cambria Math"/>
                <w:i/>
                <w:lang w:eastAsia="zh-CN"/>
              </w:rPr>
            </m:ctrlPr>
          </m:sSubPr>
          <m:e>
            <m:r>
              <w:rPr>
                <w:rFonts w:ascii="Cambria Math" w:hAnsi="Cambria Math"/>
                <w:lang w:eastAsia="zh-CN"/>
              </w:rPr>
              <m:t>ε</m:t>
            </m:r>
          </m:e>
          <m:sub>
            <m:r>
              <w:rPr>
                <w:rFonts w:ascii="Cambria Math" w:hAnsi="Cambria Math"/>
                <w:lang w:eastAsia="zh-CN"/>
              </w:rPr>
              <m:t>D</m:t>
            </m:r>
          </m:sub>
        </m:sSub>
      </m:oMath>
      <w:r>
        <w:rPr>
          <w:lang w:eastAsia="zh-CN"/>
        </w:rPr>
        <w:t xml:space="preserve">, such that </w:t>
      </w:r>
      <m:oMath>
        <m:r>
          <w:rPr>
            <w:rFonts w:ascii="Cambria Math" w:hAnsi="Cambria Math"/>
          </w:rPr>
          <m:t>f</m:t>
        </m:r>
      </m:oMath>
      <w:r>
        <w:t xml:space="preserve"> is small and below 30%</w:t>
      </w:r>
      <w:r>
        <w:rPr>
          <w:lang w:eastAsia="zh-CN"/>
        </w:rPr>
        <w:t xml:space="preserve">. </w:t>
      </w:r>
      <w:r>
        <w:rPr>
          <w:lang w:val="en-CA"/>
        </w:rPr>
        <w:t xml:space="preserve">The depolarization coefficient </w:t>
      </w:r>
      <w:r w:rsidRPr="00875BDE">
        <w:rPr>
          <w:i/>
          <w:lang w:val="en-CA"/>
        </w:rPr>
        <w:t>L</w:t>
      </w:r>
      <w:r>
        <w:rPr>
          <w:lang w:val="en-CA"/>
        </w:rPr>
        <w:t xml:space="preserve"> affects the peak absorption wavelength significantly, and it is because of the difference in the best fit depolarization coefficients (see Table S6) that the resulting peak wavelength at the same Ag concentration varies among the different samples in Fig. 4 of the main text. </w:t>
      </w:r>
    </w:p>
    <w:p w14:paraId="3156B75F" w14:textId="77777777" w:rsidR="000802ED" w:rsidRDefault="000802ED" w:rsidP="000802ED">
      <w:pPr>
        <w:spacing w:line="480" w:lineRule="auto"/>
        <w:ind w:firstLine="240"/>
        <w:jc w:val="left"/>
        <w:rPr>
          <w:lang w:val="en-CA"/>
        </w:rPr>
      </w:pPr>
      <w:r>
        <w:rPr>
          <w:lang w:val="en-CA"/>
        </w:rPr>
        <w:t>We note that thin film effects can play a significant role in the absorption spectra, which are not visually highlighted in the Fig 4i-l contour plots (in the main text) but are accounted for in the scattering matrix method calculations. This is the most apparent when contrasting the “absorption triangles” of samples S3 and S4. We might expect similar absorption spectra with S3 having higher absorption coefficient values but S4 having more absorption distance (note that the distance axis is re-scaled for different samples), but the actual absorption spectra of S3 has significantly higher peak absorption intensity (at ~80%) compared to S4’s (at ~60%). This is because S3 and S4 exhibit interference maxima and minima, respectively.</w:t>
      </w:r>
    </w:p>
    <w:p w14:paraId="66C58283" w14:textId="77777777" w:rsidR="000802ED" w:rsidRDefault="000802ED" w:rsidP="000802ED">
      <w:pPr>
        <w:spacing w:line="480" w:lineRule="auto"/>
        <w:ind w:firstLine="240"/>
        <w:jc w:val="left"/>
        <w:rPr>
          <w:lang w:val="en-CA"/>
        </w:rPr>
      </w:pPr>
      <w:r>
        <w:rPr>
          <w:lang w:val="en-CA"/>
        </w:rPr>
        <w:t xml:space="preserve">An important caveat in Fig. 4 (of the main text) is that the slope of the first </w:t>
      </w:r>
      <w:proofErr w:type="spellStart"/>
      <w:r w:rsidRPr="00C00C9E">
        <w:rPr>
          <w:i/>
          <w:lang w:val="en-CA"/>
        </w:rPr>
        <w:t>erfc</w:t>
      </w:r>
      <w:proofErr w:type="spellEnd"/>
      <w:r>
        <w:rPr>
          <w:lang w:val="en-CA"/>
        </w:rPr>
        <w:t xml:space="preserve"> function closest to the expected silver surface may appear too steep to accurately represent the ~15 nm of silver roughness of the thick Ag samples (which is the total thickness of the roughness layer, not the root mean square </w:t>
      </w:r>
      <w:proofErr w:type="spellStart"/>
      <w:r>
        <w:rPr>
          <w:lang w:val="en-CA"/>
        </w:rPr>
        <w:t>roughmess</w:t>
      </w:r>
      <w:proofErr w:type="spellEnd"/>
      <w:r>
        <w:rPr>
          <w:lang w:val="en-CA"/>
        </w:rPr>
        <w:t xml:space="preserve">. See the Roughness Estimation section of Supplementary Information for details). This is because the BG modelled first </w:t>
      </w:r>
      <w:proofErr w:type="spellStart"/>
      <w:r w:rsidRPr="007A7D2C">
        <w:rPr>
          <w:i/>
          <w:lang w:val="en-CA"/>
        </w:rPr>
        <w:t>erfc</w:t>
      </w:r>
      <w:proofErr w:type="spellEnd"/>
      <w:r>
        <w:rPr>
          <w:lang w:val="en-CA"/>
        </w:rPr>
        <w:t xml:space="preserve"> function region cannot excite LSPR, and thus has very limited contributions to the absorption spectra. This means that this region is too optically </w:t>
      </w:r>
      <w:proofErr w:type="gramStart"/>
      <w:r>
        <w:rPr>
          <w:lang w:val="en-CA"/>
        </w:rPr>
        <w:t>similar to</w:t>
      </w:r>
      <w:proofErr w:type="gramEnd"/>
      <w:r>
        <w:rPr>
          <w:lang w:val="en-CA"/>
        </w:rPr>
        <w:t xml:space="preserve"> the underlying bulk silver for the regression algorithm to distinguish, </w:t>
      </w:r>
      <w:r>
        <w:rPr>
          <w:rFonts w:hint="eastAsia"/>
          <w:lang w:val="en-CA" w:eastAsia="zh-CN"/>
        </w:rPr>
        <w:t>which</w:t>
      </w:r>
      <w:r>
        <w:rPr>
          <w:lang w:val="en-CA"/>
        </w:rPr>
        <w:t xml:space="preserve"> is reflected in the fit statistics as the high uncertainty in this slope parameter (see Table S6).</w:t>
      </w:r>
    </w:p>
    <w:p w14:paraId="422CD4F9" w14:textId="77777777" w:rsidR="000802ED" w:rsidRPr="00F55A3B" w:rsidRDefault="000802ED" w:rsidP="000802ED">
      <w:pPr>
        <w:jc w:val="left"/>
        <w:rPr>
          <w:lang w:val="en-CA" w:eastAsia="zh-CN"/>
        </w:rPr>
      </w:pPr>
      <w:r>
        <w:rPr>
          <w:b/>
          <w:lang w:val="en-CA"/>
        </w:rPr>
        <w:t xml:space="preserve">Table S6. </w:t>
      </w:r>
      <w:r>
        <w:rPr>
          <w:lang w:val="en-CA"/>
        </w:rPr>
        <w:t xml:space="preserve">Best fit results of Samples S3-6 corresponding to Fig. 4 of main text. </w:t>
      </w:r>
    </w:p>
    <w:tbl>
      <w:tblPr>
        <w:tblStyle w:val="GridTable1Light-Accent11"/>
        <w:tblW w:w="8928" w:type="dxa"/>
        <w:tblLayout w:type="fixed"/>
        <w:tblLook w:val="04A0" w:firstRow="1" w:lastRow="0" w:firstColumn="1" w:lastColumn="0" w:noHBand="0" w:noVBand="1"/>
      </w:tblPr>
      <w:tblGrid>
        <w:gridCol w:w="1402"/>
        <w:gridCol w:w="1156"/>
        <w:gridCol w:w="1156"/>
        <w:gridCol w:w="1276"/>
        <w:gridCol w:w="1156"/>
        <w:gridCol w:w="1432"/>
        <w:gridCol w:w="1350"/>
      </w:tblGrid>
      <w:tr w:rsidR="000802ED" w:rsidRPr="00647E49" w14:paraId="3B41977E" w14:textId="77777777" w:rsidTr="00637B69">
        <w:trPr>
          <w:cnfStyle w:val="100000000000" w:firstRow="1" w:lastRow="0" w:firstColumn="0" w:lastColumn="0" w:oddVBand="0" w:evenVBand="0" w:oddHBand="0"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02" w:type="dxa"/>
            <w:hideMark/>
          </w:tcPr>
          <w:p w14:paraId="4CF33830" w14:textId="77777777" w:rsidR="000802ED" w:rsidRPr="00647E49" w:rsidRDefault="000802ED" w:rsidP="00637B69">
            <w:pPr>
              <w:spacing w:after="0"/>
              <w:jc w:val="left"/>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Fit Parameters</w:t>
            </w:r>
          </w:p>
        </w:tc>
        <w:tc>
          <w:tcPr>
            <w:tcW w:w="1156" w:type="dxa"/>
            <w:hideMark/>
          </w:tcPr>
          <w:p w14:paraId="29BF5A36" w14:textId="77777777" w:rsidR="000802ED" w:rsidRPr="00A40E50" w:rsidRDefault="000802ED" w:rsidP="00637B69">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A</w:t>
            </w:r>
            <w:r w:rsidRPr="00647E49">
              <w:rPr>
                <w:rFonts w:ascii="Times New Roman" w:eastAsia="Times New Roman" w:hAnsi="Times New Roman"/>
                <w:color w:val="000000"/>
                <w:szCs w:val="24"/>
                <w:vertAlign w:val="subscript"/>
                <w:lang w:val="en-CA" w:eastAsia="zh-CN"/>
              </w:rPr>
              <w:t>1</w:t>
            </w:r>
            <w:r>
              <w:rPr>
                <w:rFonts w:ascii="Times New Roman" w:eastAsia="Times New Roman" w:hAnsi="Times New Roman"/>
                <w:color w:val="000000"/>
                <w:szCs w:val="24"/>
                <w:lang w:val="en-CA" w:eastAsia="zh-CN"/>
              </w:rPr>
              <w:t>, with (initial guess)</w:t>
            </w:r>
          </w:p>
        </w:tc>
        <w:tc>
          <w:tcPr>
            <w:tcW w:w="1156" w:type="dxa"/>
            <w:hideMark/>
          </w:tcPr>
          <w:p w14:paraId="2CF49C1D" w14:textId="77777777" w:rsidR="000802ED" w:rsidRPr="00647E49" w:rsidRDefault="000802ED" w:rsidP="00637B69">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S</w:t>
            </w:r>
            <w:r w:rsidRPr="00647E49">
              <w:rPr>
                <w:rFonts w:ascii="Times New Roman" w:eastAsia="Times New Roman" w:hAnsi="Times New Roman"/>
                <w:color w:val="000000"/>
                <w:szCs w:val="24"/>
                <w:vertAlign w:val="subscript"/>
                <w:lang w:val="en-CA" w:eastAsia="zh-CN"/>
              </w:rPr>
              <w:t>1</w:t>
            </w:r>
            <w:r>
              <w:rPr>
                <w:rFonts w:ascii="Times New Roman" w:eastAsia="Times New Roman" w:hAnsi="Times New Roman"/>
                <w:color w:val="000000"/>
                <w:szCs w:val="24"/>
                <w:lang w:val="en-CA" w:eastAsia="zh-CN"/>
              </w:rPr>
              <w:t>, with (initial guess)</w:t>
            </w:r>
          </w:p>
        </w:tc>
        <w:tc>
          <w:tcPr>
            <w:tcW w:w="1276" w:type="dxa"/>
            <w:hideMark/>
          </w:tcPr>
          <w:p w14:paraId="3F15DDDA" w14:textId="77777777" w:rsidR="000802ED" w:rsidRPr="00647E49" w:rsidRDefault="000802ED" w:rsidP="00637B69">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C</w:t>
            </w:r>
            <w:r w:rsidRPr="00647E49">
              <w:rPr>
                <w:rFonts w:ascii="Times New Roman" w:eastAsia="Times New Roman" w:hAnsi="Times New Roman"/>
                <w:color w:val="000000"/>
                <w:szCs w:val="24"/>
                <w:vertAlign w:val="subscript"/>
                <w:lang w:val="en-CA" w:eastAsia="zh-CN"/>
              </w:rPr>
              <w:t>1</w:t>
            </w:r>
            <w:r>
              <w:rPr>
                <w:rFonts w:ascii="Times New Roman" w:eastAsia="Times New Roman" w:hAnsi="Times New Roman"/>
                <w:color w:val="000000"/>
                <w:szCs w:val="24"/>
                <w:lang w:val="en-CA" w:eastAsia="zh-CN"/>
              </w:rPr>
              <w:t>, with (initial guess)</w:t>
            </w:r>
          </w:p>
        </w:tc>
        <w:tc>
          <w:tcPr>
            <w:tcW w:w="1156" w:type="dxa"/>
            <w:hideMark/>
          </w:tcPr>
          <w:p w14:paraId="44ECBB74" w14:textId="77777777" w:rsidR="000802ED" w:rsidRPr="00647E49" w:rsidRDefault="000802ED" w:rsidP="00637B69">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S</w:t>
            </w:r>
            <w:r w:rsidRPr="00647E49">
              <w:rPr>
                <w:rFonts w:ascii="Times New Roman" w:eastAsia="Times New Roman" w:hAnsi="Times New Roman"/>
                <w:color w:val="000000"/>
                <w:szCs w:val="24"/>
                <w:vertAlign w:val="subscript"/>
                <w:lang w:val="en-CA" w:eastAsia="zh-CN"/>
              </w:rPr>
              <w:t>2</w:t>
            </w:r>
            <w:r>
              <w:rPr>
                <w:rFonts w:ascii="Times New Roman" w:eastAsia="Times New Roman" w:hAnsi="Times New Roman"/>
                <w:color w:val="000000"/>
                <w:szCs w:val="24"/>
                <w:lang w:val="en-CA" w:eastAsia="zh-CN"/>
              </w:rPr>
              <w:t>, with (initial guess)</w:t>
            </w:r>
          </w:p>
        </w:tc>
        <w:tc>
          <w:tcPr>
            <w:tcW w:w="1432" w:type="dxa"/>
            <w:hideMark/>
          </w:tcPr>
          <w:p w14:paraId="48E02104" w14:textId="77777777" w:rsidR="000802ED" w:rsidRPr="00647E49" w:rsidRDefault="000802ED" w:rsidP="00637B69">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C</w:t>
            </w:r>
            <w:r w:rsidRPr="00647E49">
              <w:rPr>
                <w:rFonts w:ascii="Times New Roman" w:eastAsia="Times New Roman" w:hAnsi="Times New Roman"/>
                <w:color w:val="000000"/>
                <w:szCs w:val="24"/>
                <w:vertAlign w:val="subscript"/>
                <w:lang w:val="en-CA" w:eastAsia="zh-CN"/>
              </w:rPr>
              <w:t>2</w:t>
            </w:r>
            <w:r w:rsidRPr="00647E49">
              <w:rPr>
                <w:rFonts w:ascii="Times New Roman" w:eastAsia="Times New Roman" w:hAnsi="Times New Roman"/>
                <w:color w:val="000000"/>
                <w:szCs w:val="24"/>
                <w:lang w:val="en-CA" w:eastAsia="zh-CN"/>
              </w:rPr>
              <w:t xml:space="preserve"> – C</w:t>
            </w:r>
            <w:r w:rsidRPr="00647E49">
              <w:rPr>
                <w:rFonts w:ascii="Times New Roman" w:eastAsia="Times New Roman" w:hAnsi="Times New Roman"/>
                <w:color w:val="000000"/>
                <w:szCs w:val="24"/>
                <w:vertAlign w:val="subscript"/>
                <w:lang w:val="en-CA" w:eastAsia="zh-CN"/>
              </w:rPr>
              <w:t>1</w:t>
            </w:r>
            <w:r>
              <w:rPr>
                <w:rFonts w:ascii="Times New Roman" w:eastAsia="Times New Roman" w:hAnsi="Times New Roman"/>
                <w:color w:val="000000"/>
                <w:szCs w:val="24"/>
                <w:lang w:val="en-CA" w:eastAsia="zh-CN"/>
              </w:rPr>
              <w:t>, with (initial guess)</w:t>
            </w:r>
          </w:p>
        </w:tc>
        <w:tc>
          <w:tcPr>
            <w:tcW w:w="1350" w:type="dxa"/>
            <w:hideMark/>
          </w:tcPr>
          <w:p w14:paraId="595F620E" w14:textId="77777777" w:rsidR="000802ED" w:rsidRPr="00647E49" w:rsidRDefault="000802ED" w:rsidP="00637B69">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L</w:t>
            </w:r>
            <w:r>
              <w:rPr>
                <w:rFonts w:ascii="Times New Roman" w:eastAsia="Times New Roman" w:hAnsi="Times New Roman"/>
                <w:color w:val="000000"/>
                <w:szCs w:val="24"/>
                <w:lang w:val="en-CA" w:eastAsia="zh-CN"/>
              </w:rPr>
              <w:t>, with (initial guess)</w:t>
            </w:r>
          </w:p>
        </w:tc>
      </w:tr>
      <w:tr w:rsidR="000802ED" w:rsidRPr="00647E49" w14:paraId="1DBBEEF9" w14:textId="77777777" w:rsidTr="00637B69">
        <w:trPr>
          <w:trHeight w:val="1140"/>
        </w:trPr>
        <w:tc>
          <w:tcPr>
            <w:cnfStyle w:val="001000000000" w:firstRow="0" w:lastRow="0" w:firstColumn="1" w:lastColumn="0" w:oddVBand="0" w:evenVBand="0" w:oddHBand="0" w:evenHBand="0" w:firstRowFirstColumn="0" w:firstRowLastColumn="0" w:lastRowFirstColumn="0" w:lastRowLastColumn="0"/>
            <w:tcW w:w="1402" w:type="dxa"/>
            <w:hideMark/>
          </w:tcPr>
          <w:p w14:paraId="5E5D7F88" w14:textId="77777777" w:rsidR="000802ED" w:rsidRPr="00647E49" w:rsidRDefault="000802ED" w:rsidP="00637B69">
            <w:pPr>
              <w:spacing w:after="0"/>
              <w:jc w:val="left"/>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 xml:space="preserve">S3 (50 nm </w:t>
            </w:r>
            <w:r>
              <w:rPr>
                <w:rFonts w:ascii="Times New Roman" w:eastAsia="Times New Roman" w:hAnsi="Times New Roman"/>
                <w:color w:val="000000"/>
                <w:szCs w:val="24"/>
                <w:lang w:eastAsia="zh-CN"/>
              </w:rPr>
              <w:t>AlN</w:t>
            </w:r>
            <w:r w:rsidRPr="00647E49">
              <w:rPr>
                <w:rFonts w:ascii="Times New Roman" w:eastAsia="Times New Roman" w:hAnsi="Times New Roman"/>
                <w:color w:val="000000"/>
                <w:szCs w:val="24"/>
                <w:lang w:eastAsia="zh-CN"/>
              </w:rPr>
              <w:t xml:space="preserve"> / thick Ag)</w:t>
            </w:r>
          </w:p>
        </w:tc>
        <w:tc>
          <w:tcPr>
            <w:tcW w:w="1156" w:type="dxa"/>
            <w:hideMark/>
          </w:tcPr>
          <w:p w14:paraId="43F27E8A"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0.13876 +/- 0.01639 (0.12000)</w:t>
            </w:r>
          </w:p>
        </w:tc>
        <w:tc>
          <w:tcPr>
            <w:tcW w:w="1156" w:type="dxa"/>
            <w:hideMark/>
          </w:tcPr>
          <w:p w14:paraId="48ED50D2"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0.21723 +/- 0.07035 (0.33000)</w:t>
            </w:r>
          </w:p>
        </w:tc>
        <w:tc>
          <w:tcPr>
            <w:tcW w:w="1276" w:type="dxa"/>
            <w:hideMark/>
          </w:tcPr>
          <w:p w14:paraId="53425637"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25.87734 +/- 1.08659 (23.60000)</w:t>
            </w:r>
          </w:p>
        </w:tc>
        <w:tc>
          <w:tcPr>
            <w:tcW w:w="1156" w:type="dxa"/>
            <w:hideMark/>
          </w:tcPr>
          <w:p w14:paraId="32F25239"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0.54908 +/- 0.23744 (0.10000)</w:t>
            </w:r>
          </w:p>
        </w:tc>
        <w:tc>
          <w:tcPr>
            <w:tcW w:w="1432" w:type="dxa"/>
            <w:hideMark/>
          </w:tcPr>
          <w:p w14:paraId="1549312C"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9.18657 +/- 0.57226 (12.50000)</w:t>
            </w:r>
          </w:p>
        </w:tc>
        <w:tc>
          <w:tcPr>
            <w:tcW w:w="1350" w:type="dxa"/>
            <w:hideMark/>
          </w:tcPr>
          <w:p w14:paraId="33F01E02"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0.54052 +/- 0.01922 (0.53000)</w:t>
            </w:r>
          </w:p>
        </w:tc>
      </w:tr>
      <w:tr w:rsidR="000802ED" w:rsidRPr="00647E49" w14:paraId="21FB717A" w14:textId="77777777" w:rsidTr="00637B69">
        <w:trPr>
          <w:trHeight w:val="1169"/>
        </w:trPr>
        <w:tc>
          <w:tcPr>
            <w:cnfStyle w:val="001000000000" w:firstRow="0" w:lastRow="0" w:firstColumn="1" w:lastColumn="0" w:oddVBand="0" w:evenVBand="0" w:oddHBand="0" w:evenHBand="0" w:firstRowFirstColumn="0" w:firstRowLastColumn="0" w:lastRowFirstColumn="0" w:lastRowLastColumn="0"/>
            <w:tcW w:w="1402" w:type="dxa"/>
            <w:hideMark/>
          </w:tcPr>
          <w:p w14:paraId="4DCB7B6E" w14:textId="77777777" w:rsidR="000802ED" w:rsidRPr="00647E49" w:rsidRDefault="000802ED" w:rsidP="00637B69">
            <w:pPr>
              <w:spacing w:after="0"/>
              <w:jc w:val="left"/>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 xml:space="preserve">S4 (100 nm </w:t>
            </w:r>
            <w:r>
              <w:rPr>
                <w:rFonts w:ascii="Times New Roman" w:eastAsia="Times New Roman" w:hAnsi="Times New Roman"/>
                <w:color w:val="000000"/>
                <w:szCs w:val="24"/>
                <w:lang w:eastAsia="zh-CN"/>
              </w:rPr>
              <w:t>AlN</w:t>
            </w:r>
            <w:r w:rsidRPr="00647E49">
              <w:rPr>
                <w:rFonts w:ascii="Times New Roman" w:eastAsia="Times New Roman" w:hAnsi="Times New Roman"/>
                <w:color w:val="000000"/>
                <w:szCs w:val="24"/>
                <w:lang w:eastAsia="zh-CN"/>
              </w:rPr>
              <w:t xml:space="preserve"> / thick Ag)</w:t>
            </w:r>
          </w:p>
        </w:tc>
        <w:tc>
          <w:tcPr>
            <w:tcW w:w="1156" w:type="dxa"/>
            <w:hideMark/>
          </w:tcPr>
          <w:p w14:paraId="124B14EA"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0.05807 +/- 0.03958 (0.05000)</w:t>
            </w:r>
          </w:p>
        </w:tc>
        <w:tc>
          <w:tcPr>
            <w:tcW w:w="1156" w:type="dxa"/>
            <w:hideMark/>
          </w:tcPr>
          <w:p w14:paraId="656E0256"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0.26445 +/- 0.00001 (0.15000)</w:t>
            </w:r>
          </w:p>
        </w:tc>
        <w:tc>
          <w:tcPr>
            <w:tcW w:w="1276" w:type="dxa"/>
            <w:hideMark/>
          </w:tcPr>
          <w:p w14:paraId="485C9953"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51.84749 +/- 2.83977 (40.00000)</w:t>
            </w:r>
          </w:p>
        </w:tc>
        <w:tc>
          <w:tcPr>
            <w:tcW w:w="1156" w:type="dxa"/>
            <w:hideMark/>
          </w:tcPr>
          <w:p w14:paraId="2372D733"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0.49478 +/- 0.55569 (0.80000)</w:t>
            </w:r>
          </w:p>
        </w:tc>
        <w:tc>
          <w:tcPr>
            <w:tcW w:w="1432" w:type="dxa"/>
            <w:hideMark/>
          </w:tcPr>
          <w:p w14:paraId="07B69566"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7.43827 +/- 3.06790 (14.00000)</w:t>
            </w:r>
          </w:p>
        </w:tc>
        <w:tc>
          <w:tcPr>
            <w:tcW w:w="1350" w:type="dxa"/>
            <w:hideMark/>
          </w:tcPr>
          <w:p w14:paraId="028E23AE"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val="en-CA" w:eastAsia="zh-CN"/>
              </w:rPr>
              <w:t>0.41670 +/- 0.01196 (0.35000)</w:t>
            </w:r>
          </w:p>
        </w:tc>
      </w:tr>
      <w:tr w:rsidR="000802ED" w:rsidRPr="00647E49" w14:paraId="18304E6F" w14:textId="77777777" w:rsidTr="00637B69">
        <w:trPr>
          <w:trHeight w:val="1151"/>
        </w:trPr>
        <w:tc>
          <w:tcPr>
            <w:cnfStyle w:val="001000000000" w:firstRow="0" w:lastRow="0" w:firstColumn="1" w:lastColumn="0" w:oddVBand="0" w:evenVBand="0" w:oddHBand="0" w:evenHBand="0" w:firstRowFirstColumn="0" w:firstRowLastColumn="0" w:lastRowFirstColumn="0" w:lastRowLastColumn="0"/>
            <w:tcW w:w="1402" w:type="dxa"/>
            <w:hideMark/>
          </w:tcPr>
          <w:p w14:paraId="463D0FB1" w14:textId="77777777" w:rsidR="000802ED" w:rsidRPr="00647E49" w:rsidRDefault="000802ED" w:rsidP="00637B69">
            <w:pPr>
              <w:spacing w:after="0"/>
              <w:jc w:val="left"/>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 xml:space="preserve">S5 (200 nm </w:t>
            </w:r>
            <w:r>
              <w:rPr>
                <w:rFonts w:ascii="Times New Roman" w:eastAsia="Times New Roman" w:hAnsi="Times New Roman"/>
                <w:color w:val="000000"/>
                <w:szCs w:val="24"/>
                <w:lang w:eastAsia="zh-CN"/>
              </w:rPr>
              <w:t>AlN</w:t>
            </w:r>
            <w:r w:rsidRPr="00647E49">
              <w:rPr>
                <w:rFonts w:ascii="Times New Roman" w:eastAsia="Times New Roman" w:hAnsi="Times New Roman"/>
                <w:color w:val="000000"/>
                <w:szCs w:val="24"/>
                <w:lang w:eastAsia="zh-CN"/>
              </w:rPr>
              <w:t xml:space="preserve"> / thick Ag)</w:t>
            </w:r>
          </w:p>
        </w:tc>
        <w:tc>
          <w:tcPr>
            <w:tcW w:w="1156" w:type="dxa"/>
            <w:hideMark/>
          </w:tcPr>
          <w:p w14:paraId="2F8FD6E3"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0.00836 +/- 0.00000 (0.00018)</w:t>
            </w:r>
          </w:p>
        </w:tc>
        <w:tc>
          <w:tcPr>
            <w:tcW w:w="1156" w:type="dxa"/>
            <w:hideMark/>
          </w:tcPr>
          <w:p w14:paraId="3C339749"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0.35783 +/- 0.10447 (0.06052)</w:t>
            </w:r>
          </w:p>
        </w:tc>
        <w:tc>
          <w:tcPr>
            <w:tcW w:w="1276" w:type="dxa"/>
            <w:hideMark/>
          </w:tcPr>
          <w:p w14:paraId="223F96AD"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48.36705 +/- 5.49889 (47.76848)</w:t>
            </w:r>
          </w:p>
        </w:tc>
        <w:tc>
          <w:tcPr>
            <w:tcW w:w="1156" w:type="dxa"/>
            <w:hideMark/>
          </w:tcPr>
          <w:p w14:paraId="7C842570"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0.81224 +/- 0.30724 (0.76512)</w:t>
            </w:r>
          </w:p>
        </w:tc>
        <w:tc>
          <w:tcPr>
            <w:tcW w:w="1432" w:type="dxa"/>
            <w:hideMark/>
          </w:tcPr>
          <w:p w14:paraId="749D3B89"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15.39151 +/- 5.27363 (16.88951)</w:t>
            </w:r>
          </w:p>
        </w:tc>
        <w:tc>
          <w:tcPr>
            <w:tcW w:w="1350" w:type="dxa"/>
            <w:hideMark/>
          </w:tcPr>
          <w:p w14:paraId="4F01EEBB"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0.35826 +/- 0.00495 (0.38077)</w:t>
            </w:r>
          </w:p>
        </w:tc>
      </w:tr>
      <w:tr w:rsidR="000802ED" w:rsidRPr="00647E49" w14:paraId="6515CDC2" w14:textId="77777777" w:rsidTr="00637B69">
        <w:trPr>
          <w:trHeight w:val="1259"/>
        </w:trPr>
        <w:tc>
          <w:tcPr>
            <w:cnfStyle w:val="001000000000" w:firstRow="0" w:lastRow="0" w:firstColumn="1" w:lastColumn="0" w:oddVBand="0" w:evenVBand="0" w:oddHBand="0" w:evenHBand="0" w:firstRowFirstColumn="0" w:firstRowLastColumn="0" w:lastRowFirstColumn="0" w:lastRowLastColumn="0"/>
            <w:tcW w:w="1402" w:type="dxa"/>
            <w:hideMark/>
          </w:tcPr>
          <w:p w14:paraId="103DAB47" w14:textId="77777777" w:rsidR="000802ED" w:rsidRPr="00647E49" w:rsidRDefault="000802ED" w:rsidP="00637B69">
            <w:pPr>
              <w:spacing w:after="0"/>
              <w:jc w:val="left"/>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 xml:space="preserve">S6 (20 nm </w:t>
            </w:r>
            <w:r>
              <w:rPr>
                <w:rFonts w:ascii="Times New Roman" w:eastAsia="Times New Roman" w:hAnsi="Times New Roman"/>
                <w:color w:val="000000"/>
                <w:szCs w:val="24"/>
                <w:lang w:eastAsia="zh-CN"/>
              </w:rPr>
              <w:t>AlN</w:t>
            </w:r>
            <w:r w:rsidRPr="00647E49">
              <w:rPr>
                <w:rFonts w:ascii="Times New Roman" w:eastAsia="Times New Roman" w:hAnsi="Times New Roman"/>
                <w:color w:val="000000"/>
                <w:szCs w:val="24"/>
                <w:lang w:eastAsia="zh-CN"/>
              </w:rPr>
              <w:t xml:space="preserve"> / 25 nm Ag / 20 nm </w:t>
            </w:r>
            <w:r>
              <w:rPr>
                <w:rFonts w:ascii="Times New Roman" w:eastAsia="Times New Roman" w:hAnsi="Times New Roman"/>
                <w:color w:val="000000"/>
                <w:szCs w:val="24"/>
                <w:lang w:eastAsia="zh-CN"/>
              </w:rPr>
              <w:t>AlN</w:t>
            </w:r>
            <w:r w:rsidRPr="00647E49">
              <w:rPr>
                <w:rFonts w:ascii="Times New Roman" w:eastAsia="Times New Roman" w:hAnsi="Times New Roman"/>
                <w:color w:val="000000"/>
                <w:szCs w:val="24"/>
                <w:lang w:eastAsia="zh-CN"/>
              </w:rPr>
              <w:t>)</w:t>
            </w:r>
          </w:p>
        </w:tc>
        <w:tc>
          <w:tcPr>
            <w:tcW w:w="1156" w:type="dxa"/>
            <w:hideMark/>
          </w:tcPr>
          <w:p w14:paraId="28E08A0D"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0.0</w:t>
            </w:r>
            <w:r>
              <w:rPr>
                <w:rFonts w:ascii="Times New Roman" w:eastAsia="Times New Roman" w:hAnsi="Times New Roman"/>
                <w:color w:val="000000"/>
                <w:szCs w:val="24"/>
                <w:lang w:eastAsia="zh-CN"/>
              </w:rPr>
              <w:t>8</w:t>
            </w:r>
            <w:r w:rsidRPr="00647E49">
              <w:rPr>
                <w:rFonts w:ascii="Times New Roman" w:eastAsia="Times New Roman" w:hAnsi="Times New Roman"/>
                <w:color w:val="000000"/>
                <w:szCs w:val="24"/>
                <w:lang w:eastAsia="zh-CN"/>
              </w:rPr>
              <w:t>6</w:t>
            </w:r>
            <w:r>
              <w:rPr>
                <w:rFonts w:ascii="Times New Roman" w:eastAsia="Times New Roman" w:hAnsi="Times New Roman"/>
                <w:color w:val="000000"/>
                <w:szCs w:val="24"/>
                <w:lang w:eastAsia="zh-CN"/>
              </w:rPr>
              <w:t>37</w:t>
            </w:r>
            <w:r w:rsidRPr="00647E49">
              <w:rPr>
                <w:rFonts w:ascii="Times New Roman" w:eastAsia="Times New Roman" w:hAnsi="Times New Roman"/>
                <w:color w:val="000000"/>
                <w:szCs w:val="24"/>
                <w:lang w:eastAsia="zh-CN"/>
              </w:rPr>
              <w:t xml:space="preserve"> +/- 0.0</w:t>
            </w:r>
            <w:r>
              <w:rPr>
                <w:rFonts w:ascii="Times New Roman" w:eastAsia="Times New Roman" w:hAnsi="Times New Roman"/>
                <w:color w:val="000000"/>
                <w:szCs w:val="24"/>
                <w:lang w:eastAsia="zh-CN"/>
              </w:rPr>
              <w:t>7447</w:t>
            </w:r>
            <w:r w:rsidRPr="00647E49">
              <w:rPr>
                <w:rFonts w:ascii="Times New Roman" w:eastAsia="Times New Roman" w:hAnsi="Times New Roman"/>
                <w:color w:val="000000"/>
                <w:szCs w:val="24"/>
                <w:lang w:eastAsia="zh-CN"/>
              </w:rPr>
              <w:t xml:space="preserve"> (0.</w:t>
            </w:r>
            <w:r>
              <w:rPr>
                <w:rFonts w:ascii="Times New Roman" w:eastAsia="Times New Roman" w:hAnsi="Times New Roman"/>
                <w:color w:val="000000"/>
                <w:szCs w:val="24"/>
                <w:lang w:eastAsia="zh-CN"/>
              </w:rPr>
              <w:t>15000</w:t>
            </w:r>
            <w:r w:rsidRPr="00647E49">
              <w:rPr>
                <w:rFonts w:ascii="Times New Roman" w:eastAsia="Times New Roman" w:hAnsi="Times New Roman"/>
                <w:color w:val="000000"/>
                <w:szCs w:val="24"/>
                <w:lang w:eastAsia="zh-CN"/>
              </w:rPr>
              <w:t>)</w:t>
            </w:r>
          </w:p>
        </w:tc>
        <w:tc>
          <w:tcPr>
            <w:tcW w:w="1156" w:type="dxa"/>
            <w:hideMark/>
          </w:tcPr>
          <w:p w14:paraId="491CE499"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w:t>
            </w:r>
            <w:r>
              <w:rPr>
                <w:rFonts w:ascii="Times New Roman" w:eastAsia="Times New Roman" w:hAnsi="Times New Roman"/>
                <w:color w:val="000000"/>
                <w:szCs w:val="24"/>
                <w:lang w:eastAsia="zh-CN"/>
              </w:rPr>
              <w:t>17317</w:t>
            </w:r>
            <w:r w:rsidRPr="00647E49">
              <w:rPr>
                <w:rFonts w:ascii="Times New Roman" w:eastAsia="Times New Roman" w:hAnsi="Times New Roman"/>
                <w:color w:val="000000"/>
                <w:szCs w:val="24"/>
                <w:lang w:eastAsia="zh-CN"/>
              </w:rPr>
              <w:t xml:space="preserve"> +/- 0.</w:t>
            </w:r>
            <w:r>
              <w:rPr>
                <w:rFonts w:ascii="Times New Roman" w:eastAsia="Times New Roman" w:hAnsi="Times New Roman"/>
                <w:color w:val="000000"/>
                <w:szCs w:val="24"/>
                <w:lang w:eastAsia="zh-CN"/>
              </w:rPr>
              <w:t>07703</w:t>
            </w:r>
            <w:r w:rsidRPr="00647E49">
              <w:rPr>
                <w:rFonts w:ascii="Times New Roman" w:eastAsia="Times New Roman" w:hAnsi="Times New Roman"/>
                <w:color w:val="000000"/>
                <w:szCs w:val="24"/>
                <w:lang w:eastAsia="zh-CN"/>
              </w:rPr>
              <w:t xml:space="preserve"> (0.</w:t>
            </w:r>
            <w:r>
              <w:rPr>
                <w:rFonts w:ascii="Times New Roman" w:eastAsia="Times New Roman" w:hAnsi="Times New Roman"/>
                <w:color w:val="000000"/>
                <w:szCs w:val="24"/>
                <w:lang w:eastAsia="zh-CN"/>
              </w:rPr>
              <w:t>16000</w:t>
            </w:r>
            <w:r w:rsidRPr="00647E49">
              <w:rPr>
                <w:rFonts w:ascii="Times New Roman" w:eastAsia="Times New Roman" w:hAnsi="Times New Roman"/>
                <w:color w:val="000000"/>
                <w:szCs w:val="24"/>
                <w:lang w:eastAsia="zh-CN"/>
              </w:rPr>
              <w:t>)</w:t>
            </w:r>
          </w:p>
        </w:tc>
        <w:tc>
          <w:tcPr>
            <w:tcW w:w="1276" w:type="dxa"/>
            <w:hideMark/>
          </w:tcPr>
          <w:p w14:paraId="747A8D2F"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Pr>
                <w:rFonts w:ascii="Times New Roman" w:eastAsia="Times New Roman" w:hAnsi="Times New Roman"/>
                <w:color w:val="000000"/>
                <w:szCs w:val="24"/>
                <w:lang w:eastAsia="zh-CN"/>
              </w:rPr>
              <w:t>51.27958</w:t>
            </w:r>
            <w:r w:rsidRPr="00647E49">
              <w:rPr>
                <w:rFonts w:ascii="Times New Roman" w:eastAsia="Times New Roman" w:hAnsi="Times New Roman"/>
                <w:color w:val="000000"/>
                <w:szCs w:val="24"/>
                <w:lang w:eastAsia="zh-CN"/>
              </w:rPr>
              <w:t xml:space="preserve"> +/- </w:t>
            </w:r>
            <w:r>
              <w:rPr>
                <w:rFonts w:ascii="Times New Roman" w:eastAsia="Times New Roman" w:hAnsi="Times New Roman"/>
                <w:color w:val="000000"/>
                <w:szCs w:val="24"/>
                <w:lang w:eastAsia="zh-CN"/>
              </w:rPr>
              <w:t>9.67943 (70</w:t>
            </w:r>
            <w:r w:rsidRPr="00647E49">
              <w:rPr>
                <w:rFonts w:ascii="Times New Roman" w:eastAsia="Times New Roman" w:hAnsi="Times New Roman"/>
                <w:color w:val="000000"/>
                <w:szCs w:val="24"/>
                <w:lang w:eastAsia="zh-CN"/>
              </w:rPr>
              <w:t>.</w:t>
            </w:r>
            <w:r>
              <w:rPr>
                <w:rFonts w:ascii="Times New Roman" w:eastAsia="Times New Roman" w:hAnsi="Times New Roman"/>
                <w:color w:val="000000"/>
                <w:szCs w:val="24"/>
                <w:lang w:eastAsia="zh-CN"/>
              </w:rPr>
              <w:t>00000</w:t>
            </w:r>
            <w:r w:rsidRPr="00647E49">
              <w:rPr>
                <w:rFonts w:ascii="Times New Roman" w:eastAsia="Times New Roman" w:hAnsi="Times New Roman"/>
                <w:color w:val="000000"/>
                <w:szCs w:val="24"/>
                <w:lang w:eastAsia="zh-CN"/>
              </w:rPr>
              <w:t>)</w:t>
            </w:r>
          </w:p>
        </w:tc>
        <w:tc>
          <w:tcPr>
            <w:tcW w:w="1156" w:type="dxa"/>
            <w:hideMark/>
          </w:tcPr>
          <w:p w14:paraId="1C87287B"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Pr>
                <w:rFonts w:ascii="Times New Roman" w:eastAsia="Times New Roman" w:hAnsi="Times New Roman"/>
                <w:color w:val="000000"/>
                <w:szCs w:val="24"/>
                <w:lang w:eastAsia="zh-CN"/>
              </w:rPr>
              <w:t>1.54391</w:t>
            </w:r>
            <w:r w:rsidRPr="00647E49">
              <w:rPr>
                <w:rFonts w:ascii="Times New Roman" w:eastAsia="Times New Roman" w:hAnsi="Times New Roman"/>
                <w:color w:val="000000"/>
                <w:szCs w:val="24"/>
                <w:lang w:eastAsia="zh-CN"/>
              </w:rPr>
              <w:t xml:space="preserve"> +/- </w:t>
            </w:r>
            <w:r>
              <w:rPr>
                <w:rFonts w:ascii="Times New Roman" w:eastAsia="Times New Roman" w:hAnsi="Times New Roman"/>
                <w:color w:val="000000"/>
                <w:szCs w:val="24"/>
                <w:lang w:eastAsia="zh-CN"/>
              </w:rPr>
              <w:t>19.51977 (0.60000</w:t>
            </w:r>
            <w:r w:rsidRPr="00647E49">
              <w:rPr>
                <w:rFonts w:ascii="Times New Roman" w:eastAsia="Times New Roman" w:hAnsi="Times New Roman"/>
                <w:color w:val="000000"/>
                <w:szCs w:val="24"/>
                <w:lang w:eastAsia="zh-CN"/>
              </w:rPr>
              <w:t>)</w:t>
            </w:r>
          </w:p>
        </w:tc>
        <w:tc>
          <w:tcPr>
            <w:tcW w:w="1432" w:type="dxa"/>
            <w:hideMark/>
          </w:tcPr>
          <w:p w14:paraId="0828B973"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Pr>
                <w:rFonts w:ascii="Times New Roman" w:eastAsia="Times New Roman" w:hAnsi="Times New Roman"/>
                <w:color w:val="000000"/>
                <w:szCs w:val="24"/>
                <w:lang w:eastAsia="zh-CN"/>
              </w:rPr>
              <w:t>7.11913</w:t>
            </w:r>
            <w:r w:rsidRPr="00647E49">
              <w:rPr>
                <w:rFonts w:ascii="Times New Roman" w:eastAsia="Times New Roman" w:hAnsi="Times New Roman"/>
                <w:color w:val="000000"/>
                <w:szCs w:val="24"/>
                <w:lang w:eastAsia="zh-CN"/>
              </w:rPr>
              <w:t xml:space="preserve"> +/- </w:t>
            </w:r>
            <w:r>
              <w:rPr>
                <w:rFonts w:ascii="Times New Roman" w:eastAsia="Times New Roman" w:hAnsi="Times New Roman"/>
                <w:color w:val="000000"/>
                <w:szCs w:val="24"/>
                <w:lang w:eastAsia="zh-CN"/>
              </w:rPr>
              <w:t>12.46078</w:t>
            </w:r>
            <w:r w:rsidRPr="00647E49">
              <w:rPr>
                <w:rFonts w:ascii="Times New Roman" w:eastAsia="Times New Roman" w:hAnsi="Times New Roman"/>
                <w:color w:val="000000"/>
                <w:szCs w:val="24"/>
                <w:lang w:eastAsia="zh-CN"/>
              </w:rPr>
              <w:t xml:space="preserve"> (</w:t>
            </w:r>
            <w:r>
              <w:rPr>
                <w:rFonts w:ascii="Times New Roman" w:eastAsia="Times New Roman" w:hAnsi="Times New Roman"/>
                <w:color w:val="000000"/>
                <w:szCs w:val="24"/>
                <w:lang w:eastAsia="zh-CN"/>
              </w:rPr>
              <w:t>5.00000</w:t>
            </w:r>
            <w:r w:rsidRPr="00647E49">
              <w:rPr>
                <w:rFonts w:ascii="Times New Roman" w:eastAsia="Times New Roman" w:hAnsi="Times New Roman"/>
                <w:color w:val="000000"/>
                <w:szCs w:val="24"/>
                <w:lang w:eastAsia="zh-CN"/>
              </w:rPr>
              <w:t>)</w:t>
            </w:r>
          </w:p>
        </w:tc>
        <w:tc>
          <w:tcPr>
            <w:tcW w:w="1350" w:type="dxa"/>
            <w:hideMark/>
          </w:tcPr>
          <w:p w14:paraId="1D5F1E30" w14:textId="77777777" w:rsidR="000802ED" w:rsidRPr="00647E49" w:rsidRDefault="000802ED" w:rsidP="00637B69">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lang w:eastAsia="zh-CN"/>
              </w:rPr>
            </w:pPr>
            <w:r w:rsidRPr="00647E49">
              <w:rPr>
                <w:rFonts w:ascii="Times New Roman" w:eastAsia="Times New Roman" w:hAnsi="Times New Roman"/>
                <w:color w:val="000000"/>
                <w:szCs w:val="24"/>
                <w:lang w:eastAsia="zh-CN"/>
              </w:rPr>
              <w:t>0.</w:t>
            </w:r>
            <w:r>
              <w:rPr>
                <w:rFonts w:ascii="Times New Roman" w:eastAsia="Times New Roman" w:hAnsi="Times New Roman"/>
                <w:color w:val="000000"/>
                <w:szCs w:val="24"/>
                <w:lang w:eastAsia="zh-CN"/>
              </w:rPr>
              <w:t>54375</w:t>
            </w:r>
            <w:r w:rsidRPr="00647E49">
              <w:rPr>
                <w:rFonts w:ascii="Times New Roman" w:eastAsia="Times New Roman" w:hAnsi="Times New Roman"/>
                <w:color w:val="000000"/>
                <w:szCs w:val="24"/>
                <w:lang w:eastAsia="zh-CN"/>
              </w:rPr>
              <w:t xml:space="preserve"> +/- 0.0</w:t>
            </w:r>
            <w:r>
              <w:rPr>
                <w:rFonts w:ascii="Times New Roman" w:eastAsia="Times New Roman" w:hAnsi="Times New Roman"/>
                <w:color w:val="000000"/>
                <w:szCs w:val="24"/>
                <w:lang w:eastAsia="zh-CN"/>
              </w:rPr>
              <w:t>5104</w:t>
            </w:r>
            <w:r w:rsidRPr="00647E49">
              <w:rPr>
                <w:rFonts w:ascii="Times New Roman" w:eastAsia="Times New Roman" w:hAnsi="Times New Roman"/>
                <w:color w:val="000000"/>
                <w:szCs w:val="24"/>
                <w:lang w:eastAsia="zh-CN"/>
              </w:rPr>
              <w:t xml:space="preserve"> (0.</w:t>
            </w:r>
            <w:r>
              <w:rPr>
                <w:rFonts w:ascii="Times New Roman" w:eastAsia="Times New Roman" w:hAnsi="Times New Roman"/>
                <w:color w:val="000000"/>
                <w:szCs w:val="24"/>
                <w:lang w:eastAsia="zh-CN"/>
              </w:rPr>
              <w:t>60000</w:t>
            </w:r>
            <w:r w:rsidRPr="00647E49">
              <w:rPr>
                <w:rFonts w:ascii="Times New Roman" w:eastAsia="Times New Roman" w:hAnsi="Times New Roman"/>
                <w:color w:val="000000"/>
                <w:szCs w:val="24"/>
                <w:lang w:eastAsia="zh-CN"/>
              </w:rPr>
              <w:t>)</w:t>
            </w:r>
          </w:p>
        </w:tc>
      </w:tr>
    </w:tbl>
    <w:p w14:paraId="10837FC5" w14:textId="77777777" w:rsidR="000802ED" w:rsidRDefault="000802ED" w:rsidP="000802ED">
      <w:pPr>
        <w:spacing w:line="480" w:lineRule="auto"/>
        <w:jc w:val="left"/>
        <w:rPr>
          <w:b/>
        </w:rPr>
      </w:pPr>
    </w:p>
    <w:p w14:paraId="1FC95873" w14:textId="656D7A62" w:rsidR="000802ED" w:rsidRPr="002E7697" w:rsidRDefault="000802ED" w:rsidP="000802ED">
      <w:pPr>
        <w:pStyle w:val="TAMainText"/>
        <w:jc w:val="left"/>
        <w:rPr>
          <w:b/>
          <w:lang w:val="en-CA"/>
        </w:rPr>
      </w:pPr>
      <w:r>
        <w:rPr>
          <w:lang w:val="en-CA"/>
        </w:rPr>
        <w:t xml:space="preserve">The model of two </w:t>
      </w:r>
      <w:proofErr w:type="spellStart"/>
      <w:r w:rsidRPr="00EB3FDE">
        <w:rPr>
          <w:i/>
          <w:lang w:val="en-CA"/>
        </w:rPr>
        <w:t>erfc</w:t>
      </w:r>
      <w:proofErr w:type="spellEnd"/>
      <w:r>
        <w:rPr>
          <w:lang w:val="en-CA"/>
        </w:rPr>
        <w:t xml:space="preserve"> functions with MG and BG EMT succinctly captures the absorption features in our samples and is physically realistic. However, owing to the assumptions inherent to these two EMTs</w:t>
      </w:r>
      <w:r>
        <w:rPr>
          <w:lang w:val="en-CA"/>
        </w:rPr>
        <w:fldChar w:fldCharType="begin" w:fldLock="1"/>
      </w:r>
      <w:r w:rsidR="009171A1">
        <w:rPr>
          <w:lang w:val="en-CA"/>
        </w:rPr>
        <w:instrText>ADDIN CSL_CITATION {"citationItems":[{"id":"ITEM-1","itemData":{"DOI":"10.1364/AO.20.000026","ISBN":"0003-6935 (Print) 0003-6935 (Linking)","ISSN":"0003-6935","PMID":"20309062","abstract":"The Maxwell Garnett and Bruggeman effective medium theories are derived for the average dielectric permeability of heterogeneous materials from a unified theoretical approach. It starts by specifying two random unit cells which represent different microstructures. Requiring that these cells should not be detectable by electromagnetic radiation when embedded in an effective medium, we show from an extended optical theorem that the forward scattering amplitude must vanish. Setting the leading term in the expansion series of this quantity equal to zero yields the effective medium theories pertaining to the two microstructures. The remaining terms provide estimates of the accuracy of the approximations. This approach is then used in numerical computations for Co-AI(2)O(3) cermets.","author":[{"dropping-particle":"","family":"Niklasson","given":"G. A.","non-dropping-particle":"","parse-names":false,"suffix":""},{"dropping-particle":"","family":"Granqvist","given":"C. G.","non-dropping-particle":"","parse-names":false,"suffix":""},{"dropping-particle":"","family":"Hunderi","given":"O.","non-dropping-particle":"","parse-names":false,"suffix":""}],"container-title":"Applied Optics","id":"ITEM-1","issue":"1","issued":{"date-parts":[["1981"]]},"page":"26","title":"Effective medium models for the optical properties of inhomogeneous materials","type":"article-journal","volume":"20"},"uris":["http://www.mendeley.com/documents/?uuid=de339202-f23f-4327-acc8-c58f4ec006c1"]}],"mendeley":{"formattedCitation":"&lt;sup&gt;[7]&lt;/sup&gt;","plainTextFormattedCitation":"[7]","previouslyFormattedCitation":"&lt;sup&gt;[7]&lt;/sup&gt;"},"properties":{"noteIndex":0},"schema":"https://github.com/citation-style-language/schema/raw/master/csl-citation.json"}</w:instrText>
      </w:r>
      <w:r>
        <w:rPr>
          <w:lang w:val="en-CA"/>
        </w:rPr>
        <w:fldChar w:fldCharType="separate"/>
      </w:r>
      <w:r w:rsidR="009171A1" w:rsidRPr="009171A1">
        <w:rPr>
          <w:noProof/>
          <w:vertAlign w:val="superscript"/>
          <w:lang w:val="en-CA"/>
        </w:rPr>
        <w:t>[7]</w:t>
      </w:r>
      <w:r>
        <w:rPr>
          <w:lang w:val="en-CA"/>
        </w:rPr>
        <w:fldChar w:fldCharType="end"/>
      </w:r>
      <w:r>
        <w:rPr>
          <w:lang w:val="en-CA"/>
        </w:rPr>
        <w:t>, it may omit some second order effects such as additional enhanced coupling that results from adjacent nanoparticles as well as between the nanoparticles and the roughness features of the metal surface. The lack of a fair treatment of the latter is a well-known problem</w:t>
      </w:r>
      <w:r>
        <w:rPr>
          <w:lang w:val="en-CA"/>
        </w:rPr>
        <w:fldChar w:fldCharType="begin" w:fldLock="1"/>
      </w:r>
      <w:r w:rsidR="009171A1">
        <w:rPr>
          <w:lang w:val="en-CA"/>
        </w:rPr>
        <w:instrText xml:space="preserve">ADDIN CSL_CITATION {"citationItems":[{"id":"ITEM-1","itemData":{"DOI":"10.1016/0040-6090(85)90296-2","ISSN":"00406090","abstract":"The amplitudes t and r of the Fresnel transmission and reflection for a film with a rough upper surface are considered. It is assumed in the calculations that the correlation distance ζ of surface irregularities is much less than the wavelength of the impinging light (ζ </w:instrText>
      </w:r>
      <w:r w:rsidR="009171A1">
        <w:rPr>
          <w:rFonts w:ascii="Cambria Math" w:hAnsi="Cambria Math" w:cs="Cambria Math"/>
          <w:lang w:val="en-CA"/>
        </w:rPr>
        <w:instrText>≪</w:instrText>
      </w:r>
      <w:r w:rsidR="009171A1">
        <w:rPr>
          <w:lang w:val="en-CA"/>
        </w:rPr>
        <w:instrText xml:space="preserve"> </w:instrText>
      </w:r>
      <w:r w:rsidR="009171A1">
        <w:rPr>
          <w:rFonts w:cs="Times"/>
          <w:lang w:val="en-CA"/>
        </w:rPr>
        <w:instrText>λ</w:instrText>
      </w:r>
      <w:r w:rsidR="009171A1">
        <w:rPr>
          <w:lang w:val="en-CA"/>
        </w:rPr>
        <w:instrText>). General relations for t and r are found. Convenient relations for the transmission and reflection coefficients are obtained by using some simplifying assumptions. © 1985.","author":[{"dropping-particle":"","family":"Szcyrbrowski","given":"J.","non-dropping-particle":"","parse-names":false,"suffix":""},{"dropping-particle":"","family":"Schmalzbauer","given":"K.","non-dropping-particle":"","parse-names":false,"suffix":""},{"dropping-particle":"","family":"Hoffmann","given":"H.","non-dropping-particle":"","parse-names":false,"suffix":""}],"container-title":"Thin Solid Films","id":"ITEM-1","issue":"1-2","issued":{"date-parts":[["1985"]]},"page":"57-73","title":"Optical properties of rough thin films","type":"article-journal","volume":"130"},"uris":["http://www.mendeley.com/documents/?uuid=481b4161-0d89-425b-91c5-acb8c9fd9f16"]}],"mendeley":{"formattedCitation":"&lt;sup&gt;[8]&lt;/sup&gt;","plainTextFormattedCitation":"[8]","previouslyFormattedCitation":"&lt;sup&gt;[8]&lt;/sup&gt;"},"properties":{"noteIndex":0},"schema":"https://github.com/citation-style-language/schema/raw/master/csl-citation.json"}</w:instrText>
      </w:r>
      <w:r>
        <w:rPr>
          <w:lang w:val="en-CA"/>
        </w:rPr>
        <w:fldChar w:fldCharType="separate"/>
      </w:r>
      <w:r w:rsidR="009171A1" w:rsidRPr="009171A1">
        <w:rPr>
          <w:noProof/>
          <w:vertAlign w:val="superscript"/>
          <w:lang w:val="en-CA"/>
        </w:rPr>
        <w:t>[8]</w:t>
      </w:r>
      <w:r>
        <w:rPr>
          <w:lang w:val="en-CA"/>
        </w:rPr>
        <w:fldChar w:fldCharType="end"/>
      </w:r>
      <w:r>
        <w:rPr>
          <w:lang w:val="en-CA"/>
        </w:rPr>
        <w:t xml:space="preserve"> from the discontinuity between the MG and BG EMT formalisms</w:t>
      </w:r>
      <w:r>
        <w:rPr>
          <w:lang w:val="en-CA"/>
        </w:rPr>
        <w:fldChar w:fldCharType="begin" w:fldLock="1"/>
      </w:r>
      <w:r w:rsidR="009171A1">
        <w:rPr>
          <w:lang w:val="en-CA"/>
        </w:rPr>
        <w:instrText>ADDIN CSL_CITATION {"citationItems":[{"id":"ITEM-1","itemData":{"DOI":"10.1103/PhysRevB.15.3273","ISBN":"0163-1829","ISSN":"01631829","author":[{"dropping-particle":"","family":"Gittleman","given":"J. I.","non-dropping-particle":"","parse-names":false,"suffix":""},{"dropping-particle":"","family":"Abeles","given":"B.","non-dropping-particle":"","parse-names":false,"suffix":""}],"container-title":"Physical Review B","id":"ITEM-1","issue":"6","issued":{"date-parts":[["1977"]]},"page":"3273-3275","title":"Comparison of the effective medium and the Maxwell-Garnett predictions for the dielectric constants of granular metals","type":"article-journal","volume":"15"},"uris":["http://www.mendeley.com/documents/?uuid=44889219-9ba1-4c99-8fcd-4a5b4621db88"]}],"mendeley":{"formattedCitation":"&lt;sup&gt;[9]&lt;/sup&gt;","plainTextFormattedCitation":"[9]","previouslyFormattedCitation":"&lt;sup&gt;[9]&lt;/sup&gt;"},"properties":{"noteIndex":0},"schema":"https://github.com/citation-style-language/schema/raw/master/csl-citation.json"}</w:instrText>
      </w:r>
      <w:r>
        <w:rPr>
          <w:lang w:val="en-CA"/>
        </w:rPr>
        <w:fldChar w:fldCharType="separate"/>
      </w:r>
      <w:r w:rsidR="009171A1" w:rsidRPr="009171A1">
        <w:rPr>
          <w:noProof/>
          <w:vertAlign w:val="superscript"/>
          <w:lang w:val="en-CA"/>
        </w:rPr>
        <w:t>[9]</w:t>
      </w:r>
      <w:r>
        <w:rPr>
          <w:lang w:val="en-CA"/>
        </w:rPr>
        <w:fldChar w:fldCharType="end"/>
      </w:r>
      <w:r>
        <w:rPr>
          <w:lang w:val="en-CA"/>
        </w:rPr>
        <w:t>, and manifests as the “sheath” or the sudden transition between the SPR and LSPR dominant regions in the contour plots of main text Fig. 4.</w:t>
      </w:r>
      <w:r w:rsidRPr="00197254">
        <w:rPr>
          <w:lang w:val="en-CA"/>
        </w:rPr>
        <w:t xml:space="preserve"> </w:t>
      </w:r>
      <w:r>
        <w:rPr>
          <w:lang w:val="en-CA"/>
        </w:rPr>
        <w:t xml:space="preserve">Nevertheless, the success of the model in producing the observed absorption spectra is convincing evidence that the diffusion process and the consequent LSPR phenomenon associated with Ag nanoparticles within the dielectric is crucial for the observed coloration of the films. The model succeeds in predicting the absorption peaks which previously could not be explained by interference and roughness effects alone (as shown in main text Fig. 1f-i). </w:t>
      </w:r>
    </w:p>
    <w:p w14:paraId="0A52E9E1" w14:textId="77777777" w:rsidR="000802ED" w:rsidRPr="00BD69F1" w:rsidRDefault="000802ED" w:rsidP="000802ED">
      <w:pPr>
        <w:spacing w:line="480" w:lineRule="auto"/>
        <w:jc w:val="left"/>
        <w:rPr>
          <w:b/>
          <w:lang w:val="en-CA"/>
        </w:rPr>
      </w:pPr>
    </w:p>
    <w:p w14:paraId="29E315C3" w14:textId="77777777" w:rsidR="000802ED" w:rsidRPr="00B808C4" w:rsidRDefault="000802ED" w:rsidP="000802ED">
      <w:pPr>
        <w:rPr>
          <w:b/>
        </w:rPr>
      </w:pPr>
      <w:r w:rsidRPr="00B808C4">
        <w:rPr>
          <w:b/>
        </w:rPr>
        <w:t xml:space="preserve">Roughness </w:t>
      </w:r>
      <w:bookmarkStart w:id="1" w:name="_Hlk1138173"/>
      <w:r w:rsidRPr="00B808C4">
        <w:rPr>
          <w:b/>
        </w:rPr>
        <w:t>Estimation</w:t>
      </w:r>
      <w:bookmarkEnd w:id="1"/>
    </w:p>
    <w:p w14:paraId="07C69616" w14:textId="77777777" w:rsidR="000802ED" w:rsidRDefault="000802ED" w:rsidP="000802ED">
      <w:pPr>
        <w:spacing w:line="480" w:lineRule="auto"/>
      </w:pPr>
      <w:r>
        <w:t xml:space="preserve">We estimate the thickness of the rough silver-AlN interface by examining various TEM images (Fig. S5) and determining the distribution of peak to valley heights (Fig. S6). The height, averaged over the sum of roughness features seen in Fig. S5, is 14.61 nm which is rounded up to 15 nm for EMT calculations in Fig. 1 of main text. </w:t>
      </w:r>
    </w:p>
    <w:p w14:paraId="68787EF7" w14:textId="77777777" w:rsidR="000802ED" w:rsidRDefault="000802ED" w:rsidP="000802ED">
      <w:pPr>
        <w:spacing w:line="480" w:lineRule="auto"/>
      </w:pPr>
      <w:r>
        <w:t xml:space="preserve">Note that this is an estimate of the peak-to-valley height of the roughness features, and not the root mean squared roughness values obtained from Atomic Force Microscopy (AFM), which are often quoted in the literature. This value is more convenient and sufficient for us because we model the entire rough region as a single mixed layer. </w:t>
      </w:r>
    </w:p>
    <w:p w14:paraId="71ABB3AD" w14:textId="77777777" w:rsidR="000802ED" w:rsidRDefault="000802ED" w:rsidP="000802ED">
      <w:r>
        <w:rPr>
          <w:noProof/>
        </w:rPr>
        <w:drawing>
          <wp:inline distT="0" distB="0" distL="0" distR="0" wp14:anchorId="52DFA577" wp14:editId="68DB986D">
            <wp:extent cx="5943600" cy="2432050"/>
            <wp:effectExtent l="0" t="0" r="0" b="6350"/>
            <wp:docPr id="11" name="Picture 11"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1.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2432050"/>
                    </a:xfrm>
                    <a:prstGeom prst="rect">
                      <a:avLst/>
                    </a:prstGeom>
                  </pic:spPr>
                </pic:pic>
              </a:graphicData>
            </a:graphic>
          </wp:inline>
        </w:drawing>
      </w:r>
    </w:p>
    <w:p w14:paraId="6318EDE7" w14:textId="77777777" w:rsidR="000802ED" w:rsidRDefault="000802ED" w:rsidP="000802ED">
      <w:r w:rsidRPr="00B808C4">
        <w:rPr>
          <w:b/>
        </w:rPr>
        <w:t>Figure S</w:t>
      </w:r>
      <w:r>
        <w:rPr>
          <w:b/>
        </w:rPr>
        <w:t>5</w:t>
      </w:r>
      <w:r w:rsidRPr="00B808C4">
        <w:rPr>
          <w:b/>
        </w:rPr>
        <w:t>.</w:t>
      </w:r>
      <w:r>
        <w:t xml:space="preserve"> A cross-sectional TEM image of the top AlN/Ag interface in sample S5. The heights of the various features are denoted. </w:t>
      </w:r>
    </w:p>
    <w:p w14:paraId="4E6BB313" w14:textId="77777777" w:rsidR="000802ED" w:rsidRDefault="000802ED" w:rsidP="000802ED">
      <w:pPr>
        <w:jc w:val="center"/>
      </w:pPr>
      <w:r>
        <w:rPr>
          <w:noProof/>
        </w:rPr>
        <w:drawing>
          <wp:inline distT="0" distB="0" distL="0" distR="0" wp14:anchorId="4B737167" wp14:editId="26D25429">
            <wp:extent cx="4129752" cy="2225919"/>
            <wp:effectExtent l="0" t="0" r="4445" b="3175"/>
            <wp:docPr id="12" name="Picture 12"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stogramte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31767" cy="2227005"/>
                    </a:xfrm>
                    <a:prstGeom prst="rect">
                      <a:avLst/>
                    </a:prstGeom>
                  </pic:spPr>
                </pic:pic>
              </a:graphicData>
            </a:graphic>
          </wp:inline>
        </w:drawing>
      </w:r>
    </w:p>
    <w:p w14:paraId="14C1B8EC" w14:textId="77777777" w:rsidR="000802ED" w:rsidRPr="00864307" w:rsidRDefault="000802ED" w:rsidP="000802ED">
      <w:pPr>
        <w:jc w:val="center"/>
      </w:pPr>
      <w:r w:rsidRPr="00B808C4">
        <w:rPr>
          <w:b/>
        </w:rPr>
        <w:t>Figure S</w:t>
      </w:r>
      <w:r>
        <w:rPr>
          <w:b/>
        </w:rPr>
        <w:t>6</w:t>
      </w:r>
      <w:r>
        <w:t>. The distribution of roughness features.</w:t>
      </w:r>
    </w:p>
    <w:p w14:paraId="66DFE11E" w14:textId="77777777" w:rsidR="000802ED" w:rsidRDefault="000802ED" w:rsidP="000802ED">
      <w:pPr>
        <w:rPr>
          <w:b/>
        </w:rPr>
      </w:pPr>
    </w:p>
    <w:p w14:paraId="35CC1C42" w14:textId="77777777" w:rsidR="000802ED" w:rsidRPr="00FF78BA" w:rsidRDefault="000802ED" w:rsidP="000802ED">
      <w:pPr>
        <w:rPr>
          <w:b/>
        </w:rPr>
      </w:pPr>
      <w:r>
        <w:rPr>
          <w:b/>
        </w:rPr>
        <w:t>SE of</w:t>
      </w:r>
      <w:r w:rsidRPr="00FF78BA">
        <w:rPr>
          <w:b/>
        </w:rPr>
        <w:t xml:space="preserve"> SiN</w:t>
      </w:r>
      <w:r w:rsidRPr="008636D7">
        <w:rPr>
          <w:b/>
          <w:vertAlign w:val="subscript"/>
        </w:rPr>
        <w:t>x</w:t>
      </w:r>
      <w:r w:rsidRPr="00FF78BA">
        <w:rPr>
          <w:b/>
        </w:rPr>
        <w:t xml:space="preserve"> </w:t>
      </w:r>
    </w:p>
    <w:p w14:paraId="7264DA14" w14:textId="77777777" w:rsidR="000802ED" w:rsidRDefault="000802ED" w:rsidP="000802ED">
      <w:pPr>
        <w:spacing w:line="480" w:lineRule="auto"/>
      </w:pPr>
      <w:r>
        <w:t>To determine the thickness and refractive index of our SiN</w:t>
      </w:r>
      <w:r w:rsidRPr="00864307">
        <w:rPr>
          <w:vertAlign w:val="subscript"/>
        </w:rPr>
        <w:t>x</w:t>
      </w:r>
      <w:r>
        <w:t xml:space="preserve"> films, Spectroscopic Ellipsometry (SE) was performed. Silicon substrates were used, the deposition parameters were adjusted until we had a film close to 200nm thick. The data was fitted to a </w:t>
      </w:r>
      <w:proofErr w:type="spellStart"/>
      <w:r>
        <w:t>Tauc</w:t>
      </w:r>
      <w:proofErr w:type="spellEnd"/>
      <w:r>
        <w:t>-Lorentz model (R</w:t>
      </w:r>
      <w:r w:rsidRPr="008636D7">
        <w:rPr>
          <w:vertAlign w:val="superscript"/>
        </w:rPr>
        <w:t>2</w:t>
      </w:r>
      <w:r>
        <w:t>=0.994) and the resulting parameters for the 200nm samples are shown in Table S7. The resulting complex refractive index (Fig. S7) was taken, wherever appropriate, as inputs to theoretical calculations.</w:t>
      </w:r>
    </w:p>
    <w:p w14:paraId="220F23C2" w14:textId="77777777" w:rsidR="000802ED" w:rsidRPr="00F55A3B" w:rsidRDefault="000802ED" w:rsidP="000802ED">
      <w:pPr>
        <w:jc w:val="left"/>
        <w:rPr>
          <w:lang w:val="en-CA" w:eastAsia="zh-CN"/>
        </w:rPr>
      </w:pPr>
      <w:r>
        <w:rPr>
          <w:b/>
          <w:lang w:val="en-CA"/>
        </w:rPr>
        <w:t xml:space="preserve">Table S7. </w:t>
      </w:r>
      <w:r>
        <w:rPr>
          <w:lang w:val="en-CA"/>
        </w:rPr>
        <w:t xml:space="preserve">Best fit results of a </w:t>
      </w:r>
      <w:proofErr w:type="spellStart"/>
      <w:r>
        <w:rPr>
          <w:lang w:val="en-CA"/>
        </w:rPr>
        <w:t>SiN</w:t>
      </w:r>
      <w:proofErr w:type="spellEnd"/>
      <w:r>
        <w:rPr>
          <w:lang w:val="en-CA"/>
        </w:rPr>
        <w:t xml:space="preserve"> film on silicon substrate using the same deposition parameters as those for the </w:t>
      </w:r>
      <w:proofErr w:type="spellStart"/>
      <w:r>
        <w:rPr>
          <w:lang w:val="en-CA"/>
        </w:rPr>
        <w:t>SiN</w:t>
      </w:r>
      <w:proofErr w:type="spellEnd"/>
      <w:r>
        <w:rPr>
          <w:lang w:val="en-CA"/>
        </w:rPr>
        <w:t xml:space="preserve"> / Ag / </w:t>
      </w:r>
      <w:proofErr w:type="spellStart"/>
      <w:r>
        <w:rPr>
          <w:lang w:val="en-CA"/>
        </w:rPr>
        <w:t>SiN</w:t>
      </w:r>
      <w:proofErr w:type="spellEnd"/>
      <w:r>
        <w:rPr>
          <w:lang w:val="en-CA"/>
        </w:rPr>
        <w:t xml:space="preserve"> sample analyzed in the main text. </w:t>
      </w:r>
    </w:p>
    <w:tbl>
      <w:tblPr>
        <w:tblStyle w:val="GridTable1Light-Accent11"/>
        <w:tblW w:w="9067" w:type="dxa"/>
        <w:tblLayout w:type="fixed"/>
        <w:tblLook w:val="04A0" w:firstRow="1" w:lastRow="0" w:firstColumn="1" w:lastColumn="0" w:noHBand="0" w:noVBand="1"/>
      </w:tblPr>
      <w:tblGrid>
        <w:gridCol w:w="4248"/>
        <w:gridCol w:w="4819"/>
      </w:tblGrid>
      <w:tr w:rsidR="000802ED" w14:paraId="69799DD6" w14:textId="77777777" w:rsidTr="00637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9DB91EF" w14:textId="77777777" w:rsidR="000802ED" w:rsidRDefault="000802ED" w:rsidP="00637B69">
            <w:pPr>
              <w:jc w:val="left"/>
            </w:pPr>
            <w:r>
              <w:t>Parameter</w:t>
            </w:r>
          </w:p>
        </w:tc>
        <w:tc>
          <w:tcPr>
            <w:tcW w:w="4819" w:type="dxa"/>
          </w:tcPr>
          <w:p w14:paraId="377A4A1A" w14:textId="77777777" w:rsidR="000802ED" w:rsidRDefault="000802ED" w:rsidP="00637B69">
            <w:pPr>
              <w:jc w:val="left"/>
              <w:cnfStyle w:val="100000000000" w:firstRow="1" w:lastRow="0" w:firstColumn="0" w:lastColumn="0" w:oddVBand="0" w:evenVBand="0" w:oddHBand="0" w:evenHBand="0" w:firstRowFirstColumn="0" w:firstRowLastColumn="0" w:lastRowFirstColumn="0" w:lastRowLastColumn="0"/>
            </w:pPr>
            <w:r>
              <w:t>Value</w:t>
            </w:r>
          </w:p>
        </w:tc>
      </w:tr>
      <w:tr w:rsidR="000802ED" w14:paraId="2F0300C6" w14:textId="77777777" w:rsidTr="00637B69">
        <w:tc>
          <w:tcPr>
            <w:cnfStyle w:val="001000000000" w:firstRow="0" w:lastRow="0" w:firstColumn="1" w:lastColumn="0" w:oddVBand="0" w:evenVBand="0" w:oddHBand="0" w:evenHBand="0" w:firstRowFirstColumn="0" w:firstRowLastColumn="0" w:lastRowFirstColumn="0" w:lastRowLastColumn="0"/>
            <w:tcW w:w="4248" w:type="dxa"/>
          </w:tcPr>
          <w:p w14:paraId="79A90523" w14:textId="77777777" w:rsidR="000802ED" w:rsidRDefault="000802ED" w:rsidP="00637B69">
            <w:pPr>
              <w:jc w:val="left"/>
            </w:pPr>
            <w:r>
              <w:t>Thickness (</w:t>
            </w:r>
            <w:r>
              <w:rPr>
                <w:rFonts w:cs="Times"/>
              </w:rPr>
              <w:t>µ</w:t>
            </w:r>
            <w:r>
              <w:t>m)</w:t>
            </w:r>
          </w:p>
        </w:tc>
        <w:tc>
          <w:tcPr>
            <w:tcW w:w="4819" w:type="dxa"/>
          </w:tcPr>
          <w:p w14:paraId="64370D38"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0.186 ± 0.001</w:t>
            </w:r>
          </w:p>
        </w:tc>
      </w:tr>
      <w:tr w:rsidR="000802ED" w14:paraId="283DE179" w14:textId="77777777" w:rsidTr="00637B69">
        <w:tc>
          <w:tcPr>
            <w:cnfStyle w:val="001000000000" w:firstRow="0" w:lastRow="0" w:firstColumn="1" w:lastColumn="0" w:oddVBand="0" w:evenVBand="0" w:oddHBand="0" w:evenHBand="0" w:firstRowFirstColumn="0" w:firstRowLastColumn="0" w:lastRowFirstColumn="0" w:lastRowLastColumn="0"/>
            <w:tcW w:w="4248" w:type="dxa"/>
          </w:tcPr>
          <w:p w14:paraId="21418732" w14:textId="77777777" w:rsidR="000802ED" w:rsidRDefault="000802ED" w:rsidP="00637B69">
            <w:pPr>
              <w:jc w:val="left"/>
            </w:pPr>
            <w:proofErr w:type="spellStart"/>
            <w:r>
              <w:rPr>
                <w:rFonts w:cs="Times"/>
              </w:rPr>
              <w:t>ε</w:t>
            </w:r>
            <w:proofErr w:type="gramStart"/>
            <w:r w:rsidRPr="00FF78BA">
              <w:rPr>
                <w:rFonts w:cs="Times"/>
                <w:vertAlign w:val="subscript"/>
              </w:rPr>
              <w:t>r</w:t>
            </w:r>
            <w:proofErr w:type="spellEnd"/>
            <w:r>
              <w:rPr>
                <w:rFonts w:cs="Times"/>
              </w:rPr>
              <w:t>(</w:t>
            </w:r>
            <w:proofErr w:type="gramEnd"/>
            <w:r w:rsidRPr="005F5DC8">
              <w:rPr>
                <w:rFonts w:cs="Times" w:hint="eastAsia"/>
              </w:rPr>
              <w:t>∞</w:t>
            </w:r>
            <w:r>
              <w:rPr>
                <w:rFonts w:cs="Times" w:hint="eastAsia"/>
              </w:rPr>
              <w:t>)</w:t>
            </w:r>
          </w:p>
        </w:tc>
        <w:tc>
          <w:tcPr>
            <w:tcW w:w="4819" w:type="dxa"/>
          </w:tcPr>
          <w:p w14:paraId="69EC45C7"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44441D">
              <w:t>2.26</w:t>
            </w:r>
            <w:r>
              <w:t xml:space="preserve"> ± 0.09</w:t>
            </w:r>
          </w:p>
        </w:tc>
      </w:tr>
      <w:tr w:rsidR="000802ED" w14:paraId="15BE6F9C" w14:textId="77777777" w:rsidTr="00637B69">
        <w:tc>
          <w:tcPr>
            <w:cnfStyle w:val="001000000000" w:firstRow="0" w:lastRow="0" w:firstColumn="1" w:lastColumn="0" w:oddVBand="0" w:evenVBand="0" w:oddHBand="0" w:evenHBand="0" w:firstRowFirstColumn="0" w:firstRowLastColumn="0" w:lastRowFirstColumn="0" w:lastRowLastColumn="0"/>
            <w:tcW w:w="4248" w:type="dxa"/>
          </w:tcPr>
          <w:p w14:paraId="68FFB44C" w14:textId="77777777" w:rsidR="000802ED" w:rsidRDefault="000802ED" w:rsidP="00637B69">
            <w:pPr>
              <w:jc w:val="left"/>
            </w:pPr>
            <w:proofErr w:type="spellStart"/>
            <w:r>
              <w:t>E</w:t>
            </w:r>
            <w:r w:rsidRPr="00FF78BA">
              <w:rPr>
                <w:vertAlign w:val="subscript"/>
              </w:rPr>
              <w:t>g</w:t>
            </w:r>
            <w:proofErr w:type="spellEnd"/>
            <w:r>
              <w:rPr>
                <w:vertAlign w:val="subscript"/>
              </w:rPr>
              <w:t xml:space="preserve"> </w:t>
            </w:r>
            <w:r w:rsidRPr="00FF78BA">
              <w:t>(eV)</w:t>
            </w:r>
          </w:p>
        </w:tc>
        <w:tc>
          <w:tcPr>
            <w:tcW w:w="4819" w:type="dxa"/>
          </w:tcPr>
          <w:p w14:paraId="34B4C38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44441D">
              <w:t>3.71</w:t>
            </w:r>
            <w:r>
              <w:t xml:space="preserve"> ± </w:t>
            </w:r>
            <w:r w:rsidRPr="0044441D">
              <w:t>0.1</w:t>
            </w:r>
            <w:r>
              <w:t>2</w:t>
            </w:r>
          </w:p>
        </w:tc>
      </w:tr>
      <w:tr w:rsidR="000802ED" w14:paraId="4C802B7A" w14:textId="77777777" w:rsidTr="00637B69">
        <w:tc>
          <w:tcPr>
            <w:cnfStyle w:val="001000000000" w:firstRow="0" w:lastRow="0" w:firstColumn="1" w:lastColumn="0" w:oddVBand="0" w:evenVBand="0" w:oddHBand="0" w:evenHBand="0" w:firstRowFirstColumn="0" w:firstRowLastColumn="0" w:lastRowFirstColumn="0" w:lastRowLastColumn="0"/>
            <w:tcW w:w="4248" w:type="dxa"/>
          </w:tcPr>
          <w:p w14:paraId="45CC6B6B" w14:textId="77777777" w:rsidR="000802ED" w:rsidRDefault="000802ED" w:rsidP="00637B69">
            <w:pPr>
              <w:jc w:val="left"/>
            </w:pPr>
            <w:r w:rsidRPr="700A9AE6">
              <w:t>E</w:t>
            </w:r>
            <w:r w:rsidRPr="700A9AE6">
              <w:rPr>
                <w:vertAlign w:val="subscript"/>
              </w:rPr>
              <w:t>0</w:t>
            </w:r>
            <w:r>
              <w:rPr>
                <w:vertAlign w:val="subscript"/>
              </w:rPr>
              <w:t xml:space="preserve"> </w:t>
            </w:r>
            <w:r w:rsidRPr="008F3DA5">
              <w:t>(eV)</w:t>
            </w:r>
          </w:p>
        </w:tc>
        <w:tc>
          <w:tcPr>
            <w:tcW w:w="4819" w:type="dxa"/>
          </w:tcPr>
          <w:p w14:paraId="4E41C71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rsidRPr="0098680B">
              <w:t>7.6</w:t>
            </w:r>
            <w:r>
              <w:t>5 ± 0.13</w:t>
            </w:r>
          </w:p>
        </w:tc>
      </w:tr>
      <w:tr w:rsidR="000802ED" w14:paraId="77F040D9" w14:textId="77777777" w:rsidTr="00637B69">
        <w:tc>
          <w:tcPr>
            <w:cnfStyle w:val="001000000000" w:firstRow="0" w:lastRow="0" w:firstColumn="1" w:lastColumn="0" w:oddVBand="0" w:evenVBand="0" w:oddHBand="0" w:evenHBand="0" w:firstRowFirstColumn="0" w:firstRowLastColumn="0" w:lastRowFirstColumn="0" w:lastRowLastColumn="0"/>
            <w:tcW w:w="4248" w:type="dxa"/>
          </w:tcPr>
          <w:p w14:paraId="6C10CAE6" w14:textId="77777777" w:rsidR="000802ED" w:rsidRDefault="000802ED" w:rsidP="00637B69">
            <w:pPr>
              <w:jc w:val="left"/>
            </w:pPr>
            <w:r>
              <w:t xml:space="preserve">C </w:t>
            </w:r>
            <w:r w:rsidRPr="008F3DA5">
              <w:t>(eV)</w:t>
            </w:r>
          </w:p>
        </w:tc>
        <w:tc>
          <w:tcPr>
            <w:tcW w:w="4819" w:type="dxa"/>
          </w:tcPr>
          <w:p w14:paraId="5B44C2C1"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1.31 ± 0.17</w:t>
            </w:r>
          </w:p>
        </w:tc>
      </w:tr>
      <w:tr w:rsidR="000802ED" w14:paraId="2D8A9D8B" w14:textId="77777777" w:rsidTr="00637B69">
        <w:tc>
          <w:tcPr>
            <w:cnfStyle w:val="001000000000" w:firstRow="0" w:lastRow="0" w:firstColumn="1" w:lastColumn="0" w:oddVBand="0" w:evenVBand="0" w:oddHBand="0" w:evenHBand="0" w:firstRowFirstColumn="0" w:firstRowLastColumn="0" w:lastRowFirstColumn="0" w:lastRowLastColumn="0"/>
            <w:tcW w:w="4248" w:type="dxa"/>
          </w:tcPr>
          <w:p w14:paraId="56F4C3C2" w14:textId="77777777" w:rsidR="000802ED" w:rsidRDefault="000802ED" w:rsidP="00637B69">
            <w:pPr>
              <w:jc w:val="left"/>
            </w:pPr>
            <w:r>
              <w:t>A</w:t>
            </w:r>
          </w:p>
        </w:tc>
        <w:tc>
          <w:tcPr>
            <w:tcW w:w="4819" w:type="dxa"/>
          </w:tcPr>
          <w:p w14:paraId="0706DE4B" w14:textId="77777777" w:rsidR="000802ED" w:rsidRDefault="000802ED" w:rsidP="00637B69">
            <w:pPr>
              <w:jc w:val="left"/>
              <w:cnfStyle w:val="000000000000" w:firstRow="0" w:lastRow="0" w:firstColumn="0" w:lastColumn="0" w:oddVBand="0" w:evenVBand="0" w:oddHBand="0" w:evenHBand="0" w:firstRowFirstColumn="0" w:firstRowLastColumn="0" w:lastRowFirstColumn="0" w:lastRowLastColumn="0"/>
            </w:pPr>
            <w:r>
              <w:t>42.0 ± 4.6</w:t>
            </w:r>
          </w:p>
        </w:tc>
      </w:tr>
    </w:tbl>
    <w:p w14:paraId="39CA9D1C" w14:textId="77777777" w:rsidR="000802ED" w:rsidRDefault="000802ED" w:rsidP="000802ED"/>
    <w:p w14:paraId="2CFA1D2E" w14:textId="77777777" w:rsidR="000802ED" w:rsidRDefault="000802ED" w:rsidP="000802ED">
      <w:r>
        <w:rPr>
          <w:noProof/>
        </w:rPr>
        <w:drawing>
          <wp:inline distT="0" distB="0" distL="0" distR="0" wp14:anchorId="6DF37744" wp14:editId="30336BC2">
            <wp:extent cx="3629025" cy="2095500"/>
            <wp:effectExtent l="0" t="0" r="9525" b="0"/>
            <wp:docPr id="4" name="Chart 4">
              <a:extLst xmlns:a="http://schemas.openxmlformats.org/drawingml/2006/main">
                <a:ext uri="{FF2B5EF4-FFF2-40B4-BE49-F238E27FC236}">
                  <a16:creationId xmlns:a16="http://schemas.microsoft.com/office/drawing/2014/main" id="{EF523A63-8830-4101-A395-C82DD2197F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3E37AB" w14:textId="77777777" w:rsidR="000802ED" w:rsidRPr="002618FA" w:rsidRDefault="000802ED" w:rsidP="000802ED">
      <w:pPr>
        <w:jc w:val="left"/>
      </w:pPr>
      <w:r>
        <w:rPr>
          <w:rFonts w:eastAsia="Times" w:cs="Times"/>
          <w:b/>
        </w:rPr>
        <w:t>Figure</w:t>
      </w:r>
      <w:r w:rsidRPr="053E6D6D">
        <w:rPr>
          <w:rFonts w:eastAsia="Times" w:cs="Times"/>
          <w:b/>
        </w:rPr>
        <w:t xml:space="preserve"> </w:t>
      </w:r>
      <w:r>
        <w:rPr>
          <w:rFonts w:eastAsia="Times" w:cs="Times"/>
          <w:b/>
          <w:bCs/>
        </w:rPr>
        <w:t>S7 |</w:t>
      </w:r>
      <w:r w:rsidRPr="2DE79879">
        <w:rPr>
          <w:rFonts w:eastAsia="Times" w:cs="Times"/>
          <w:b/>
          <w:bCs/>
        </w:rPr>
        <w:t xml:space="preserve"> </w:t>
      </w:r>
      <w:r>
        <w:rPr>
          <w:rFonts w:eastAsia="Times" w:cs="Times"/>
          <w:b/>
          <w:bCs/>
        </w:rPr>
        <w:t>Effective index and calculated absorption spectra for SiN</w:t>
      </w:r>
      <w:r w:rsidRPr="002053F7">
        <w:rPr>
          <w:rFonts w:eastAsia="Times" w:cs="Times"/>
          <w:b/>
          <w:bCs/>
          <w:vertAlign w:val="subscript"/>
        </w:rPr>
        <w:t>x</w:t>
      </w:r>
      <w:r>
        <w:rPr>
          <w:rFonts w:eastAsia="Times" w:cs="Times"/>
        </w:rPr>
        <w:t>.</w:t>
      </w:r>
      <w:r>
        <w:rPr>
          <w:rFonts w:eastAsia="Times" w:cs="Times"/>
          <w:b/>
        </w:rPr>
        <w:t xml:space="preserve"> </w:t>
      </w:r>
      <w:r>
        <w:rPr>
          <w:rFonts w:eastAsia="Times" w:cs="Times"/>
        </w:rPr>
        <w:t>This graph corresponds to the fit values given in Table S7.</w:t>
      </w:r>
    </w:p>
    <w:p w14:paraId="77EA594F" w14:textId="77777777" w:rsidR="000802ED" w:rsidRDefault="000802ED" w:rsidP="000802ED">
      <w:pPr>
        <w:rPr>
          <w:b/>
        </w:rPr>
      </w:pPr>
    </w:p>
    <w:p w14:paraId="747122C2" w14:textId="77777777" w:rsidR="000802ED" w:rsidRPr="000D19DB" w:rsidRDefault="000802ED" w:rsidP="000802ED">
      <w:pPr>
        <w:rPr>
          <w:b/>
        </w:rPr>
      </w:pPr>
      <w:r>
        <w:rPr>
          <w:b/>
        </w:rPr>
        <w:t>Diffusion as Loss</w:t>
      </w:r>
      <w:r w:rsidRPr="00FF78BA">
        <w:rPr>
          <w:b/>
        </w:rPr>
        <w:t xml:space="preserve"> </w:t>
      </w:r>
    </w:p>
    <w:p w14:paraId="334F5E72" w14:textId="4D720A7B" w:rsidR="000802ED" w:rsidRPr="00AF71F1" w:rsidRDefault="000802ED" w:rsidP="000802ED">
      <w:pPr>
        <w:pStyle w:val="TDAcknowledgments"/>
        <w:jc w:val="left"/>
      </w:pPr>
      <w:r w:rsidRPr="00A72520">
        <w:t xml:space="preserve">For our </w:t>
      </w:r>
      <w:r>
        <w:t>AlN / Ag / AlN</w:t>
      </w:r>
      <w:r w:rsidRPr="00A72520">
        <w:t xml:space="preserve"> system</w:t>
      </w:r>
      <w:r>
        <w:t xml:space="preserve"> </w:t>
      </w:r>
      <w:r w:rsidRPr="00A72520">
        <w:t>(</w:t>
      </w:r>
      <w:r>
        <w:t>with a thin 20 nm AlN top layer)</w:t>
      </w:r>
      <w:r w:rsidRPr="00A72520">
        <w:t xml:space="preserve">, the </w:t>
      </w:r>
      <w:r>
        <w:t xml:space="preserve">visible </w:t>
      </w:r>
      <w:r w:rsidRPr="00A72520">
        <w:t xml:space="preserve">absorption peak </w:t>
      </w:r>
      <w:r>
        <w:t>is prominent for</w:t>
      </w:r>
      <w:r w:rsidRPr="00A72520">
        <w:t xml:space="preserve"> silver thickness </w:t>
      </w:r>
      <w:r>
        <w:t>greater than a moderate 18 nm, and the UV absorption tail is present for all silver thicknesses tested (Fig. 1k).</w:t>
      </w:r>
      <w:r w:rsidRPr="00A72520">
        <w:t xml:space="preserve"> </w:t>
      </w:r>
      <w:r>
        <w:t>These metal thicknesses are relevant in transmission coatings designed for visible</w:t>
      </w:r>
      <w:r>
        <w:fldChar w:fldCharType="begin" w:fldLock="1"/>
      </w:r>
      <w:r w:rsidR="009171A1">
        <w:instrText>ADDIN CSL_CITATION {"citationItems":[{"id":"ITEM-1","itemData":{"DOI":"10.1117/12.625193","author":[{"dropping-particle":"","family":"Blanckenhagen","given":"Bernhard","non-dropping-particle":"von","parse-names":false,"suffix":""},{"dropping-particle":"","family":"Tonova","given":"Diana","non-dropping-particle":"","parse-names":false,"suffix":""}],"container-title":"Proceedings of the SPIE","id":"ITEM-1","issued":{"date-parts":[["2005"]]},"page":"596317-596317-8","title":"Correlation between the optical performance of TiO2-Ag-TiO2 multilayers and the interface roughness between the layers","type":"article-journal","volume":"5963"},"uris":["http://www.mendeley.com/documents/?uuid=eda74834-30f5-4e8e-b176-6044d7d0cd83"]}],"mendeley":{"formattedCitation":"&lt;sup&gt;[10]&lt;/sup&gt;","plainTextFormattedCitation":"[10]","previouslyFormattedCitation":"&lt;sup&gt;[10]&lt;/sup&gt;"},"properties":{"noteIndex":0},"schema":"https://github.com/citation-style-language/schema/raw/master/csl-citation.json"}</w:instrText>
      </w:r>
      <w:r>
        <w:fldChar w:fldCharType="separate"/>
      </w:r>
      <w:r w:rsidR="009171A1" w:rsidRPr="009171A1">
        <w:rPr>
          <w:noProof/>
          <w:vertAlign w:val="superscript"/>
        </w:rPr>
        <w:t>[10]</w:t>
      </w:r>
      <w:r>
        <w:fldChar w:fldCharType="end"/>
      </w:r>
      <w:r>
        <w:t xml:space="preserve"> and UV</w:t>
      </w:r>
      <w:r>
        <w:fldChar w:fldCharType="begin" w:fldLock="1"/>
      </w:r>
      <w:r w:rsidR="009171A1">
        <w:instrText>ADDIN CSL_CITATION {"citationItems":[{"id":"ITEM-1","itemData":{"DOI":"10.1016/j.apsusc.2004.06.011","ISBN":"01694332","ISSN":"01694332","abstract":"Metal-based transparent heat mirror for ultraviolet curing applications was designed in terms of induced transmission principle, good ultraviolet transparency and high infrared ray (IR) reflection properties can be obtained by the means of optimal layers design. After a comprehensive analysis to materials properties, TiO2/Ag/TiO2nano-multilayers with a Ultraviolet (UV) transmission of 81% (at 365 nm) and an IR reflectivity of 90% (at 1600 nm) were designed and prepared by conventional evaporation. The multilayers exhibit a sharp interface between dielectric and metal layers by spectroscopic ellipsometry analysis. The experiment results prove that critical thickness of metal layer determined in light of admittance match and skin effect has no applicable meaning in long-wavelength UV region. Dependence of transmittance in near UV spectra on the thickness of metal layer is less sensitive than that in near IR. This transparent heat mirror can be applied in the \"windows\" of ultraviolet curing system for heat insulation. © 2004 Elsevier B.V. All rights reserved.","author":[{"dropping-particle":"","family":"Wang","given":"Zhenguo","non-dropping-particle":"","parse-names":false,"suffix":""},{"dropping-particle":"","family":"Chen","given":"Qiulong","non-dropping-particle":"","parse-names":false,"suffix":""},{"dropping-particle":"","family":"Cai","given":"Xun","non-dropping-particle":"","parse-names":false,"suffix":""}],"container-title":"Applied Surface Science","id":"ITEM-1","issue":"3-4","issued":{"date-parts":[["2005"]]},"page":"262-267","title":"Metal-based transparent heat mirror for ultraviolet curing applications","type":"article-journal","volume":"239"},"uris":["http://www.mendeley.com/documents/?uuid=cd06049e-afe3-4c4e-bb47-fc32ae34de6a"]}],"mendeley":{"formattedCitation":"&lt;sup&gt;[11]&lt;/sup&gt;","plainTextFormattedCitation":"[11]","previouslyFormattedCitation":"&lt;sup&gt;[11]&lt;/sup&gt;"},"properties":{"noteIndex":0},"schema":"https://github.com/citation-style-language/schema/raw/master/csl-citation.json"}</w:instrText>
      </w:r>
      <w:r>
        <w:fldChar w:fldCharType="separate"/>
      </w:r>
      <w:r w:rsidR="009171A1" w:rsidRPr="009171A1">
        <w:rPr>
          <w:noProof/>
          <w:vertAlign w:val="superscript"/>
        </w:rPr>
        <w:t>[11]</w:t>
      </w:r>
      <w:r>
        <w:fldChar w:fldCharType="end"/>
      </w:r>
      <w:r>
        <w:t xml:space="preserve"> ranges, so </w:t>
      </w:r>
      <w:r w:rsidRPr="00A72520">
        <w:t>designers</w:t>
      </w:r>
      <w:r>
        <w:t xml:space="preserve"> may be informed</w:t>
      </w:r>
      <w:r w:rsidRPr="00A72520">
        <w:t xml:space="preserve"> to consider diffusion </w:t>
      </w:r>
      <w:r>
        <w:t>mitigation</w:t>
      </w:r>
      <w:r w:rsidRPr="00A72520">
        <w:t xml:space="preserve"> methods such as alloying</w:t>
      </w:r>
      <w:r>
        <w:fldChar w:fldCharType="begin" w:fldLock="1"/>
      </w:r>
      <w:r w:rsidR="009171A1">
        <w:instrText>ADDIN CSL_CITATION {"citationItems":[{"id":"ITEM-1","itemData":{"DOI":"10.1143/JJAP.47.240","ISSN":"00214922","abstract":"Transparent low-emissivity coatings comprised of AlSiN and Ag-alloy multilayer films were\\r investigated. All films were prepared by dc magnetron sputtering.\\r AlSiN/Ag-alloy/AlSiN/Ag-alloy/AlSiN multilayer films were prepared on glass substrates. Three types\\r of Ag-alloys were used: Ag 87.5 Cu 12.5 , Ag 88 Au 4.6 Cu 7.3 Ti 0.1 , and Ag 95.8 Cu 2.2 Nd 2\\r films. Thicknesses of the Ag-alloy films were controlled to be in the range of 10–12 nm thick.\\r Compared to the AgCu- and AgAuCuTi-alloys, the AgCuNd-alloy films showed superior optical\\r properties. The maximum transmittance ( T max ) was 85.6% for multilayer coatings with 10-nm-thick\\r Ag 95.8 Cu 2.2 Nd 2 -alloy films. The maximum transmittance is 4 and 7% higher than for the coatings\\r with Ag 89.5 Au 7 Cu 3 Ti 0.5 - and Ag 87.5 Cu 12.5 -alloy films, respectively. In the case of AlSiN\\r (43 nm)/Ag 95.8 Cu 2.2 Nd 2 (11 nm)/AlSiN (86 nm)/Ag 95.8 Cu 2.2 Nd 2 (11 nm)/AlSiN (43 nm)\\r multilayer coatings, 79.7% visible light transmission ( T vis ) and a shading coefficient of 0.50\\r were obtained. This indicates that well-balanced transparent low-emissivity coatings with both high\\r visible transparency and good solar infrared shading can be produced for multilayer coatings with\\r the AgCuNd-alloy films.","author":[{"dropping-particle":"","family":"Chiba","given":"Kiyoshi","non-dropping-particle":"","parse-names":false,"suffix":""},{"dropping-particle":"","family":"Kaminishi","given":"Shota","non-dropping-particle":"","parse-names":false,"suffix":""}],"container-title":"Japanese Journal of Applied Physics","id":"ITEM-1","issue":"1","issued":{"date-parts":[["2008"]]},"page":"240-243","title":"Fabrication and optical properties of low-emissivity coatings of AlSiN and AgCuNd-alloy multilayer films on glass","type":"article-journal","volume":"47"},"uris":["http://www.mendeley.com/documents/?uuid=d08df378-13c0-43d3-a425-fbac3359e84a"]},{"id":"ITEM-2","itemData":{"DOI":"10.1016/0927-0248(92)90021-G","ISSN":"09270248","abstract":"In an attempt to enhance the stability of a silver layer of a transparent heat mirror coating of dielectric/Ag/dielectric structure, we have investigated the effects of coexistence of heterogeneous metal atoms and silver metal on the photodegrading behavior of the coating. An in-depth analysis using an ion microprobe was performed to study the action of those atoms as interfacial or alloying elements to the silver layer. It was shown that noble metal atoms such as Au, Pd and also Cu acted quite effectively to enhance the stability compared with base metals like Sn, Al, etc. In particular, coexistence of copper atoms and silver metal exerts a strong effect on the durability of the coating. © 1992.","author":[{"dropping-particle":"","family":"Chiba","given":"Kiyoshi","non-dropping-particle":"","parse-names":false,"suffix":""},{"dropping-particle":"","family":"Suzuki","given":"Kazutomi","non-dropping-particle":"","parse-names":false,"suffix":""}],"container-title":"Solar Energy Materials and Solar Cells","id":"ITEM-2","issue":"1-2","issued":{"date-parts":[["1992"]]},"page":"113-123","title":"Effects of heterogeneous metal atoms on the stability of a silver layer of a heat mirror coating","type":"article-journal","volume":"25"},"uris":["http://www.mendeley.com/documents/?uuid=7924c705-cca4-4328-a093-3b56a4316692"]}],"mendeley":{"formattedCitation":"&lt;sup&gt;[12,13]&lt;/sup&gt;","plainTextFormattedCitation":"[12,13]","previouslyFormattedCitation":"&lt;sup&gt;[12,13]&lt;/sup&gt;"},"properties":{"noteIndex":0},"schema":"https://github.com/citation-style-language/schema/raw/master/csl-citation.json"}</w:instrText>
      </w:r>
      <w:r>
        <w:fldChar w:fldCharType="separate"/>
      </w:r>
      <w:r w:rsidR="009171A1" w:rsidRPr="009171A1">
        <w:rPr>
          <w:noProof/>
          <w:vertAlign w:val="superscript"/>
        </w:rPr>
        <w:t>[12,13]</w:t>
      </w:r>
      <w:r>
        <w:fldChar w:fldCharType="end"/>
      </w:r>
      <w:r w:rsidRPr="003B5C00">
        <w:rPr>
          <w:vertAlign w:val="superscript"/>
        </w:rPr>
        <w:t>,</w:t>
      </w:r>
      <w:r>
        <w:fldChar w:fldCharType="begin" w:fldLock="1"/>
      </w:r>
      <w:r w:rsidR="009171A1">
        <w:instrText>ADDIN CSL_CITATION {"citationItems":[{"id":"ITEM-1","itemData":{"DOI":"10.1039/c3ta14124a","ISBN":"2050-7488","ISSN":"20507488","abstract":"Vanadium dioxide is a thermochromic material that undergoes a semiconductor to metal transitions at a critical temperature of 68 [degree]C. This phase change from a low temperature monoclinic structure to a higher temperature rutile structure is accompanied by a marked change in infrared reflectivity and change in resistivity. This review presents the fundamental chemical principles that describe the electronic structure and properties of solids, and the chronological developments in the theory behind the thermochromic transitions such as, the effects of electron-electron interactions and structural phase changes due to lattice distortions. An extensive discussion and observations on the current understanding of the nature of the semiconductor-to-metal transition exhibited by vanadium dioxide is detailed. The possibility of manipulating the transition temperature by introducing various dopants, additional layers or by size effects into the vanadium dioxide lattice are examined. Thermochromic vanadium dioxide materials may be exploited in areas such as microelectronics, data storage, or intelligent architectural glazing, thus are required to be synthesised as thin films for use in such applications. The numerous synthetic techniques (physical vapour deposition, sol-gel method, pulsed laser deposition, chemical vapour deposition), for making metal oxide thermochromic thin films are described in reference to the production of vanadium dioxide with a particular focus on recent results.","author":[{"dropping-particle":"","family":"Warwick","given":"Michael E.A.","non-dropping-particle":"","parse-names":false,"suffix":""},{"dropping-particle":"","family":"Binions","given":"Russell","non-dropping-particle":"","parse-names":false,"suffix":""}],"container-title":"Journal of Materials Chemistry A","id":"ITEM-1","issue":"10","issued":{"date-parts":[["2014"]]},"page":"3275-3292","title":"Advances in thermochromic vanadium dioxide films","type":"article-journal","volume":"2"},"uris":["http://www.mendeley.com/documents/?uuid=a6a21897-ca3f-45b1-b06c-e8361151fd82"]}],"mendeley":{"formattedCitation":"&lt;sup&gt;[14]&lt;/sup&gt;","plainTextFormattedCitation":"[14]","previouslyFormattedCitation":"&lt;sup&gt;[14]&lt;/sup&gt;"},"properties":{"noteIndex":0},"schema":"https://github.com/citation-style-language/schema/raw/master/csl-citation.json"}</w:instrText>
      </w:r>
      <w:r>
        <w:fldChar w:fldCharType="separate"/>
      </w:r>
      <w:r w:rsidR="009171A1" w:rsidRPr="009171A1">
        <w:rPr>
          <w:noProof/>
          <w:vertAlign w:val="superscript"/>
        </w:rPr>
        <w:t>[14]</w:t>
      </w:r>
      <w:r>
        <w:fldChar w:fldCharType="end"/>
      </w:r>
      <w:r w:rsidRPr="00A72520">
        <w:t>.</w:t>
      </w:r>
      <w:r>
        <w:t xml:space="preserve"> </w:t>
      </w:r>
    </w:p>
    <w:p w14:paraId="06E6F989" w14:textId="77777777" w:rsidR="000802ED" w:rsidRDefault="000802ED" w:rsidP="000802ED"/>
    <w:p w14:paraId="65FFA022" w14:textId="77777777" w:rsidR="000802ED" w:rsidRPr="005C342F" w:rsidRDefault="000802ED" w:rsidP="000802ED">
      <w:pPr>
        <w:rPr>
          <w:b/>
          <w:sz w:val="20"/>
        </w:rPr>
      </w:pPr>
      <w:r>
        <w:rPr>
          <w:b/>
        </w:rPr>
        <w:t>References</w:t>
      </w:r>
    </w:p>
    <w:p w14:paraId="14DE3334" w14:textId="7039E101" w:rsidR="009171A1" w:rsidRPr="009171A1" w:rsidRDefault="009171A1" w:rsidP="009171A1">
      <w:pPr>
        <w:widowControl w:val="0"/>
        <w:autoSpaceDE w:val="0"/>
        <w:autoSpaceDN w:val="0"/>
        <w:adjustRightInd w:val="0"/>
        <w:ind w:left="640" w:hanging="640"/>
        <w:rPr>
          <w:rFonts w:cs="Times"/>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9171A1">
        <w:rPr>
          <w:rFonts w:cs="Times"/>
          <w:noProof/>
          <w:szCs w:val="24"/>
        </w:rPr>
        <w:t>[1]</w:t>
      </w:r>
      <w:r w:rsidRPr="009171A1">
        <w:rPr>
          <w:rFonts w:cs="Times"/>
          <w:noProof/>
          <w:szCs w:val="24"/>
        </w:rPr>
        <w:tab/>
        <w:t xml:space="preserve">X. D. Wang, K. W. Hipps, U. Mazur, </w:t>
      </w:r>
      <w:r w:rsidRPr="009171A1">
        <w:rPr>
          <w:rFonts w:cs="Times"/>
          <w:i/>
          <w:iCs/>
          <w:noProof/>
          <w:szCs w:val="24"/>
        </w:rPr>
        <w:t>Langmuir</w:t>
      </w:r>
      <w:r w:rsidRPr="009171A1">
        <w:rPr>
          <w:rFonts w:cs="Times"/>
          <w:noProof/>
          <w:szCs w:val="24"/>
        </w:rPr>
        <w:t xml:space="preserve"> </w:t>
      </w:r>
      <w:r w:rsidRPr="009171A1">
        <w:rPr>
          <w:rFonts w:cs="Times"/>
          <w:b/>
          <w:bCs/>
          <w:noProof/>
          <w:szCs w:val="24"/>
        </w:rPr>
        <w:t>1992</w:t>
      </w:r>
      <w:r w:rsidRPr="009171A1">
        <w:rPr>
          <w:rFonts w:cs="Times"/>
          <w:noProof/>
          <w:szCs w:val="24"/>
        </w:rPr>
        <w:t xml:space="preserve">, </w:t>
      </w:r>
      <w:r w:rsidRPr="009171A1">
        <w:rPr>
          <w:rFonts w:cs="Times"/>
          <w:i/>
          <w:iCs/>
          <w:noProof/>
          <w:szCs w:val="24"/>
        </w:rPr>
        <w:t>8</w:t>
      </w:r>
      <w:r w:rsidRPr="009171A1">
        <w:rPr>
          <w:rFonts w:cs="Times"/>
          <w:noProof/>
          <w:szCs w:val="24"/>
        </w:rPr>
        <w:t>, 1347.</w:t>
      </w:r>
    </w:p>
    <w:p w14:paraId="2B5F176D"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[2]</w:t>
      </w:r>
      <w:r w:rsidRPr="009171A1">
        <w:rPr>
          <w:rFonts w:cs="Times"/>
          <w:noProof/>
          <w:szCs w:val="24"/>
        </w:rPr>
        <w:tab/>
        <w:t xml:space="preserve">Y.-J. Yong, J.-Y. Lee, </w:t>
      </w:r>
      <w:r w:rsidRPr="009171A1">
        <w:rPr>
          <w:rFonts w:cs="Times"/>
          <w:i/>
          <w:iCs/>
          <w:noProof/>
          <w:szCs w:val="24"/>
        </w:rPr>
        <w:t>J. Vac. Sci. Technol. A Vacuum, Surfaces, Film.</w:t>
      </w:r>
      <w:r w:rsidRPr="009171A1">
        <w:rPr>
          <w:rFonts w:cs="Times"/>
          <w:noProof/>
          <w:szCs w:val="24"/>
        </w:rPr>
        <w:t xml:space="preserve"> </w:t>
      </w:r>
      <w:r w:rsidRPr="009171A1">
        <w:rPr>
          <w:rFonts w:cs="Times"/>
          <w:b/>
          <w:bCs/>
          <w:noProof/>
          <w:szCs w:val="24"/>
        </w:rPr>
        <w:t>1997</w:t>
      </w:r>
      <w:r w:rsidRPr="009171A1">
        <w:rPr>
          <w:rFonts w:cs="Times"/>
          <w:noProof/>
          <w:szCs w:val="24"/>
        </w:rPr>
        <w:t xml:space="preserve">, </w:t>
      </w:r>
      <w:r w:rsidRPr="009171A1">
        <w:rPr>
          <w:rFonts w:cs="Times"/>
          <w:i/>
          <w:iCs/>
          <w:noProof/>
          <w:szCs w:val="24"/>
        </w:rPr>
        <w:t>15</w:t>
      </w:r>
      <w:r w:rsidRPr="009171A1">
        <w:rPr>
          <w:rFonts w:cs="Times"/>
          <w:noProof/>
          <w:szCs w:val="24"/>
        </w:rPr>
        <w:t>, 390.</w:t>
      </w:r>
    </w:p>
    <w:p w14:paraId="7A1279A6"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[3]</w:t>
      </w:r>
      <w:r w:rsidRPr="009171A1">
        <w:rPr>
          <w:rFonts w:cs="Times"/>
          <w:noProof/>
          <w:szCs w:val="24"/>
        </w:rPr>
        <w:tab/>
        <w:t xml:space="preserve">P. Juliet, K. Koski, J. Holsa, </w:t>
      </w:r>
      <w:r w:rsidRPr="009171A1">
        <w:rPr>
          <w:rFonts w:cs="Times"/>
          <w:i/>
          <w:iCs/>
          <w:noProof/>
          <w:szCs w:val="24"/>
        </w:rPr>
        <w:t>Thin Solid Films</w:t>
      </w:r>
      <w:r w:rsidRPr="009171A1">
        <w:rPr>
          <w:rFonts w:cs="Times"/>
          <w:noProof/>
          <w:szCs w:val="24"/>
        </w:rPr>
        <w:t xml:space="preserve"> </w:t>
      </w:r>
      <w:r w:rsidRPr="009171A1">
        <w:rPr>
          <w:rFonts w:cs="Times"/>
          <w:b/>
          <w:bCs/>
          <w:noProof/>
          <w:szCs w:val="24"/>
        </w:rPr>
        <w:t>1999</w:t>
      </w:r>
      <w:r w:rsidRPr="009171A1">
        <w:rPr>
          <w:rFonts w:cs="Times"/>
          <w:noProof/>
          <w:szCs w:val="24"/>
        </w:rPr>
        <w:t xml:space="preserve">, </w:t>
      </w:r>
      <w:r w:rsidRPr="009171A1">
        <w:rPr>
          <w:rFonts w:cs="Times"/>
          <w:i/>
          <w:iCs/>
          <w:noProof/>
          <w:szCs w:val="24"/>
        </w:rPr>
        <w:t>339</w:t>
      </w:r>
      <w:r w:rsidRPr="009171A1">
        <w:rPr>
          <w:rFonts w:cs="Times"/>
          <w:noProof/>
          <w:szCs w:val="24"/>
        </w:rPr>
        <w:t>, 240.</w:t>
      </w:r>
    </w:p>
    <w:p w14:paraId="31D1D954"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[4]</w:t>
      </w:r>
      <w:r w:rsidRPr="009171A1">
        <w:rPr>
          <w:rFonts w:cs="Times"/>
          <w:noProof/>
          <w:szCs w:val="24"/>
        </w:rPr>
        <w:tab/>
        <w:t xml:space="preserve">H. Fujiwara, </w:t>
      </w:r>
      <w:r w:rsidRPr="009171A1">
        <w:rPr>
          <w:rFonts w:cs="Times"/>
          <w:i/>
          <w:iCs/>
          <w:noProof/>
          <w:szCs w:val="24"/>
        </w:rPr>
        <w:t>Spectroscopic Ellipsometry Principles and Applications</w:t>
      </w:r>
      <w:r w:rsidRPr="009171A1">
        <w:rPr>
          <w:rFonts w:cs="Times"/>
          <w:noProof/>
          <w:szCs w:val="24"/>
        </w:rPr>
        <w:t xml:space="preserve">, </w:t>
      </w:r>
      <w:r w:rsidRPr="009171A1">
        <w:rPr>
          <w:rFonts w:cs="Times"/>
          <w:b/>
          <w:bCs/>
          <w:noProof/>
          <w:szCs w:val="24"/>
        </w:rPr>
        <w:t>2007</w:t>
      </w:r>
      <w:r w:rsidRPr="009171A1">
        <w:rPr>
          <w:rFonts w:cs="Times"/>
          <w:noProof/>
          <w:szCs w:val="24"/>
        </w:rPr>
        <w:t>.</w:t>
      </w:r>
    </w:p>
    <w:p w14:paraId="5A8B4774"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[5]</w:t>
      </w:r>
      <w:r w:rsidRPr="009171A1">
        <w:rPr>
          <w:rFonts w:cs="Times"/>
          <w:noProof/>
          <w:szCs w:val="24"/>
        </w:rPr>
        <w:tab/>
        <w:t xml:space="preserve">D. Magnfält, E. Melander, R. D. Boyd, V. Kapaklis, K. Sarakinos, </w:t>
      </w:r>
      <w:r w:rsidRPr="009171A1">
        <w:rPr>
          <w:rFonts w:cs="Times"/>
          <w:i/>
          <w:iCs/>
          <w:noProof/>
          <w:szCs w:val="24"/>
        </w:rPr>
        <w:t>J. Appl. Phys.</w:t>
      </w:r>
      <w:r w:rsidRPr="009171A1">
        <w:rPr>
          <w:rFonts w:cs="Times"/>
          <w:noProof/>
          <w:szCs w:val="24"/>
        </w:rPr>
        <w:t xml:space="preserve"> </w:t>
      </w:r>
      <w:r w:rsidRPr="009171A1">
        <w:rPr>
          <w:rFonts w:cs="Times"/>
          <w:b/>
          <w:bCs/>
          <w:noProof/>
          <w:szCs w:val="24"/>
        </w:rPr>
        <w:t>2017</w:t>
      </w:r>
      <w:r w:rsidRPr="009171A1">
        <w:rPr>
          <w:rFonts w:cs="Times"/>
          <w:noProof/>
          <w:szCs w:val="24"/>
        </w:rPr>
        <w:t xml:space="preserve">, </w:t>
      </w:r>
      <w:r w:rsidRPr="009171A1">
        <w:rPr>
          <w:rFonts w:cs="Times"/>
          <w:i/>
          <w:iCs/>
          <w:noProof/>
          <w:szCs w:val="24"/>
        </w:rPr>
        <w:t>121</w:t>
      </w:r>
      <w:r w:rsidRPr="009171A1">
        <w:rPr>
          <w:rFonts w:cs="Times"/>
          <w:noProof/>
          <w:szCs w:val="24"/>
        </w:rPr>
        <w:t>, DOI: 10.1063/1.4979139.</w:t>
      </w:r>
    </w:p>
    <w:p w14:paraId="2C41021C"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[6]</w:t>
      </w:r>
      <w:r w:rsidRPr="009171A1">
        <w:rPr>
          <w:rFonts w:cs="Times"/>
          <w:noProof/>
          <w:szCs w:val="24"/>
        </w:rPr>
        <w:tab/>
        <w:t xml:space="preserve">B. Gao, M. J. Rozin, A. R. Tao, </w:t>
      </w:r>
      <w:r w:rsidRPr="009171A1">
        <w:rPr>
          <w:rFonts w:cs="Times"/>
          <w:i/>
          <w:iCs/>
          <w:noProof/>
          <w:szCs w:val="24"/>
        </w:rPr>
        <w:t>Nanoscale</w:t>
      </w:r>
      <w:r w:rsidRPr="009171A1">
        <w:rPr>
          <w:rFonts w:cs="Times"/>
          <w:noProof/>
          <w:szCs w:val="24"/>
        </w:rPr>
        <w:t xml:space="preserve"> </w:t>
      </w:r>
      <w:r w:rsidRPr="009171A1">
        <w:rPr>
          <w:rFonts w:cs="Times"/>
          <w:b/>
          <w:bCs/>
          <w:noProof/>
          <w:szCs w:val="24"/>
        </w:rPr>
        <w:t>2013</w:t>
      </w:r>
      <w:r w:rsidRPr="009171A1">
        <w:rPr>
          <w:rFonts w:cs="Times"/>
          <w:noProof/>
          <w:szCs w:val="24"/>
        </w:rPr>
        <w:t xml:space="preserve">, </w:t>
      </w:r>
      <w:r w:rsidRPr="009171A1">
        <w:rPr>
          <w:rFonts w:cs="Times"/>
          <w:i/>
          <w:iCs/>
          <w:noProof/>
          <w:szCs w:val="24"/>
        </w:rPr>
        <w:t>5</w:t>
      </w:r>
      <w:r w:rsidRPr="009171A1">
        <w:rPr>
          <w:rFonts w:cs="Times"/>
          <w:noProof/>
          <w:szCs w:val="24"/>
        </w:rPr>
        <w:t>, 5677.</w:t>
      </w:r>
    </w:p>
    <w:p w14:paraId="54FAC543"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[7]</w:t>
      </w:r>
      <w:r w:rsidRPr="009171A1">
        <w:rPr>
          <w:rFonts w:cs="Times"/>
          <w:noProof/>
          <w:szCs w:val="24"/>
        </w:rPr>
        <w:tab/>
        <w:t xml:space="preserve">G. A. Niklasson, C. G. Granqvist, O. Hunderi, </w:t>
      </w:r>
      <w:r w:rsidRPr="009171A1">
        <w:rPr>
          <w:rFonts w:cs="Times"/>
          <w:i/>
          <w:iCs/>
          <w:noProof/>
          <w:szCs w:val="24"/>
        </w:rPr>
        <w:t>Appl. Opt.</w:t>
      </w:r>
      <w:r w:rsidRPr="009171A1">
        <w:rPr>
          <w:rFonts w:cs="Times"/>
          <w:noProof/>
          <w:szCs w:val="24"/>
        </w:rPr>
        <w:t xml:space="preserve"> </w:t>
      </w:r>
      <w:r w:rsidRPr="009171A1">
        <w:rPr>
          <w:rFonts w:cs="Times"/>
          <w:b/>
          <w:bCs/>
          <w:noProof/>
          <w:szCs w:val="24"/>
        </w:rPr>
        <w:t>1981</w:t>
      </w:r>
      <w:r w:rsidRPr="009171A1">
        <w:rPr>
          <w:rFonts w:cs="Times"/>
          <w:noProof/>
          <w:szCs w:val="24"/>
        </w:rPr>
        <w:t xml:space="preserve">, </w:t>
      </w:r>
      <w:r w:rsidRPr="009171A1">
        <w:rPr>
          <w:rFonts w:cs="Times"/>
          <w:i/>
          <w:iCs/>
          <w:noProof/>
          <w:szCs w:val="24"/>
        </w:rPr>
        <w:t>20</w:t>
      </w:r>
      <w:r w:rsidRPr="009171A1">
        <w:rPr>
          <w:rFonts w:cs="Times"/>
          <w:noProof/>
          <w:szCs w:val="24"/>
        </w:rPr>
        <w:t>, 26.</w:t>
      </w:r>
    </w:p>
    <w:p w14:paraId="336E740E"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[8]</w:t>
      </w:r>
      <w:r w:rsidRPr="009171A1">
        <w:rPr>
          <w:rFonts w:cs="Times"/>
          <w:noProof/>
          <w:szCs w:val="24"/>
        </w:rPr>
        <w:tab/>
        <w:t xml:space="preserve">J. Szcyrbrowski, K. Schmalzbauer, H. Hoffmann, </w:t>
      </w:r>
      <w:r w:rsidRPr="009171A1">
        <w:rPr>
          <w:rFonts w:cs="Times"/>
          <w:i/>
          <w:iCs/>
          <w:noProof/>
          <w:szCs w:val="24"/>
        </w:rPr>
        <w:t>Thin Solid Films</w:t>
      </w:r>
      <w:r w:rsidRPr="009171A1">
        <w:rPr>
          <w:rFonts w:cs="Times"/>
          <w:noProof/>
          <w:szCs w:val="24"/>
        </w:rPr>
        <w:t xml:space="preserve"> </w:t>
      </w:r>
      <w:r w:rsidRPr="009171A1">
        <w:rPr>
          <w:rFonts w:cs="Times"/>
          <w:b/>
          <w:bCs/>
          <w:noProof/>
          <w:szCs w:val="24"/>
        </w:rPr>
        <w:t>1985</w:t>
      </w:r>
      <w:r w:rsidRPr="009171A1">
        <w:rPr>
          <w:rFonts w:cs="Times"/>
          <w:noProof/>
          <w:szCs w:val="24"/>
        </w:rPr>
        <w:t xml:space="preserve">, </w:t>
      </w:r>
      <w:r w:rsidRPr="009171A1">
        <w:rPr>
          <w:rFonts w:cs="Times"/>
          <w:i/>
          <w:iCs/>
          <w:noProof/>
          <w:szCs w:val="24"/>
        </w:rPr>
        <w:t>130</w:t>
      </w:r>
      <w:r w:rsidRPr="009171A1">
        <w:rPr>
          <w:rFonts w:cs="Times"/>
          <w:noProof/>
          <w:szCs w:val="24"/>
        </w:rPr>
        <w:t>, 57.</w:t>
      </w:r>
    </w:p>
    <w:p w14:paraId="2F671953"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[9]</w:t>
      </w:r>
      <w:r w:rsidRPr="009171A1">
        <w:rPr>
          <w:rFonts w:cs="Times"/>
          <w:noProof/>
          <w:szCs w:val="24"/>
        </w:rPr>
        <w:tab/>
        <w:t xml:space="preserve">J. I. Gittleman, B. Abeles, </w:t>
      </w:r>
      <w:r w:rsidRPr="009171A1">
        <w:rPr>
          <w:rFonts w:cs="Times"/>
          <w:i/>
          <w:iCs/>
          <w:noProof/>
          <w:szCs w:val="24"/>
        </w:rPr>
        <w:t>Phys. Rev. B</w:t>
      </w:r>
      <w:r w:rsidRPr="009171A1">
        <w:rPr>
          <w:rFonts w:cs="Times"/>
          <w:noProof/>
          <w:szCs w:val="24"/>
        </w:rPr>
        <w:t xml:space="preserve"> </w:t>
      </w:r>
      <w:r w:rsidRPr="009171A1">
        <w:rPr>
          <w:rFonts w:cs="Times"/>
          <w:b/>
          <w:bCs/>
          <w:noProof/>
          <w:szCs w:val="24"/>
        </w:rPr>
        <w:t>1977</w:t>
      </w:r>
      <w:r w:rsidRPr="009171A1">
        <w:rPr>
          <w:rFonts w:cs="Times"/>
          <w:noProof/>
          <w:szCs w:val="24"/>
        </w:rPr>
        <w:t xml:space="preserve">, </w:t>
      </w:r>
      <w:r w:rsidRPr="009171A1">
        <w:rPr>
          <w:rFonts w:cs="Times"/>
          <w:i/>
          <w:iCs/>
          <w:noProof/>
          <w:szCs w:val="24"/>
        </w:rPr>
        <w:t>15</w:t>
      </w:r>
      <w:r w:rsidRPr="009171A1">
        <w:rPr>
          <w:rFonts w:cs="Times"/>
          <w:noProof/>
          <w:szCs w:val="24"/>
        </w:rPr>
        <w:t>, 3273.</w:t>
      </w:r>
    </w:p>
    <w:p w14:paraId="21434FA2"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[10]</w:t>
      </w:r>
      <w:r w:rsidRPr="009171A1">
        <w:rPr>
          <w:rFonts w:cs="Times"/>
          <w:noProof/>
          <w:szCs w:val="24"/>
        </w:rPr>
        <w:tab/>
        <w:t xml:space="preserve">B. von Blanckenhagen, D. Tonova, </w:t>
      </w:r>
      <w:r w:rsidRPr="009171A1">
        <w:rPr>
          <w:rFonts w:cs="Times"/>
          <w:i/>
          <w:iCs/>
          <w:noProof/>
          <w:szCs w:val="24"/>
        </w:rPr>
        <w:t>Proc. SPIE</w:t>
      </w:r>
      <w:r w:rsidRPr="009171A1">
        <w:rPr>
          <w:rFonts w:cs="Times"/>
          <w:noProof/>
          <w:szCs w:val="24"/>
        </w:rPr>
        <w:t xml:space="preserve"> </w:t>
      </w:r>
      <w:r w:rsidRPr="009171A1">
        <w:rPr>
          <w:rFonts w:cs="Times"/>
          <w:b/>
          <w:bCs/>
          <w:noProof/>
          <w:szCs w:val="24"/>
        </w:rPr>
        <w:t>2005</w:t>
      </w:r>
      <w:r w:rsidRPr="009171A1">
        <w:rPr>
          <w:rFonts w:cs="Times"/>
          <w:noProof/>
          <w:szCs w:val="24"/>
        </w:rPr>
        <w:t xml:space="preserve">, </w:t>
      </w:r>
      <w:r w:rsidRPr="009171A1">
        <w:rPr>
          <w:rFonts w:cs="Times"/>
          <w:i/>
          <w:iCs/>
          <w:noProof/>
          <w:szCs w:val="24"/>
        </w:rPr>
        <w:t>5963</w:t>
      </w:r>
      <w:r w:rsidRPr="009171A1">
        <w:rPr>
          <w:rFonts w:cs="Times"/>
          <w:noProof/>
          <w:szCs w:val="24"/>
        </w:rPr>
        <w:t>, 596317.</w:t>
      </w:r>
    </w:p>
    <w:p w14:paraId="2E52C275"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[11]</w:t>
      </w:r>
      <w:r w:rsidRPr="009171A1">
        <w:rPr>
          <w:rFonts w:cs="Times"/>
          <w:noProof/>
          <w:szCs w:val="24"/>
        </w:rPr>
        <w:tab/>
        <w:t xml:space="preserve">Z. Wang, Q. Chen, X. Cai, </w:t>
      </w:r>
      <w:r w:rsidRPr="009171A1">
        <w:rPr>
          <w:rFonts w:cs="Times"/>
          <w:i/>
          <w:iCs/>
          <w:noProof/>
          <w:szCs w:val="24"/>
        </w:rPr>
        <w:t>Appl. Surf. Sci.</w:t>
      </w:r>
      <w:r w:rsidRPr="009171A1">
        <w:rPr>
          <w:rFonts w:cs="Times"/>
          <w:noProof/>
          <w:szCs w:val="24"/>
        </w:rPr>
        <w:t xml:space="preserve"> </w:t>
      </w:r>
      <w:r w:rsidRPr="009171A1">
        <w:rPr>
          <w:rFonts w:cs="Times"/>
          <w:b/>
          <w:bCs/>
          <w:noProof/>
          <w:szCs w:val="24"/>
        </w:rPr>
        <w:t>2005</w:t>
      </w:r>
      <w:r w:rsidRPr="009171A1">
        <w:rPr>
          <w:rFonts w:cs="Times"/>
          <w:noProof/>
          <w:szCs w:val="24"/>
        </w:rPr>
        <w:t xml:space="preserve">, </w:t>
      </w:r>
      <w:r w:rsidRPr="009171A1">
        <w:rPr>
          <w:rFonts w:cs="Times"/>
          <w:i/>
          <w:iCs/>
          <w:noProof/>
          <w:szCs w:val="24"/>
        </w:rPr>
        <w:t>239</w:t>
      </w:r>
      <w:r w:rsidRPr="009171A1">
        <w:rPr>
          <w:rFonts w:cs="Times"/>
          <w:noProof/>
          <w:szCs w:val="24"/>
        </w:rPr>
        <w:t>, 262.</w:t>
      </w:r>
    </w:p>
    <w:p w14:paraId="37FADCB8"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[12]</w:t>
      </w:r>
      <w:r w:rsidRPr="009171A1">
        <w:rPr>
          <w:rFonts w:cs="Times"/>
          <w:noProof/>
          <w:szCs w:val="24"/>
        </w:rPr>
        <w:tab/>
        <w:t xml:space="preserve">K. Chiba, S. Kaminishi, </w:t>
      </w:r>
      <w:r w:rsidRPr="009171A1">
        <w:rPr>
          <w:rFonts w:cs="Times"/>
          <w:i/>
          <w:iCs/>
          <w:noProof/>
          <w:szCs w:val="24"/>
        </w:rPr>
        <w:t>Jpn. J. Appl. Phys.</w:t>
      </w:r>
      <w:r w:rsidRPr="009171A1">
        <w:rPr>
          <w:rFonts w:cs="Times"/>
          <w:noProof/>
          <w:szCs w:val="24"/>
        </w:rPr>
        <w:t xml:space="preserve"> </w:t>
      </w:r>
      <w:r w:rsidRPr="009171A1">
        <w:rPr>
          <w:rFonts w:cs="Times"/>
          <w:b/>
          <w:bCs/>
          <w:noProof/>
          <w:szCs w:val="24"/>
        </w:rPr>
        <w:t>2008</w:t>
      </w:r>
      <w:r w:rsidRPr="009171A1">
        <w:rPr>
          <w:rFonts w:cs="Times"/>
          <w:noProof/>
          <w:szCs w:val="24"/>
        </w:rPr>
        <w:t xml:space="preserve">, </w:t>
      </w:r>
      <w:r w:rsidRPr="009171A1">
        <w:rPr>
          <w:rFonts w:cs="Times"/>
          <w:i/>
          <w:iCs/>
          <w:noProof/>
          <w:szCs w:val="24"/>
        </w:rPr>
        <w:t>47</w:t>
      </w:r>
      <w:r w:rsidRPr="009171A1">
        <w:rPr>
          <w:rFonts w:cs="Times"/>
          <w:noProof/>
          <w:szCs w:val="24"/>
        </w:rPr>
        <w:t>, 240.</w:t>
      </w:r>
    </w:p>
    <w:p w14:paraId="2DF24CFF" w14:textId="77777777" w:rsidR="009171A1" w:rsidRPr="009171A1" w:rsidRDefault="009171A1" w:rsidP="009171A1">
      <w:pPr>
        <w:widowControl w:val="0"/>
        <w:autoSpaceDE w:val="0"/>
        <w:autoSpaceDN w:val="0"/>
        <w:adjustRightInd w:val="0"/>
        <w:ind w:left="640" w:hanging="640"/>
        <w:rPr>
          <w:rFonts w:cs="Times"/>
          <w:noProof/>
          <w:szCs w:val="24"/>
        </w:rPr>
      </w:pPr>
      <w:r w:rsidRPr="009171A1">
        <w:rPr>
          <w:rFonts w:cs="Times"/>
          <w:noProof/>
          <w:szCs w:val="24"/>
        </w:rPr>
        <w:t>[13]</w:t>
      </w:r>
      <w:r w:rsidRPr="009171A1">
        <w:rPr>
          <w:rFonts w:cs="Times"/>
          <w:noProof/>
          <w:szCs w:val="24"/>
        </w:rPr>
        <w:tab/>
        <w:t xml:space="preserve">K. Chiba, K. Suzuki, </w:t>
      </w:r>
      <w:r w:rsidRPr="009171A1">
        <w:rPr>
          <w:rFonts w:cs="Times"/>
          <w:i/>
          <w:iCs/>
          <w:noProof/>
          <w:szCs w:val="24"/>
        </w:rPr>
        <w:t>Sol. Energy Mater. Sol. Cells</w:t>
      </w:r>
      <w:r w:rsidRPr="009171A1">
        <w:rPr>
          <w:rFonts w:cs="Times"/>
          <w:noProof/>
          <w:szCs w:val="24"/>
        </w:rPr>
        <w:t xml:space="preserve"> </w:t>
      </w:r>
      <w:r w:rsidRPr="009171A1">
        <w:rPr>
          <w:rFonts w:cs="Times"/>
          <w:b/>
          <w:bCs/>
          <w:noProof/>
          <w:szCs w:val="24"/>
        </w:rPr>
        <w:t>1992</w:t>
      </w:r>
      <w:r w:rsidRPr="009171A1">
        <w:rPr>
          <w:rFonts w:cs="Times"/>
          <w:noProof/>
          <w:szCs w:val="24"/>
        </w:rPr>
        <w:t xml:space="preserve">, </w:t>
      </w:r>
      <w:r w:rsidRPr="009171A1">
        <w:rPr>
          <w:rFonts w:cs="Times"/>
          <w:i/>
          <w:iCs/>
          <w:noProof/>
          <w:szCs w:val="24"/>
        </w:rPr>
        <w:t>25</w:t>
      </w:r>
      <w:r w:rsidRPr="009171A1">
        <w:rPr>
          <w:rFonts w:cs="Times"/>
          <w:noProof/>
          <w:szCs w:val="24"/>
        </w:rPr>
        <w:t>, 113.</w:t>
      </w:r>
    </w:p>
    <w:p w14:paraId="4380976C" w14:textId="77777777" w:rsidR="009171A1" w:rsidRPr="009171A1" w:rsidRDefault="009171A1" w:rsidP="009171A1">
      <w:pPr>
        <w:widowControl w:val="0"/>
        <w:autoSpaceDE w:val="0"/>
        <w:autoSpaceDN w:val="0"/>
        <w:adjustRightInd w:val="0"/>
        <w:ind w:left="640" w:hanging="640"/>
        <w:rPr>
          <w:rFonts w:cs="Times"/>
          <w:noProof/>
        </w:rPr>
      </w:pPr>
      <w:r w:rsidRPr="009171A1">
        <w:rPr>
          <w:rFonts w:cs="Times"/>
          <w:noProof/>
          <w:szCs w:val="24"/>
        </w:rPr>
        <w:t>[14]</w:t>
      </w:r>
      <w:r w:rsidRPr="009171A1">
        <w:rPr>
          <w:rFonts w:cs="Times"/>
          <w:noProof/>
          <w:szCs w:val="24"/>
        </w:rPr>
        <w:tab/>
        <w:t xml:space="preserve">M. E. A. Warwick, R. Binions, </w:t>
      </w:r>
      <w:r w:rsidRPr="009171A1">
        <w:rPr>
          <w:rFonts w:cs="Times"/>
          <w:i/>
          <w:iCs/>
          <w:noProof/>
          <w:szCs w:val="24"/>
        </w:rPr>
        <w:t>J. Mater. Chem. A</w:t>
      </w:r>
      <w:r w:rsidRPr="009171A1">
        <w:rPr>
          <w:rFonts w:cs="Times"/>
          <w:noProof/>
          <w:szCs w:val="24"/>
        </w:rPr>
        <w:t xml:space="preserve"> </w:t>
      </w:r>
      <w:r w:rsidRPr="009171A1">
        <w:rPr>
          <w:rFonts w:cs="Times"/>
          <w:b/>
          <w:bCs/>
          <w:noProof/>
          <w:szCs w:val="24"/>
        </w:rPr>
        <w:t>2014</w:t>
      </w:r>
      <w:r w:rsidRPr="009171A1">
        <w:rPr>
          <w:rFonts w:cs="Times"/>
          <w:noProof/>
          <w:szCs w:val="24"/>
        </w:rPr>
        <w:t xml:space="preserve">, </w:t>
      </w:r>
      <w:r w:rsidRPr="009171A1">
        <w:rPr>
          <w:rFonts w:cs="Times"/>
          <w:i/>
          <w:iCs/>
          <w:noProof/>
          <w:szCs w:val="24"/>
        </w:rPr>
        <w:t>2</w:t>
      </w:r>
      <w:r w:rsidRPr="009171A1">
        <w:rPr>
          <w:rFonts w:cs="Times"/>
          <w:noProof/>
          <w:szCs w:val="24"/>
        </w:rPr>
        <w:t>, 3275.</w:t>
      </w:r>
    </w:p>
    <w:p w14:paraId="1F6B1F61" w14:textId="5AEDCF63" w:rsidR="000E1836" w:rsidRPr="009171A1" w:rsidRDefault="009171A1" w:rsidP="000802ED">
      <w:pPr>
        <w:rPr>
          <w:szCs w:val="24"/>
        </w:rPr>
      </w:pPr>
      <w:r>
        <w:rPr>
          <w:szCs w:val="24"/>
        </w:rPr>
        <w:fldChar w:fldCharType="end"/>
      </w:r>
    </w:p>
    <w:sectPr w:rsidR="000E1836" w:rsidRPr="009171A1" w:rsidSect="000E1836">
      <w:footerReference w:type="even" r:id="rId15"/>
      <w:footerReference w:type="default" r:id="rId16"/>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F6120" w14:textId="77777777" w:rsidR="00752F75" w:rsidRDefault="00752F75">
      <w:pPr>
        <w:spacing w:after="0"/>
      </w:pPr>
      <w:r>
        <w:separator/>
      </w:r>
    </w:p>
  </w:endnote>
  <w:endnote w:type="continuationSeparator" w:id="0">
    <w:p w14:paraId="374DA3D2" w14:textId="77777777" w:rsidR="00752F75" w:rsidRDefault="00752F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34205" w14:textId="77777777" w:rsidR="004358D5" w:rsidRDefault="004358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DD869EB" w14:textId="77777777" w:rsidR="004358D5" w:rsidRDefault="004358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72C65" w14:textId="77777777" w:rsidR="004358D5" w:rsidRDefault="004358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673EE559" w14:textId="77777777" w:rsidR="004358D5" w:rsidRDefault="004358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EF6E2" w14:textId="77777777" w:rsidR="00752F75" w:rsidRDefault="00752F75">
      <w:pPr>
        <w:spacing w:after="0"/>
      </w:pPr>
      <w:r>
        <w:separator/>
      </w:r>
    </w:p>
  </w:footnote>
  <w:footnote w:type="continuationSeparator" w:id="0">
    <w:p w14:paraId="1EE0C623" w14:textId="77777777" w:rsidR="00752F75" w:rsidRDefault="00752F7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41DB"/>
    <w:multiLevelType w:val="hybridMultilevel"/>
    <w:tmpl w:val="61624024"/>
    <w:lvl w:ilvl="0" w:tplc="2750B288">
      <w:start w:val="1"/>
      <w:numFmt w:val="decimal"/>
      <w:lvlText w:val="%1."/>
      <w:lvlJc w:val="left"/>
      <w:pPr>
        <w:ind w:left="720" w:hanging="360"/>
      </w:pPr>
    </w:lvl>
    <w:lvl w:ilvl="1" w:tplc="A2981CC8">
      <w:start w:val="1"/>
      <w:numFmt w:val="lowerLetter"/>
      <w:lvlText w:val="%2."/>
      <w:lvlJc w:val="left"/>
      <w:pPr>
        <w:ind w:left="1440" w:hanging="360"/>
      </w:pPr>
    </w:lvl>
    <w:lvl w:ilvl="2" w:tplc="6C846B12">
      <w:start w:val="1"/>
      <w:numFmt w:val="lowerRoman"/>
      <w:lvlText w:val="%3."/>
      <w:lvlJc w:val="right"/>
      <w:pPr>
        <w:ind w:left="2160" w:hanging="180"/>
      </w:pPr>
    </w:lvl>
    <w:lvl w:ilvl="3" w:tplc="23888074">
      <w:start w:val="1"/>
      <w:numFmt w:val="decimal"/>
      <w:lvlText w:val="%4."/>
      <w:lvlJc w:val="left"/>
      <w:pPr>
        <w:ind w:left="2880" w:hanging="360"/>
      </w:pPr>
    </w:lvl>
    <w:lvl w:ilvl="4" w:tplc="61B0F374">
      <w:start w:val="1"/>
      <w:numFmt w:val="lowerLetter"/>
      <w:lvlText w:val="%5."/>
      <w:lvlJc w:val="left"/>
      <w:pPr>
        <w:ind w:left="3600" w:hanging="360"/>
      </w:pPr>
    </w:lvl>
    <w:lvl w:ilvl="5" w:tplc="3982AD7E">
      <w:start w:val="1"/>
      <w:numFmt w:val="lowerRoman"/>
      <w:lvlText w:val="%6."/>
      <w:lvlJc w:val="right"/>
      <w:pPr>
        <w:ind w:left="4320" w:hanging="180"/>
      </w:pPr>
    </w:lvl>
    <w:lvl w:ilvl="6" w:tplc="3CA4D45C">
      <w:start w:val="1"/>
      <w:numFmt w:val="decimal"/>
      <w:lvlText w:val="%7."/>
      <w:lvlJc w:val="left"/>
      <w:pPr>
        <w:ind w:left="5040" w:hanging="360"/>
      </w:pPr>
    </w:lvl>
    <w:lvl w:ilvl="7" w:tplc="59D823EC">
      <w:start w:val="1"/>
      <w:numFmt w:val="lowerLetter"/>
      <w:lvlText w:val="%8."/>
      <w:lvlJc w:val="left"/>
      <w:pPr>
        <w:ind w:left="5760" w:hanging="360"/>
      </w:pPr>
    </w:lvl>
    <w:lvl w:ilvl="8" w:tplc="5692730C">
      <w:start w:val="1"/>
      <w:numFmt w:val="lowerRoman"/>
      <w:lvlText w:val="%9."/>
      <w:lvlJc w:val="right"/>
      <w:pPr>
        <w:ind w:left="6480" w:hanging="180"/>
      </w:pPr>
    </w:lvl>
  </w:abstractNum>
  <w:abstractNum w:abstractNumId="1" w15:restartNumberingAfterBreak="0">
    <w:nsid w:val="0765551F"/>
    <w:multiLevelType w:val="hybridMultilevel"/>
    <w:tmpl w:val="B81A30F0"/>
    <w:lvl w:ilvl="0" w:tplc="1009000F">
      <w:start w:val="1"/>
      <w:numFmt w:val="decimal"/>
      <w:lvlText w:val="%1."/>
      <w:lvlJc w:val="left"/>
      <w:pPr>
        <w:ind w:left="720" w:hanging="360"/>
      </w:pPr>
      <w:rPr>
        <w:rFonts w:ascii="Times New Roman" w:hAnsi="Times New Roman"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ECE22CB"/>
    <w:multiLevelType w:val="hybridMultilevel"/>
    <w:tmpl w:val="396AE2B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11750C3"/>
    <w:multiLevelType w:val="hybridMultilevel"/>
    <w:tmpl w:val="433EFBE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43E5E"/>
    <w:multiLevelType w:val="hybridMultilevel"/>
    <w:tmpl w:val="D6921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20846"/>
    <w:multiLevelType w:val="hybridMultilevel"/>
    <w:tmpl w:val="49DAA172"/>
    <w:lvl w:ilvl="0" w:tplc="3AC894F0">
      <w:start w:val="1"/>
      <w:numFmt w:val="bullet"/>
      <w:lvlText w:val="-"/>
      <w:lvlJc w:val="left"/>
      <w:pPr>
        <w:ind w:left="1080" w:hanging="360"/>
      </w:pPr>
      <w:rPr>
        <w:rFonts w:ascii="Times" w:eastAsia="SimSun" w:hAnsi="Times" w:cs="Time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1CBB630E"/>
    <w:multiLevelType w:val="hybridMultilevel"/>
    <w:tmpl w:val="9774AE8A"/>
    <w:lvl w:ilvl="0" w:tplc="878C904A">
      <w:start w:val="1"/>
      <w:numFmt w:val="bullet"/>
      <w:lvlText w:val=""/>
      <w:lvlJc w:val="left"/>
      <w:pPr>
        <w:ind w:left="720" w:hanging="360"/>
      </w:pPr>
      <w:rPr>
        <w:rFonts w:ascii="Symbol" w:hAnsi="Symbol" w:hint="default"/>
      </w:rPr>
    </w:lvl>
    <w:lvl w:ilvl="1" w:tplc="0D526E00">
      <w:start w:val="1"/>
      <w:numFmt w:val="bullet"/>
      <w:lvlText w:val="o"/>
      <w:lvlJc w:val="left"/>
      <w:pPr>
        <w:ind w:left="1440" w:hanging="360"/>
      </w:pPr>
      <w:rPr>
        <w:rFonts w:ascii="Courier New" w:hAnsi="Courier New" w:hint="default"/>
      </w:rPr>
    </w:lvl>
    <w:lvl w:ilvl="2" w:tplc="75781DCE">
      <w:start w:val="1"/>
      <w:numFmt w:val="bullet"/>
      <w:lvlText w:val=""/>
      <w:lvlJc w:val="left"/>
      <w:pPr>
        <w:ind w:left="2160" w:hanging="360"/>
      </w:pPr>
      <w:rPr>
        <w:rFonts w:ascii="Wingdings" w:hAnsi="Wingdings" w:hint="default"/>
      </w:rPr>
    </w:lvl>
    <w:lvl w:ilvl="3" w:tplc="D7F44E0E">
      <w:start w:val="1"/>
      <w:numFmt w:val="bullet"/>
      <w:lvlText w:val=""/>
      <w:lvlJc w:val="left"/>
      <w:pPr>
        <w:ind w:left="2880" w:hanging="360"/>
      </w:pPr>
      <w:rPr>
        <w:rFonts w:ascii="Symbol" w:hAnsi="Symbol" w:hint="default"/>
      </w:rPr>
    </w:lvl>
    <w:lvl w:ilvl="4" w:tplc="F6804F5C">
      <w:start w:val="1"/>
      <w:numFmt w:val="bullet"/>
      <w:lvlText w:val="o"/>
      <w:lvlJc w:val="left"/>
      <w:pPr>
        <w:ind w:left="3600" w:hanging="360"/>
      </w:pPr>
      <w:rPr>
        <w:rFonts w:ascii="Courier New" w:hAnsi="Courier New" w:hint="default"/>
      </w:rPr>
    </w:lvl>
    <w:lvl w:ilvl="5" w:tplc="0216843C">
      <w:start w:val="1"/>
      <w:numFmt w:val="bullet"/>
      <w:lvlText w:val=""/>
      <w:lvlJc w:val="left"/>
      <w:pPr>
        <w:ind w:left="4320" w:hanging="360"/>
      </w:pPr>
      <w:rPr>
        <w:rFonts w:ascii="Wingdings" w:hAnsi="Wingdings" w:hint="default"/>
      </w:rPr>
    </w:lvl>
    <w:lvl w:ilvl="6" w:tplc="710EBC2E">
      <w:start w:val="1"/>
      <w:numFmt w:val="bullet"/>
      <w:lvlText w:val=""/>
      <w:lvlJc w:val="left"/>
      <w:pPr>
        <w:ind w:left="5040" w:hanging="360"/>
      </w:pPr>
      <w:rPr>
        <w:rFonts w:ascii="Symbol" w:hAnsi="Symbol" w:hint="default"/>
      </w:rPr>
    </w:lvl>
    <w:lvl w:ilvl="7" w:tplc="DC08C20C">
      <w:start w:val="1"/>
      <w:numFmt w:val="bullet"/>
      <w:lvlText w:val="o"/>
      <w:lvlJc w:val="left"/>
      <w:pPr>
        <w:ind w:left="5760" w:hanging="360"/>
      </w:pPr>
      <w:rPr>
        <w:rFonts w:ascii="Courier New" w:hAnsi="Courier New" w:hint="default"/>
      </w:rPr>
    </w:lvl>
    <w:lvl w:ilvl="8" w:tplc="FEF6C988">
      <w:start w:val="1"/>
      <w:numFmt w:val="bullet"/>
      <w:lvlText w:val=""/>
      <w:lvlJc w:val="left"/>
      <w:pPr>
        <w:ind w:left="6480" w:hanging="360"/>
      </w:pPr>
      <w:rPr>
        <w:rFonts w:ascii="Wingdings" w:hAnsi="Wingdings" w:hint="default"/>
      </w:rPr>
    </w:lvl>
  </w:abstractNum>
  <w:abstractNum w:abstractNumId="8" w15:restartNumberingAfterBreak="0">
    <w:nsid w:val="2A8B4800"/>
    <w:multiLevelType w:val="hybridMultilevel"/>
    <w:tmpl w:val="E736C170"/>
    <w:lvl w:ilvl="0" w:tplc="6204C8B8">
      <w:start w:val="1"/>
      <w:numFmt w:val="bullet"/>
      <w:lvlText w:val=""/>
      <w:lvlJc w:val="left"/>
      <w:pPr>
        <w:ind w:left="720" w:hanging="360"/>
      </w:pPr>
      <w:rPr>
        <w:rFonts w:ascii="Symbol" w:hAnsi="Symbol" w:hint="default"/>
      </w:rPr>
    </w:lvl>
    <w:lvl w:ilvl="1" w:tplc="E4065404">
      <w:start w:val="1"/>
      <w:numFmt w:val="bullet"/>
      <w:lvlText w:val="o"/>
      <w:lvlJc w:val="left"/>
      <w:pPr>
        <w:ind w:left="1440" w:hanging="360"/>
      </w:pPr>
      <w:rPr>
        <w:rFonts w:ascii="Courier New" w:hAnsi="Courier New" w:hint="default"/>
      </w:rPr>
    </w:lvl>
    <w:lvl w:ilvl="2" w:tplc="B03EB190">
      <w:start w:val="1"/>
      <w:numFmt w:val="bullet"/>
      <w:lvlText w:val=""/>
      <w:lvlJc w:val="left"/>
      <w:pPr>
        <w:ind w:left="2160" w:hanging="360"/>
      </w:pPr>
      <w:rPr>
        <w:rFonts w:ascii="Wingdings" w:hAnsi="Wingdings" w:hint="default"/>
      </w:rPr>
    </w:lvl>
    <w:lvl w:ilvl="3" w:tplc="86281DFA">
      <w:start w:val="1"/>
      <w:numFmt w:val="bullet"/>
      <w:lvlText w:val=""/>
      <w:lvlJc w:val="left"/>
      <w:pPr>
        <w:ind w:left="2880" w:hanging="360"/>
      </w:pPr>
      <w:rPr>
        <w:rFonts w:ascii="Symbol" w:hAnsi="Symbol" w:hint="default"/>
      </w:rPr>
    </w:lvl>
    <w:lvl w:ilvl="4" w:tplc="5FACC3B8">
      <w:start w:val="1"/>
      <w:numFmt w:val="bullet"/>
      <w:lvlText w:val="o"/>
      <w:lvlJc w:val="left"/>
      <w:pPr>
        <w:ind w:left="3600" w:hanging="360"/>
      </w:pPr>
      <w:rPr>
        <w:rFonts w:ascii="Courier New" w:hAnsi="Courier New" w:hint="default"/>
      </w:rPr>
    </w:lvl>
    <w:lvl w:ilvl="5" w:tplc="085E595A">
      <w:start w:val="1"/>
      <w:numFmt w:val="bullet"/>
      <w:lvlText w:val=""/>
      <w:lvlJc w:val="left"/>
      <w:pPr>
        <w:ind w:left="4320" w:hanging="360"/>
      </w:pPr>
      <w:rPr>
        <w:rFonts w:ascii="Wingdings" w:hAnsi="Wingdings" w:hint="default"/>
      </w:rPr>
    </w:lvl>
    <w:lvl w:ilvl="6" w:tplc="4AE8141C">
      <w:start w:val="1"/>
      <w:numFmt w:val="bullet"/>
      <w:lvlText w:val=""/>
      <w:lvlJc w:val="left"/>
      <w:pPr>
        <w:ind w:left="5040" w:hanging="360"/>
      </w:pPr>
      <w:rPr>
        <w:rFonts w:ascii="Symbol" w:hAnsi="Symbol" w:hint="default"/>
      </w:rPr>
    </w:lvl>
    <w:lvl w:ilvl="7" w:tplc="D730E242">
      <w:start w:val="1"/>
      <w:numFmt w:val="bullet"/>
      <w:lvlText w:val="o"/>
      <w:lvlJc w:val="left"/>
      <w:pPr>
        <w:ind w:left="5760" w:hanging="360"/>
      </w:pPr>
      <w:rPr>
        <w:rFonts w:ascii="Courier New" w:hAnsi="Courier New" w:hint="default"/>
      </w:rPr>
    </w:lvl>
    <w:lvl w:ilvl="8" w:tplc="BF7C9DEE">
      <w:start w:val="1"/>
      <w:numFmt w:val="bullet"/>
      <w:lvlText w:val=""/>
      <w:lvlJc w:val="left"/>
      <w:pPr>
        <w:ind w:left="6480" w:hanging="360"/>
      </w:pPr>
      <w:rPr>
        <w:rFonts w:ascii="Wingdings" w:hAnsi="Wingdings" w:hint="default"/>
      </w:rPr>
    </w:lvl>
  </w:abstractNum>
  <w:abstractNum w:abstractNumId="9"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1016B"/>
    <w:multiLevelType w:val="hybridMultilevel"/>
    <w:tmpl w:val="07B89CE2"/>
    <w:lvl w:ilvl="0" w:tplc="05247CA6">
      <w:start w:val="1"/>
      <w:numFmt w:val="bullet"/>
      <w:lvlText w:val=""/>
      <w:lvlJc w:val="left"/>
      <w:pPr>
        <w:ind w:left="720" w:hanging="360"/>
      </w:pPr>
      <w:rPr>
        <w:rFonts w:ascii="Symbol" w:hAnsi="Symbol" w:hint="default"/>
      </w:rPr>
    </w:lvl>
    <w:lvl w:ilvl="1" w:tplc="61207C64">
      <w:start w:val="1"/>
      <w:numFmt w:val="bullet"/>
      <w:lvlText w:val="o"/>
      <w:lvlJc w:val="left"/>
      <w:pPr>
        <w:ind w:left="1440" w:hanging="360"/>
      </w:pPr>
      <w:rPr>
        <w:rFonts w:ascii="Courier New" w:hAnsi="Courier New" w:hint="default"/>
      </w:rPr>
    </w:lvl>
    <w:lvl w:ilvl="2" w:tplc="704EC34C">
      <w:start w:val="1"/>
      <w:numFmt w:val="bullet"/>
      <w:lvlText w:val=""/>
      <w:lvlJc w:val="left"/>
      <w:pPr>
        <w:ind w:left="2160" w:hanging="360"/>
      </w:pPr>
      <w:rPr>
        <w:rFonts w:ascii="Wingdings" w:hAnsi="Wingdings" w:hint="default"/>
      </w:rPr>
    </w:lvl>
    <w:lvl w:ilvl="3" w:tplc="D83C31AE">
      <w:start w:val="1"/>
      <w:numFmt w:val="bullet"/>
      <w:lvlText w:val=""/>
      <w:lvlJc w:val="left"/>
      <w:pPr>
        <w:ind w:left="2880" w:hanging="360"/>
      </w:pPr>
      <w:rPr>
        <w:rFonts w:ascii="Symbol" w:hAnsi="Symbol" w:hint="default"/>
      </w:rPr>
    </w:lvl>
    <w:lvl w:ilvl="4" w:tplc="4B345B2A">
      <w:start w:val="1"/>
      <w:numFmt w:val="bullet"/>
      <w:lvlText w:val="o"/>
      <w:lvlJc w:val="left"/>
      <w:pPr>
        <w:ind w:left="3600" w:hanging="360"/>
      </w:pPr>
      <w:rPr>
        <w:rFonts w:ascii="Courier New" w:hAnsi="Courier New" w:hint="default"/>
      </w:rPr>
    </w:lvl>
    <w:lvl w:ilvl="5" w:tplc="DE169972">
      <w:start w:val="1"/>
      <w:numFmt w:val="bullet"/>
      <w:lvlText w:val=""/>
      <w:lvlJc w:val="left"/>
      <w:pPr>
        <w:ind w:left="4320" w:hanging="360"/>
      </w:pPr>
      <w:rPr>
        <w:rFonts w:ascii="Wingdings" w:hAnsi="Wingdings" w:hint="default"/>
      </w:rPr>
    </w:lvl>
    <w:lvl w:ilvl="6" w:tplc="2472ABBE">
      <w:start w:val="1"/>
      <w:numFmt w:val="bullet"/>
      <w:lvlText w:val=""/>
      <w:lvlJc w:val="left"/>
      <w:pPr>
        <w:ind w:left="5040" w:hanging="360"/>
      </w:pPr>
      <w:rPr>
        <w:rFonts w:ascii="Symbol" w:hAnsi="Symbol" w:hint="default"/>
      </w:rPr>
    </w:lvl>
    <w:lvl w:ilvl="7" w:tplc="10C6E7E6">
      <w:start w:val="1"/>
      <w:numFmt w:val="bullet"/>
      <w:lvlText w:val="o"/>
      <w:lvlJc w:val="left"/>
      <w:pPr>
        <w:ind w:left="5760" w:hanging="360"/>
      </w:pPr>
      <w:rPr>
        <w:rFonts w:ascii="Courier New" w:hAnsi="Courier New" w:hint="default"/>
      </w:rPr>
    </w:lvl>
    <w:lvl w:ilvl="8" w:tplc="F38E4782">
      <w:start w:val="1"/>
      <w:numFmt w:val="bullet"/>
      <w:lvlText w:val=""/>
      <w:lvlJc w:val="left"/>
      <w:pPr>
        <w:ind w:left="6480" w:hanging="360"/>
      </w:pPr>
      <w:rPr>
        <w:rFonts w:ascii="Wingdings" w:hAnsi="Wingdings" w:hint="default"/>
      </w:rPr>
    </w:lvl>
  </w:abstractNum>
  <w:abstractNum w:abstractNumId="11"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4"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7" w15:restartNumberingAfterBreak="0">
    <w:nsid w:val="3A5B0171"/>
    <w:multiLevelType w:val="hybridMultilevel"/>
    <w:tmpl w:val="2EE0B4A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A797C14"/>
    <w:multiLevelType w:val="hybridMultilevel"/>
    <w:tmpl w:val="699638F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0" w15:restartNumberingAfterBreak="0">
    <w:nsid w:val="3ED40451"/>
    <w:multiLevelType w:val="hybridMultilevel"/>
    <w:tmpl w:val="71506E5A"/>
    <w:lvl w:ilvl="0" w:tplc="D2EC60B2">
      <w:start w:val="1"/>
      <w:numFmt w:val="decimal"/>
      <w:lvlText w:val="%1."/>
      <w:lvlJc w:val="left"/>
      <w:pPr>
        <w:ind w:left="720" w:hanging="360"/>
      </w:pPr>
    </w:lvl>
    <w:lvl w:ilvl="1" w:tplc="2A822B86">
      <w:start w:val="1"/>
      <w:numFmt w:val="lowerLetter"/>
      <w:lvlText w:val="%2."/>
      <w:lvlJc w:val="left"/>
      <w:pPr>
        <w:ind w:left="1440" w:hanging="360"/>
      </w:pPr>
    </w:lvl>
    <w:lvl w:ilvl="2" w:tplc="2B84D0D0">
      <w:start w:val="1"/>
      <w:numFmt w:val="lowerRoman"/>
      <w:lvlText w:val="%3."/>
      <w:lvlJc w:val="right"/>
      <w:pPr>
        <w:ind w:left="2160" w:hanging="180"/>
      </w:pPr>
    </w:lvl>
    <w:lvl w:ilvl="3" w:tplc="7212BC86">
      <w:start w:val="1"/>
      <w:numFmt w:val="decimal"/>
      <w:lvlText w:val="%4."/>
      <w:lvlJc w:val="left"/>
      <w:pPr>
        <w:ind w:left="2880" w:hanging="360"/>
      </w:pPr>
    </w:lvl>
    <w:lvl w:ilvl="4" w:tplc="F85A215C">
      <w:start w:val="1"/>
      <w:numFmt w:val="lowerLetter"/>
      <w:lvlText w:val="%5."/>
      <w:lvlJc w:val="left"/>
      <w:pPr>
        <w:ind w:left="3600" w:hanging="360"/>
      </w:pPr>
    </w:lvl>
    <w:lvl w:ilvl="5" w:tplc="462C79AE">
      <w:start w:val="1"/>
      <w:numFmt w:val="lowerRoman"/>
      <w:lvlText w:val="%6."/>
      <w:lvlJc w:val="right"/>
      <w:pPr>
        <w:ind w:left="4320" w:hanging="180"/>
      </w:pPr>
    </w:lvl>
    <w:lvl w:ilvl="6" w:tplc="9FB0BCC8">
      <w:start w:val="1"/>
      <w:numFmt w:val="decimal"/>
      <w:lvlText w:val="%7."/>
      <w:lvlJc w:val="left"/>
      <w:pPr>
        <w:ind w:left="5040" w:hanging="360"/>
      </w:pPr>
    </w:lvl>
    <w:lvl w:ilvl="7" w:tplc="DF844918">
      <w:start w:val="1"/>
      <w:numFmt w:val="lowerLetter"/>
      <w:lvlText w:val="%8."/>
      <w:lvlJc w:val="left"/>
      <w:pPr>
        <w:ind w:left="5760" w:hanging="360"/>
      </w:pPr>
    </w:lvl>
    <w:lvl w:ilvl="8" w:tplc="6D303B38">
      <w:start w:val="1"/>
      <w:numFmt w:val="lowerRoman"/>
      <w:lvlText w:val="%9."/>
      <w:lvlJc w:val="right"/>
      <w:pPr>
        <w:ind w:left="6480" w:hanging="180"/>
      </w:pPr>
    </w:lvl>
  </w:abstractNum>
  <w:abstractNum w:abstractNumId="21"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2" w15:restartNumberingAfterBreak="0">
    <w:nsid w:val="480B0723"/>
    <w:multiLevelType w:val="hybridMultilevel"/>
    <w:tmpl w:val="85F479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FAF224F"/>
    <w:multiLevelType w:val="hybridMultilevel"/>
    <w:tmpl w:val="4BAEE80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30C1E50"/>
    <w:multiLevelType w:val="hybridMultilevel"/>
    <w:tmpl w:val="5A24A498"/>
    <w:lvl w:ilvl="0" w:tplc="DD349642">
      <w:start w:val="1"/>
      <w:numFmt w:val="decimal"/>
      <w:lvlText w:val="(%1)"/>
      <w:lvlJc w:val="left"/>
      <w:pPr>
        <w:ind w:left="720" w:hanging="360"/>
      </w:pPr>
      <w:rPr>
        <w:rFonts w:ascii="Times" w:eastAsia="SimSun" w:hAnsi="Times"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6A632C5"/>
    <w:multiLevelType w:val="hybridMultilevel"/>
    <w:tmpl w:val="A68E21FC"/>
    <w:lvl w:ilvl="0" w:tplc="335EF6A4">
      <w:start w:val="1"/>
      <w:numFmt w:val="bullet"/>
      <w:lvlText w:val="-"/>
      <w:lvlJc w:val="left"/>
      <w:pPr>
        <w:ind w:left="1080" w:hanging="360"/>
      </w:pPr>
      <w:rPr>
        <w:rFonts w:ascii="Times" w:eastAsia="SimSun" w:hAnsi="Times" w:cs="Time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73025943"/>
    <w:multiLevelType w:val="hybridMultilevel"/>
    <w:tmpl w:val="D6921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5238A"/>
    <w:multiLevelType w:val="hybridMultilevel"/>
    <w:tmpl w:val="20C478DE"/>
    <w:lvl w:ilvl="0" w:tplc="7D68A2A8">
      <w:start w:val="1"/>
      <w:numFmt w:val="bullet"/>
      <w:lvlText w:val=""/>
      <w:lvlJc w:val="left"/>
      <w:pPr>
        <w:ind w:left="720" w:hanging="360"/>
      </w:pPr>
      <w:rPr>
        <w:rFonts w:ascii="Symbol" w:hAnsi="Symbol" w:hint="default"/>
      </w:rPr>
    </w:lvl>
    <w:lvl w:ilvl="1" w:tplc="B84838B6">
      <w:start w:val="1"/>
      <w:numFmt w:val="bullet"/>
      <w:lvlText w:val="o"/>
      <w:lvlJc w:val="left"/>
      <w:pPr>
        <w:ind w:left="1440" w:hanging="360"/>
      </w:pPr>
      <w:rPr>
        <w:rFonts w:ascii="Courier New" w:hAnsi="Courier New" w:hint="default"/>
      </w:rPr>
    </w:lvl>
    <w:lvl w:ilvl="2" w:tplc="26FC0040">
      <w:start w:val="1"/>
      <w:numFmt w:val="bullet"/>
      <w:lvlText w:val=""/>
      <w:lvlJc w:val="left"/>
      <w:pPr>
        <w:ind w:left="2160" w:hanging="360"/>
      </w:pPr>
      <w:rPr>
        <w:rFonts w:ascii="Wingdings" w:hAnsi="Wingdings" w:hint="default"/>
      </w:rPr>
    </w:lvl>
    <w:lvl w:ilvl="3" w:tplc="EBAA5942">
      <w:start w:val="1"/>
      <w:numFmt w:val="bullet"/>
      <w:lvlText w:val=""/>
      <w:lvlJc w:val="left"/>
      <w:pPr>
        <w:ind w:left="2880" w:hanging="360"/>
      </w:pPr>
      <w:rPr>
        <w:rFonts w:ascii="Symbol" w:hAnsi="Symbol" w:hint="default"/>
      </w:rPr>
    </w:lvl>
    <w:lvl w:ilvl="4" w:tplc="C1BA6E9E">
      <w:start w:val="1"/>
      <w:numFmt w:val="bullet"/>
      <w:lvlText w:val="o"/>
      <w:lvlJc w:val="left"/>
      <w:pPr>
        <w:ind w:left="3600" w:hanging="360"/>
      </w:pPr>
      <w:rPr>
        <w:rFonts w:ascii="Courier New" w:hAnsi="Courier New" w:hint="default"/>
      </w:rPr>
    </w:lvl>
    <w:lvl w:ilvl="5" w:tplc="0FF695DC">
      <w:start w:val="1"/>
      <w:numFmt w:val="bullet"/>
      <w:lvlText w:val=""/>
      <w:lvlJc w:val="left"/>
      <w:pPr>
        <w:ind w:left="4320" w:hanging="360"/>
      </w:pPr>
      <w:rPr>
        <w:rFonts w:ascii="Wingdings" w:hAnsi="Wingdings" w:hint="default"/>
      </w:rPr>
    </w:lvl>
    <w:lvl w:ilvl="6" w:tplc="907A1F54">
      <w:start w:val="1"/>
      <w:numFmt w:val="bullet"/>
      <w:lvlText w:val=""/>
      <w:lvlJc w:val="left"/>
      <w:pPr>
        <w:ind w:left="5040" w:hanging="360"/>
      </w:pPr>
      <w:rPr>
        <w:rFonts w:ascii="Symbol" w:hAnsi="Symbol" w:hint="default"/>
      </w:rPr>
    </w:lvl>
    <w:lvl w:ilvl="7" w:tplc="41CA617E">
      <w:start w:val="1"/>
      <w:numFmt w:val="bullet"/>
      <w:lvlText w:val="o"/>
      <w:lvlJc w:val="left"/>
      <w:pPr>
        <w:ind w:left="5760" w:hanging="360"/>
      </w:pPr>
      <w:rPr>
        <w:rFonts w:ascii="Courier New" w:hAnsi="Courier New" w:hint="default"/>
      </w:rPr>
    </w:lvl>
    <w:lvl w:ilvl="8" w:tplc="85185794">
      <w:start w:val="1"/>
      <w:numFmt w:val="bullet"/>
      <w:lvlText w:val=""/>
      <w:lvlJc w:val="left"/>
      <w:pPr>
        <w:ind w:left="6480" w:hanging="360"/>
      </w:pPr>
      <w:rPr>
        <w:rFonts w:ascii="Wingdings" w:hAnsi="Wingdings" w:hint="default"/>
      </w:rPr>
    </w:lvl>
  </w:abstractNum>
  <w:abstractNum w:abstractNumId="28" w15:restartNumberingAfterBreak="0">
    <w:nsid w:val="7828770B"/>
    <w:multiLevelType w:val="hybridMultilevel"/>
    <w:tmpl w:val="4536A04C"/>
    <w:lvl w:ilvl="0" w:tplc="6E5400E8">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AD87E79"/>
    <w:multiLevelType w:val="hybridMultilevel"/>
    <w:tmpl w:val="69D23BB4"/>
    <w:lvl w:ilvl="0" w:tplc="D26052B0">
      <w:start w:val="1"/>
      <w:numFmt w:val="bullet"/>
      <w:lvlText w:val=""/>
      <w:lvlJc w:val="left"/>
      <w:pPr>
        <w:ind w:left="720" w:hanging="360"/>
      </w:pPr>
      <w:rPr>
        <w:rFonts w:ascii="Symbol" w:hAnsi="Symbol" w:hint="default"/>
      </w:rPr>
    </w:lvl>
    <w:lvl w:ilvl="1" w:tplc="A44EDFB4">
      <w:start w:val="1"/>
      <w:numFmt w:val="bullet"/>
      <w:lvlText w:val="o"/>
      <w:lvlJc w:val="left"/>
      <w:pPr>
        <w:ind w:left="1440" w:hanging="360"/>
      </w:pPr>
      <w:rPr>
        <w:rFonts w:ascii="Courier New" w:hAnsi="Courier New" w:hint="default"/>
      </w:rPr>
    </w:lvl>
    <w:lvl w:ilvl="2" w:tplc="A2B4420E">
      <w:start w:val="1"/>
      <w:numFmt w:val="bullet"/>
      <w:lvlText w:val=""/>
      <w:lvlJc w:val="left"/>
      <w:pPr>
        <w:ind w:left="2160" w:hanging="360"/>
      </w:pPr>
      <w:rPr>
        <w:rFonts w:ascii="Wingdings" w:hAnsi="Wingdings" w:hint="default"/>
      </w:rPr>
    </w:lvl>
    <w:lvl w:ilvl="3" w:tplc="6F2EBE84">
      <w:start w:val="1"/>
      <w:numFmt w:val="bullet"/>
      <w:lvlText w:val=""/>
      <w:lvlJc w:val="left"/>
      <w:pPr>
        <w:ind w:left="2880" w:hanging="360"/>
      </w:pPr>
      <w:rPr>
        <w:rFonts w:ascii="Symbol" w:hAnsi="Symbol" w:hint="default"/>
      </w:rPr>
    </w:lvl>
    <w:lvl w:ilvl="4" w:tplc="70002B5E">
      <w:start w:val="1"/>
      <w:numFmt w:val="bullet"/>
      <w:lvlText w:val="o"/>
      <w:lvlJc w:val="left"/>
      <w:pPr>
        <w:ind w:left="3600" w:hanging="360"/>
      </w:pPr>
      <w:rPr>
        <w:rFonts w:ascii="Courier New" w:hAnsi="Courier New" w:hint="default"/>
      </w:rPr>
    </w:lvl>
    <w:lvl w:ilvl="5" w:tplc="2CA4E986">
      <w:start w:val="1"/>
      <w:numFmt w:val="bullet"/>
      <w:lvlText w:val=""/>
      <w:lvlJc w:val="left"/>
      <w:pPr>
        <w:ind w:left="4320" w:hanging="360"/>
      </w:pPr>
      <w:rPr>
        <w:rFonts w:ascii="Wingdings" w:hAnsi="Wingdings" w:hint="default"/>
      </w:rPr>
    </w:lvl>
    <w:lvl w:ilvl="6" w:tplc="7DC0C8C8">
      <w:start w:val="1"/>
      <w:numFmt w:val="bullet"/>
      <w:lvlText w:val=""/>
      <w:lvlJc w:val="left"/>
      <w:pPr>
        <w:ind w:left="5040" w:hanging="360"/>
      </w:pPr>
      <w:rPr>
        <w:rFonts w:ascii="Symbol" w:hAnsi="Symbol" w:hint="default"/>
      </w:rPr>
    </w:lvl>
    <w:lvl w:ilvl="7" w:tplc="1FDED1DA">
      <w:start w:val="1"/>
      <w:numFmt w:val="bullet"/>
      <w:lvlText w:val="o"/>
      <w:lvlJc w:val="left"/>
      <w:pPr>
        <w:ind w:left="5760" w:hanging="360"/>
      </w:pPr>
      <w:rPr>
        <w:rFonts w:ascii="Courier New" w:hAnsi="Courier New" w:hint="default"/>
      </w:rPr>
    </w:lvl>
    <w:lvl w:ilvl="8" w:tplc="3B58F594">
      <w:start w:val="1"/>
      <w:numFmt w:val="bullet"/>
      <w:lvlText w:val=""/>
      <w:lvlJc w:val="left"/>
      <w:pPr>
        <w:ind w:left="6480" w:hanging="360"/>
      </w:pPr>
      <w:rPr>
        <w:rFonts w:ascii="Wingdings" w:hAnsi="Wingdings" w:hint="default"/>
      </w:rPr>
    </w:lvl>
  </w:abstractNum>
  <w:abstractNum w:abstractNumId="30" w15:restartNumberingAfterBreak="0">
    <w:nsid w:val="7C830930"/>
    <w:multiLevelType w:val="hybridMultilevel"/>
    <w:tmpl w:val="5A8AE438"/>
    <w:lvl w:ilvl="0" w:tplc="C1486924">
      <w:start w:val="1"/>
      <w:numFmt w:val="bullet"/>
      <w:lvlText w:val=""/>
      <w:lvlJc w:val="left"/>
      <w:pPr>
        <w:ind w:left="720" w:hanging="360"/>
      </w:pPr>
      <w:rPr>
        <w:rFonts w:ascii="Symbol" w:hAnsi="Symbol" w:hint="default"/>
      </w:rPr>
    </w:lvl>
    <w:lvl w:ilvl="1" w:tplc="E0FEF58E">
      <w:start w:val="1"/>
      <w:numFmt w:val="bullet"/>
      <w:lvlText w:val="o"/>
      <w:lvlJc w:val="left"/>
      <w:pPr>
        <w:ind w:left="1440" w:hanging="360"/>
      </w:pPr>
      <w:rPr>
        <w:rFonts w:ascii="Courier New" w:hAnsi="Courier New" w:hint="default"/>
      </w:rPr>
    </w:lvl>
    <w:lvl w:ilvl="2" w:tplc="CD6AFB70">
      <w:start w:val="1"/>
      <w:numFmt w:val="bullet"/>
      <w:lvlText w:val=""/>
      <w:lvlJc w:val="left"/>
      <w:pPr>
        <w:ind w:left="2160" w:hanging="360"/>
      </w:pPr>
      <w:rPr>
        <w:rFonts w:ascii="Wingdings" w:hAnsi="Wingdings" w:hint="default"/>
      </w:rPr>
    </w:lvl>
    <w:lvl w:ilvl="3" w:tplc="97787852">
      <w:start w:val="1"/>
      <w:numFmt w:val="bullet"/>
      <w:lvlText w:val=""/>
      <w:lvlJc w:val="left"/>
      <w:pPr>
        <w:ind w:left="2880" w:hanging="360"/>
      </w:pPr>
      <w:rPr>
        <w:rFonts w:ascii="Symbol" w:hAnsi="Symbol" w:hint="default"/>
      </w:rPr>
    </w:lvl>
    <w:lvl w:ilvl="4" w:tplc="53A0A0AE">
      <w:start w:val="1"/>
      <w:numFmt w:val="bullet"/>
      <w:lvlText w:val="o"/>
      <w:lvlJc w:val="left"/>
      <w:pPr>
        <w:ind w:left="3600" w:hanging="360"/>
      </w:pPr>
      <w:rPr>
        <w:rFonts w:ascii="Courier New" w:hAnsi="Courier New" w:hint="default"/>
      </w:rPr>
    </w:lvl>
    <w:lvl w:ilvl="5" w:tplc="E5FCB0EA">
      <w:start w:val="1"/>
      <w:numFmt w:val="bullet"/>
      <w:lvlText w:val=""/>
      <w:lvlJc w:val="left"/>
      <w:pPr>
        <w:ind w:left="4320" w:hanging="360"/>
      </w:pPr>
      <w:rPr>
        <w:rFonts w:ascii="Wingdings" w:hAnsi="Wingdings" w:hint="default"/>
      </w:rPr>
    </w:lvl>
    <w:lvl w:ilvl="6" w:tplc="ACCCB80E">
      <w:start w:val="1"/>
      <w:numFmt w:val="bullet"/>
      <w:lvlText w:val=""/>
      <w:lvlJc w:val="left"/>
      <w:pPr>
        <w:ind w:left="5040" w:hanging="360"/>
      </w:pPr>
      <w:rPr>
        <w:rFonts w:ascii="Symbol" w:hAnsi="Symbol" w:hint="default"/>
      </w:rPr>
    </w:lvl>
    <w:lvl w:ilvl="7" w:tplc="A2F40BC4">
      <w:start w:val="1"/>
      <w:numFmt w:val="bullet"/>
      <w:lvlText w:val="o"/>
      <w:lvlJc w:val="left"/>
      <w:pPr>
        <w:ind w:left="5760" w:hanging="360"/>
      </w:pPr>
      <w:rPr>
        <w:rFonts w:ascii="Courier New" w:hAnsi="Courier New" w:hint="default"/>
      </w:rPr>
    </w:lvl>
    <w:lvl w:ilvl="8" w:tplc="CCE0479E">
      <w:start w:val="1"/>
      <w:numFmt w:val="bullet"/>
      <w:lvlText w:val=""/>
      <w:lvlJc w:val="left"/>
      <w:pPr>
        <w:ind w:left="6480" w:hanging="360"/>
      </w:pPr>
      <w:rPr>
        <w:rFonts w:ascii="Wingdings" w:hAnsi="Wingdings" w:hint="default"/>
      </w:rPr>
    </w:lvl>
  </w:abstractNum>
  <w:abstractNum w:abstractNumId="31" w15:restartNumberingAfterBreak="0">
    <w:nsid w:val="7EF669C5"/>
    <w:multiLevelType w:val="hybridMultilevel"/>
    <w:tmpl w:val="E03A9256"/>
    <w:lvl w:ilvl="0" w:tplc="8886E584">
      <w:start w:val="1"/>
      <w:numFmt w:val="decimal"/>
      <w:lvlText w:val="%1."/>
      <w:lvlJc w:val="left"/>
      <w:pPr>
        <w:ind w:left="720" w:hanging="360"/>
      </w:pPr>
    </w:lvl>
    <w:lvl w:ilvl="1" w:tplc="83EA14FC">
      <w:start w:val="1"/>
      <w:numFmt w:val="lowerLetter"/>
      <w:lvlText w:val="%2."/>
      <w:lvlJc w:val="left"/>
      <w:pPr>
        <w:ind w:left="1440" w:hanging="360"/>
      </w:pPr>
    </w:lvl>
    <w:lvl w:ilvl="2" w:tplc="59D829D0">
      <w:start w:val="1"/>
      <w:numFmt w:val="lowerRoman"/>
      <w:lvlText w:val="%3."/>
      <w:lvlJc w:val="right"/>
      <w:pPr>
        <w:ind w:left="2160" w:hanging="180"/>
      </w:pPr>
    </w:lvl>
    <w:lvl w:ilvl="3" w:tplc="8DAA418E">
      <w:start w:val="1"/>
      <w:numFmt w:val="decimal"/>
      <w:lvlText w:val="%4."/>
      <w:lvlJc w:val="left"/>
      <w:pPr>
        <w:ind w:left="2880" w:hanging="360"/>
      </w:pPr>
    </w:lvl>
    <w:lvl w:ilvl="4" w:tplc="39280C5A">
      <w:start w:val="1"/>
      <w:numFmt w:val="lowerLetter"/>
      <w:lvlText w:val="%5."/>
      <w:lvlJc w:val="left"/>
      <w:pPr>
        <w:ind w:left="3600" w:hanging="360"/>
      </w:pPr>
    </w:lvl>
    <w:lvl w:ilvl="5" w:tplc="4E1840E0">
      <w:start w:val="1"/>
      <w:numFmt w:val="lowerRoman"/>
      <w:lvlText w:val="%6."/>
      <w:lvlJc w:val="right"/>
      <w:pPr>
        <w:ind w:left="4320" w:hanging="180"/>
      </w:pPr>
    </w:lvl>
    <w:lvl w:ilvl="6" w:tplc="5B4CEFE6">
      <w:start w:val="1"/>
      <w:numFmt w:val="decimal"/>
      <w:lvlText w:val="%7."/>
      <w:lvlJc w:val="left"/>
      <w:pPr>
        <w:ind w:left="5040" w:hanging="360"/>
      </w:pPr>
    </w:lvl>
    <w:lvl w:ilvl="7" w:tplc="01BE2DDA">
      <w:start w:val="1"/>
      <w:numFmt w:val="lowerLetter"/>
      <w:lvlText w:val="%8."/>
      <w:lvlJc w:val="left"/>
      <w:pPr>
        <w:ind w:left="5760" w:hanging="360"/>
      </w:pPr>
    </w:lvl>
    <w:lvl w:ilvl="8" w:tplc="7C343400">
      <w:start w:val="1"/>
      <w:numFmt w:val="lowerRoman"/>
      <w:lvlText w:val="%9."/>
      <w:lvlJc w:val="right"/>
      <w:pPr>
        <w:ind w:left="6480" w:hanging="180"/>
      </w:pPr>
    </w:lvl>
  </w:abstractNum>
  <w:num w:numId="1">
    <w:abstractNumId w:val="0"/>
  </w:num>
  <w:num w:numId="2">
    <w:abstractNumId w:val="30"/>
  </w:num>
  <w:num w:numId="3">
    <w:abstractNumId w:val="29"/>
  </w:num>
  <w:num w:numId="4">
    <w:abstractNumId w:val="19"/>
  </w:num>
  <w:num w:numId="5">
    <w:abstractNumId w:val="15"/>
  </w:num>
  <w:num w:numId="6">
    <w:abstractNumId w:val="21"/>
  </w:num>
  <w:num w:numId="7">
    <w:abstractNumId w:val="16"/>
  </w:num>
  <w:num w:numId="8">
    <w:abstractNumId w:val="14"/>
  </w:num>
  <w:num w:numId="9">
    <w:abstractNumId w:val="13"/>
  </w:num>
  <w:num w:numId="10">
    <w:abstractNumId w:val="12"/>
  </w:num>
  <w:num w:numId="11">
    <w:abstractNumId w:val="9"/>
  </w:num>
  <w:num w:numId="12">
    <w:abstractNumId w:val="4"/>
  </w:num>
  <w:num w:numId="13">
    <w:abstractNumId w:val="11"/>
  </w:num>
  <w:num w:numId="14">
    <w:abstractNumId w:val="20"/>
  </w:num>
  <w:num w:numId="15">
    <w:abstractNumId w:val="8"/>
  </w:num>
  <w:num w:numId="16">
    <w:abstractNumId w:val="10"/>
  </w:num>
  <w:num w:numId="17">
    <w:abstractNumId w:val="31"/>
  </w:num>
  <w:num w:numId="18">
    <w:abstractNumId w:val="7"/>
  </w:num>
  <w:num w:numId="19">
    <w:abstractNumId w:val="27"/>
  </w:num>
  <w:num w:numId="20">
    <w:abstractNumId w:val="5"/>
  </w:num>
  <w:num w:numId="21">
    <w:abstractNumId w:val="1"/>
  </w:num>
  <w:num w:numId="22">
    <w:abstractNumId w:val="2"/>
  </w:num>
  <w:num w:numId="23">
    <w:abstractNumId w:val="17"/>
  </w:num>
  <w:num w:numId="24">
    <w:abstractNumId w:val="23"/>
  </w:num>
  <w:num w:numId="25">
    <w:abstractNumId w:val="3"/>
  </w:num>
  <w:num w:numId="26">
    <w:abstractNumId w:val="22"/>
  </w:num>
  <w:num w:numId="27">
    <w:abstractNumId w:val="28"/>
  </w:num>
  <w:num w:numId="28">
    <w:abstractNumId w:val="6"/>
  </w:num>
  <w:num w:numId="29">
    <w:abstractNumId w:val="25"/>
  </w:num>
  <w:num w:numId="30">
    <w:abstractNumId w:val="1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4B3"/>
    <w:rsid w:val="000802ED"/>
    <w:rsid w:val="00083749"/>
    <w:rsid w:val="000B21CD"/>
    <w:rsid w:val="000B522C"/>
    <w:rsid w:val="000D19DB"/>
    <w:rsid w:val="000E1836"/>
    <w:rsid w:val="00103C74"/>
    <w:rsid w:val="0010433F"/>
    <w:rsid w:val="001112C0"/>
    <w:rsid w:val="001427B2"/>
    <w:rsid w:val="00155CBF"/>
    <w:rsid w:val="001728A4"/>
    <w:rsid w:val="00177758"/>
    <w:rsid w:val="001B5396"/>
    <w:rsid w:val="001D0F4F"/>
    <w:rsid w:val="001D7798"/>
    <w:rsid w:val="00203BF5"/>
    <w:rsid w:val="002053F7"/>
    <w:rsid w:val="00241A46"/>
    <w:rsid w:val="00254617"/>
    <w:rsid w:val="002618FA"/>
    <w:rsid w:val="00266E31"/>
    <w:rsid w:val="00270020"/>
    <w:rsid w:val="002704B3"/>
    <w:rsid w:val="00276AF5"/>
    <w:rsid w:val="00282F5E"/>
    <w:rsid w:val="00311DA5"/>
    <w:rsid w:val="0031526B"/>
    <w:rsid w:val="003A68DD"/>
    <w:rsid w:val="003C3A22"/>
    <w:rsid w:val="003C53B8"/>
    <w:rsid w:val="003E46A8"/>
    <w:rsid w:val="004076B6"/>
    <w:rsid w:val="00411303"/>
    <w:rsid w:val="0041427E"/>
    <w:rsid w:val="0042039E"/>
    <w:rsid w:val="004358D5"/>
    <w:rsid w:val="0044441D"/>
    <w:rsid w:val="0044523D"/>
    <w:rsid w:val="00455CB5"/>
    <w:rsid w:val="00472081"/>
    <w:rsid w:val="00474CE9"/>
    <w:rsid w:val="004C7225"/>
    <w:rsid w:val="004D69E1"/>
    <w:rsid w:val="00507B09"/>
    <w:rsid w:val="005239D3"/>
    <w:rsid w:val="005412A3"/>
    <w:rsid w:val="00546197"/>
    <w:rsid w:val="005B5B31"/>
    <w:rsid w:val="005C342F"/>
    <w:rsid w:val="005D2CC4"/>
    <w:rsid w:val="005F5DC8"/>
    <w:rsid w:val="00615F0C"/>
    <w:rsid w:val="00623E5E"/>
    <w:rsid w:val="006257F7"/>
    <w:rsid w:val="006369A0"/>
    <w:rsid w:val="006541FD"/>
    <w:rsid w:val="00664368"/>
    <w:rsid w:val="006657EA"/>
    <w:rsid w:val="00670A1B"/>
    <w:rsid w:val="00675D6E"/>
    <w:rsid w:val="00690C45"/>
    <w:rsid w:val="006B7006"/>
    <w:rsid w:val="006E101B"/>
    <w:rsid w:val="006F7E67"/>
    <w:rsid w:val="00740BDD"/>
    <w:rsid w:val="00752EA3"/>
    <w:rsid w:val="00752F75"/>
    <w:rsid w:val="007677EC"/>
    <w:rsid w:val="007A5405"/>
    <w:rsid w:val="007C23C5"/>
    <w:rsid w:val="007D0AD0"/>
    <w:rsid w:val="00831B80"/>
    <w:rsid w:val="00854CD3"/>
    <w:rsid w:val="008636D7"/>
    <w:rsid w:val="00864307"/>
    <w:rsid w:val="00887CCA"/>
    <w:rsid w:val="0089163A"/>
    <w:rsid w:val="008918AC"/>
    <w:rsid w:val="009171A1"/>
    <w:rsid w:val="00971ACF"/>
    <w:rsid w:val="009736C3"/>
    <w:rsid w:val="00981834"/>
    <w:rsid w:val="0098680B"/>
    <w:rsid w:val="009915A8"/>
    <w:rsid w:val="009E6B5C"/>
    <w:rsid w:val="00A00930"/>
    <w:rsid w:val="00A22D80"/>
    <w:rsid w:val="00A27089"/>
    <w:rsid w:val="00A56593"/>
    <w:rsid w:val="00A65918"/>
    <w:rsid w:val="00A77D85"/>
    <w:rsid w:val="00A835F0"/>
    <w:rsid w:val="00A94856"/>
    <w:rsid w:val="00AB2C94"/>
    <w:rsid w:val="00AC3A37"/>
    <w:rsid w:val="00AE2F9D"/>
    <w:rsid w:val="00AF0529"/>
    <w:rsid w:val="00B03ECB"/>
    <w:rsid w:val="00B25445"/>
    <w:rsid w:val="00B53C41"/>
    <w:rsid w:val="00B548EA"/>
    <w:rsid w:val="00B67347"/>
    <w:rsid w:val="00B73CA5"/>
    <w:rsid w:val="00BD69F1"/>
    <w:rsid w:val="00C00317"/>
    <w:rsid w:val="00C06DC2"/>
    <w:rsid w:val="00C26020"/>
    <w:rsid w:val="00C41DA6"/>
    <w:rsid w:val="00C45567"/>
    <w:rsid w:val="00C80041"/>
    <w:rsid w:val="00CC1B07"/>
    <w:rsid w:val="00CC3C19"/>
    <w:rsid w:val="00CE1A4E"/>
    <w:rsid w:val="00CE2D63"/>
    <w:rsid w:val="00D001A1"/>
    <w:rsid w:val="00D04C9E"/>
    <w:rsid w:val="00D072BA"/>
    <w:rsid w:val="00D32C6E"/>
    <w:rsid w:val="00D406D8"/>
    <w:rsid w:val="00D5580E"/>
    <w:rsid w:val="00D85BB6"/>
    <w:rsid w:val="00D97527"/>
    <w:rsid w:val="00DA0E3A"/>
    <w:rsid w:val="00DA12CB"/>
    <w:rsid w:val="00DA5763"/>
    <w:rsid w:val="00DD3969"/>
    <w:rsid w:val="00E04DC8"/>
    <w:rsid w:val="00E43351"/>
    <w:rsid w:val="00E57689"/>
    <w:rsid w:val="00E712ED"/>
    <w:rsid w:val="00ED3397"/>
    <w:rsid w:val="00F21F1C"/>
    <w:rsid w:val="00F30F83"/>
    <w:rsid w:val="00F57959"/>
    <w:rsid w:val="00F60E86"/>
    <w:rsid w:val="00F71700"/>
    <w:rsid w:val="00F77B74"/>
    <w:rsid w:val="00F8018E"/>
    <w:rsid w:val="00FA5BD3"/>
    <w:rsid w:val="00FC5F35"/>
    <w:rsid w:val="00FE44AD"/>
    <w:rsid w:val="00FF4C75"/>
    <w:rsid w:val="00FF7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6FDF8"/>
  <w15:chartTrackingRefBased/>
  <w15:docId w15:val="{06E1452C-0C68-462B-A15C-B8706BA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04B3"/>
    <w:pPr>
      <w:spacing w:after="200" w:line="240" w:lineRule="auto"/>
      <w:jc w:val="both"/>
    </w:pPr>
    <w:rPr>
      <w:rFonts w:ascii="Times" w:eastAsia="SimSun" w:hAnsi="Times"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2704B3"/>
    <w:rPr>
      <w:color w:val="800080"/>
      <w:u w:val="single"/>
    </w:rPr>
  </w:style>
  <w:style w:type="paragraph" w:styleId="BodyText">
    <w:name w:val="Body Text"/>
    <w:basedOn w:val="Normal"/>
    <w:link w:val="BodyTextChar"/>
    <w:rsid w:val="002704B3"/>
    <w:pPr>
      <w:jc w:val="center"/>
    </w:pPr>
    <w:rPr>
      <w:b/>
      <w:sz w:val="40"/>
    </w:rPr>
  </w:style>
  <w:style w:type="character" w:customStyle="1" w:styleId="BodyTextChar">
    <w:name w:val="Body Text Char"/>
    <w:basedOn w:val="DefaultParagraphFont"/>
    <w:link w:val="BodyText"/>
    <w:rsid w:val="002704B3"/>
    <w:rPr>
      <w:rFonts w:ascii="Times" w:eastAsia="SimSun" w:hAnsi="Times" w:cs="Times New Roman"/>
      <w:b/>
      <w:sz w:val="40"/>
      <w:szCs w:val="20"/>
      <w:lang w:eastAsia="en-US"/>
    </w:rPr>
  </w:style>
  <w:style w:type="paragraph" w:styleId="FootnoteText">
    <w:name w:val="footnote text"/>
    <w:basedOn w:val="Normal"/>
    <w:next w:val="TFReferencesSection"/>
    <w:link w:val="FootnoteTextChar"/>
    <w:semiHidden/>
    <w:rsid w:val="002704B3"/>
  </w:style>
  <w:style w:type="character" w:customStyle="1" w:styleId="FootnoteTextChar">
    <w:name w:val="Footnote Text Char"/>
    <w:basedOn w:val="DefaultParagraphFont"/>
    <w:link w:val="FootnoteText"/>
    <w:semiHidden/>
    <w:rsid w:val="002704B3"/>
    <w:rPr>
      <w:rFonts w:ascii="Times" w:eastAsia="SimSun" w:hAnsi="Times" w:cs="Times New Roman"/>
      <w:sz w:val="24"/>
      <w:szCs w:val="20"/>
      <w:lang w:eastAsia="en-US"/>
    </w:rPr>
  </w:style>
  <w:style w:type="paragraph" w:customStyle="1" w:styleId="TFReferencesSection">
    <w:name w:val="TF_References_Section"/>
    <w:basedOn w:val="Normal"/>
    <w:rsid w:val="002704B3"/>
    <w:pPr>
      <w:spacing w:line="480" w:lineRule="auto"/>
      <w:ind w:firstLine="187"/>
    </w:pPr>
  </w:style>
  <w:style w:type="paragraph" w:customStyle="1" w:styleId="TAMainText">
    <w:name w:val="TA_Main_Text"/>
    <w:basedOn w:val="Normal"/>
    <w:rsid w:val="002704B3"/>
    <w:pPr>
      <w:spacing w:after="0" w:line="480" w:lineRule="auto"/>
      <w:ind w:firstLine="202"/>
    </w:pPr>
  </w:style>
  <w:style w:type="paragraph" w:customStyle="1" w:styleId="BATitle">
    <w:name w:val="BA_Title"/>
    <w:basedOn w:val="Normal"/>
    <w:next w:val="BBAuthorName"/>
    <w:rsid w:val="002704B3"/>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2704B3"/>
    <w:pPr>
      <w:spacing w:after="240" w:line="480" w:lineRule="auto"/>
      <w:jc w:val="center"/>
    </w:pPr>
    <w:rPr>
      <w:i/>
    </w:rPr>
  </w:style>
  <w:style w:type="paragraph" w:customStyle="1" w:styleId="BCAuthorAddress">
    <w:name w:val="BC_Author_Address"/>
    <w:basedOn w:val="Normal"/>
    <w:next w:val="BIEmailAddress"/>
    <w:rsid w:val="002704B3"/>
    <w:pPr>
      <w:spacing w:after="240" w:line="480" w:lineRule="auto"/>
      <w:jc w:val="center"/>
    </w:pPr>
  </w:style>
  <w:style w:type="paragraph" w:customStyle="1" w:styleId="BIEmailAddress">
    <w:name w:val="BI_Email_Address"/>
    <w:basedOn w:val="Normal"/>
    <w:next w:val="AIReceivedDate"/>
    <w:rsid w:val="002704B3"/>
    <w:pPr>
      <w:spacing w:line="480" w:lineRule="auto"/>
    </w:pPr>
  </w:style>
  <w:style w:type="paragraph" w:customStyle="1" w:styleId="AIReceivedDate">
    <w:name w:val="AI_Received_Date"/>
    <w:basedOn w:val="Normal"/>
    <w:next w:val="BDAbstract"/>
    <w:rsid w:val="002704B3"/>
    <w:pPr>
      <w:spacing w:after="240" w:line="480" w:lineRule="auto"/>
    </w:pPr>
    <w:rPr>
      <w:b/>
    </w:rPr>
  </w:style>
  <w:style w:type="paragraph" w:customStyle="1" w:styleId="BDAbstract">
    <w:name w:val="BD_Abstract"/>
    <w:basedOn w:val="Normal"/>
    <w:next w:val="TAMainText"/>
    <w:rsid w:val="002704B3"/>
    <w:pPr>
      <w:spacing w:before="360" w:after="360" w:line="480" w:lineRule="auto"/>
    </w:pPr>
  </w:style>
  <w:style w:type="paragraph" w:customStyle="1" w:styleId="TDAcknowledgments">
    <w:name w:val="TD_Acknowledgments"/>
    <w:basedOn w:val="Normal"/>
    <w:next w:val="Normal"/>
    <w:rsid w:val="002704B3"/>
    <w:pPr>
      <w:spacing w:before="200" w:line="480" w:lineRule="auto"/>
      <w:ind w:firstLine="202"/>
    </w:pPr>
  </w:style>
  <w:style w:type="paragraph" w:customStyle="1" w:styleId="TESupportingInformation">
    <w:name w:val="TE_Supporting_Information"/>
    <w:basedOn w:val="Normal"/>
    <w:next w:val="Normal"/>
    <w:rsid w:val="002704B3"/>
    <w:pPr>
      <w:spacing w:line="480" w:lineRule="auto"/>
      <w:ind w:firstLine="187"/>
    </w:pPr>
  </w:style>
  <w:style w:type="paragraph" w:customStyle="1" w:styleId="VCSchemeTitle">
    <w:name w:val="VC_Scheme_Title"/>
    <w:basedOn w:val="Normal"/>
    <w:next w:val="Normal"/>
    <w:rsid w:val="002704B3"/>
    <w:pPr>
      <w:spacing w:line="480" w:lineRule="auto"/>
    </w:pPr>
  </w:style>
  <w:style w:type="paragraph" w:customStyle="1" w:styleId="VDTableTitle">
    <w:name w:val="VD_Table_Title"/>
    <w:basedOn w:val="Normal"/>
    <w:next w:val="Normal"/>
    <w:rsid w:val="002704B3"/>
    <w:pPr>
      <w:spacing w:line="480" w:lineRule="auto"/>
    </w:pPr>
  </w:style>
  <w:style w:type="paragraph" w:customStyle="1" w:styleId="VAFigureCaption">
    <w:name w:val="VA_Figure_Caption"/>
    <w:basedOn w:val="Normal"/>
    <w:next w:val="Normal"/>
    <w:rsid w:val="002704B3"/>
    <w:pPr>
      <w:spacing w:line="480" w:lineRule="auto"/>
    </w:pPr>
  </w:style>
  <w:style w:type="paragraph" w:customStyle="1" w:styleId="VBChartTitle">
    <w:name w:val="VB_Chart_Title"/>
    <w:basedOn w:val="Normal"/>
    <w:next w:val="Normal"/>
    <w:rsid w:val="002704B3"/>
    <w:pPr>
      <w:spacing w:line="480" w:lineRule="auto"/>
    </w:pPr>
  </w:style>
  <w:style w:type="paragraph" w:customStyle="1" w:styleId="FETableFootnote">
    <w:name w:val="FE_Table_Footnote"/>
    <w:basedOn w:val="Normal"/>
    <w:next w:val="Normal"/>
    <w:rsid w:val="002704B3"/>
    <w:pPr>
      <w:ind w:firstLine="187"/>
    </w:pPr>
  </w:style>
  <w:style w:type="paragraph" w:customStyle="1" w:styleId="FCChartFootnote">
    <w:name w:val="FC_Chart_Footnote"/>
    <w:basedOn w:val="Normal"/>
    <w:next w:val="Normal"/>
    <w:rsid w:val="002704B3"/>
    <w:pPr>
      <w:ind w:firstLine="187"/>
    </w:pPr>
  </w:style>
  <w:style w:type="paragraph" w:customStyle="1" w:styleId="FDSchemeFootnote">
    <w:name w:val="FD_Scheme_Footnote"/>
    <w:basedOn w:val="Normal"/>
    <w:next w:val="Normal"/>
    <w:rsid w:val="002704B3"/>
    <w:pPr>
      <w:ind w:firstLine="187"/>
    </w:pPr>
  </w:style>
  <w:style w:type="paragraph" w:customStyle="1" w:styleId="TCTableBody">
    <w:name w:val="TC_Table_Body"/>
    <w:basedOn w:val="Normal"/>
    <w:rsid w:val="002704B3"/>
  </w:style>
  <w:style w:type="paragraph" w:customStyle="1" w:styleId="AFTitleRunningHead">
    <w:name w:val="AF_Title_Running_Head"/>
    <w:basedOn w:val="Normal"/>
    <w:next w:val="TAMainText"/>
    <w:rsid w:val="002704B3"/>
    <w:pPr>
      <w:spacing w:line="480" w:lineRule="auto"/>
    </w:pPr>
  </w:style>
  <w:style w:type="paragraph" w:customStyle="1" w:styleId="BEAuthorBiography">
    <w:name w:val="BE_Author_Biography"/>
    <w:basedOn w:val="Normal"/>
    <w:rsid w:val="002704B3"/>
    <w:pPr>
      <w:spacing w:line="480" w:lineRule="auto"/>
    </w:pPr>
  </w:style>
  <w:style w:type="paragraph" w:customStyle="1" w:styleId="FACorrespondingAuthorFootnote">
    <w:name w:val="FA_Corresponding_Author_Footnote"/>
    <w:basedOn w:val="Normal"/>
    <w:next w:val="TAMainText"/>
    <w:rsid w:val="002704B3"/>
    <w:pPr>
      <w:spacing w:line="480" w:lineRule="auto"/>
    </w:pPr>
  </w:style>
  <w:style w:type="paragraph" w:customStyle="1" w:styleId="SNSynopsisTOC">
    <w:name w:val="SN_Synopsis_TOC"/>
    <w:basedOn w:val="Normal"/>
    <w:rsid w:val="002704B3"/>
    <w:pPr>
      <w:spacing w:line="480" w:lineRule="auto"/>
    </w:pPr>
  </w:style>
  <w:style w:type="character" w:styleId="Hyperlink">
    <w:name w:val="Hyperlink"/>
    <w:rsid w:val="002704B3"/>
    <w:rPr>
      <w:color w:val="0000FF"/>
      <w:u w:val="single"/>
    </w:rPr>
  </w:style>
  <w:style w:type="paragraph" w:styleId="Footer">
    <w:name w:val="footer"/>
    <w:basedOn w:val="Normal"/>
    <w:link w:val="FooterChar"/>
    <w:rsid w:val="002704B3"/>
    <w:pPr>
      <w:tabs>
        <w:tab w:val="center" w:pos="4320"/>
        <w:tab w:val="right" w:pos="8640"/>
      </w:tabs>
    </w:pPr>
  </w:style>
  <w:style w:type="character" w:customStyle="1" w:styleId="FooterChar">
    <w:name w:val="Footer Char"/>
    <w:basedOn w:val="DefaultParagraphFont"/>
    <w:link w:val="Footer"/>
    <w:rsid w:val="002704B3"/>
    <w:rPr>
      <w:rFonts w:ascii="Times" w:eastAsia="SimSun" w:hAnsi="Times" w:cs="Times New Roman"/>
      <w:sz w:val="24"/>
      <w:szCs w:val="20"/>
      <w:lang w:eastAsia="en-US"/>
    </w:rPr>
  </w:style>
  <w:style w:type="paragraph" w:customStyle="1" w:styleId="BGKeywords">
    <w:name w:val="BG_Keywords"/>
    <w:basedOn w:val="Normal"/>
    <w:rsid w:val="002704B3"/>
    <w:pPr>
      <w:spacing w:line="480" w:lineRule="auto"/>
    </w:pPr>
  </w:style>
  <w:style w:type="paragraph" w:customStyle="1" w:styleId="BHBriefs">
    <w:name w:val="BH_Briefs"/>
    <w:basedOn w:val="Normal"/>
    <w:rsid w:val="002704B3"/>
    <w:pPr>
      <w:spacing w:line="480" w:lineRule="auto"/>
    </w:pPr>
  </w:style>
  <w:style w:type="character" w:styleId="PageNumber">
    <w:name w:val="page number"/>
    <w:basedOn w:val="DefaultParagraphFont"/>
    <w:rsid w:val="002704B3"/>
  </w:style>
  <w:style w:type="paragraph" w:styleId="BalloonText">
    <w:name w:val="Balloon Text"/>
    <w:basedOn w:val="Normal"/>
    <w:link w:val="BalloonTextChar"/>
    <w:semiHidden/>
    <w:rsid w:val="002704B3"/>
    <w:rPr>
      <w:rFonts w:ascii="Tahoma" w:hAnsi="Tahoma" w:cs="Tahoma"/>
      <w:sz w:val="16"/>
      <w:szCs w:val="16"/>
    </w:rPr>
  </w:style>
  <w:style w:type="character" w:customStyle="1" w:styleId="BalloonTextChar">
    <w:name w:val="Balloon Text Char"/>
    <w:basedOn w:val="DefaultParagraphFont"/>
    <w:link w:val="BalloonText"/>
    <w:semiHidden/>
    <w:rsid w:val="002704B3"/>
    <w:rPr>
      <w:rFonts w:ascii="Tahoma" w:eastAsia="SimSun" w:hAnsi="Tahoma" w:cs="Tahoma"/>
      <w:sz w:val="16"/>
      <w:szCs w:val="16"/>
      <w:lang w:eastAsia="en-US"/>
    </w:rPr>
  </w:style>
  <w:style w:type="paragraph" w:customStyle="1" w:styleId="StyleFACorrespondingAuthorFootnote7pt">
    <w:name w:val="Style FA_Corresponding_Author_Footnote + 7 pt"/>
    <w:basedOn w:val="Normal"/>
    <w:next w:val="BGKeywords"/>
    <w:link w:val="StyleFACorrespondingAuthorFootnote7ptChar"/>
    <w:autoRedefine/>
    <w:rsid w:val="002704B3"/>
    <w:pPr>
      <w:spacing w:after="240" w:line="480" w:lineRule="auto"/>
    </w:pPr>
    <w:rPr>
      <w:rFonts w:asciiTheme="minorHAnsi" w:hAnsiTheme="minorHAnsi" w:cstheme="minorHAnsi"/>
      <w:kern w:val="20"/>
      <w:szCs w:val="24"/>
    </w:rPr>
  </w:style>
  <w:style w:type="character" w:customStyle="1" w:styleId="StyleFACorrespondingAuthorFootnote7ptChar">
    <w:name w:val="Style FA_Corresponding_Author_Footnote + 7 pt Char"/>
    <w:link w:val="StyleFACorrespondingAuthorFootnote7pt"/>
    <w:rsid w:val="002704B3"/>
    <w:rPr>
      <w:rFonts w:eastAsia="SimSun" w:cstheme="minorHAnsi"/>
      <w:kern w:val="20"/>
      <w:sz w:val="24"/>
      <w:szCs w:val="24"/>
      <w:lang w:eastAsia="en-US"/>
    </w:rPr>
  </w:style>
  <w:style w:type="paragraph" w:customStyle="1" w:styleId="FAAuthorInfoSubtitle">
    <w:name w:val="FA_Author_Info_Subtitle"/>
    <w:basedOn w:val="Normal"/>
    <w:link w:val="FAAuthorInfoSubtitleChar"/>
    <w:autoRedefine/>
    <w:rsid w:val="002704B3"/>
    <w:pPr>
      <w:spacing w:before="120" w:after="60" w:line="480" w:lineRule="auto"/>
      <w:jc w:val="left"/>
    </w:pPr>
    <w:rPr>
      <w:b/>
    </w:rPr>
  </w:style>
  <w:style w:type="character" w:customStyle="1" w:styleId="FAAuthorInfoSubtitleChar">
    <w:name w:val="FA_Author_Info_Subtitle Char"/>
    <w:link w:val="FAAuthorInfoSubtitle"/>
    <w:rsid w:val="002704B3"/>
    <w:rPr>
      <w:rFonts w:ascii="Times" w:eastAsia="SimSun" w:hAnsi="Times" w:cs="Times New Roman"/>
      <w:b/>
      <w:sz w:val="24"/>
      <w:szCs w:val="20"/>
      <w:lang w:eastAsia="en-US"/>
    </w:rPr>
  </w:style>
  <w:style w:type="paragraph" w:customStyle="1" w:styleId="Default">
    <w:name w:val="Default"/>
    <w:rsid w:val="002704B3"/>
    <w:pPr>
      <w:autoSpaceDE w:val="0"/>
      <w:autoSpaceDN w:val="0"/>
      <w:adjustRightInd w:val="0"/>
      <w:spacing w:after="0" w:line="240" w:lineRule="auto"/>
    </w:pPr>
    <w:rPr>
      <w:rFonts w:ascii="Symbol" w:eastAsia="SimSun" w:hAnsi="Symbol" w:cs="Symbol"/>
      <w:color w:val="000000"/>
      <w:sz w:val="24"/>
      <w:szCs w:val="24"/>
      <w:lang w:eastAsia="en-US"/>
    </w:rPr>
  </w:style>
  <w:style w:type="table" w:styleId="TableGrid">
    <w:name w:val="Table Grid"/>
    <w:basedOn w:val="TableNormal"/>
    <w:uiPriority w:val="39"/>
    <w:rsid w:val="002704B3"/>
    <w:pPr>
      <w:spacing w:after="0" w:line="240" w:lineRule="auto"/>
    </w:pPr>
    <w:rPr>
      <w:rFonts w:ascii="New York" w:eastAsia="SimSun" w:hAnsi="New York" w:cs="Times New Roman"/>
      <w:sz w:val="20"/>
      <w:szCs w:val="20"/>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1">
    <w:name w:val="Grid Table 1 Light - Accent 11"/>
    <w:basedOn w:val="TableNormal"/>
    <w:uiPriority w:val="46"/>
    <w:rsid w:val="002704B3"/>
    <w:pPr>
      <w:spacing w:after="0" w:line="240" w:lineRule="auto"/>
    </w:pPr>
    <w:rPr>
      <w:rFonts w:ascii="New York" w:eastAsia="SimSun" w:hAnsi="New York" w:cs="Times New Roman"/>
      <w:sz w:val="20"/>
      <w:szCs w:val="20"/>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2704B3"/>
    <w:pPr>
      <w:tabs>
        <w:tab w:val="center" w:pos="4680"/>
        <w:tab w:val="right" w:pos="9360"/>
      </w:tabs>
      <w:spacing w:after="0"/>
    </w:pPr>
  </w:style>
  <w:style w:type="character" w:customStyle="1" w:styleId="HeaderChar">
    <w:name w:val="Header Char"/>
    <w:basedOn w:val="DefaultParagraphFont"/>
    <w:link w:val="Header"/>
    <w:rsid w:val="002704B3"/>
    <w:rPr>
      <w:rFonts w:ascii="Times" w:eastAsia="SimSun" w:hAnsi="Times" w:cs="Times New Roman"/>
      <w:sz w:val="24"/>
      <w:szCs w:val="20"/>
      <w:lang w:eastAsia="en-US"/>
    </w:rPr>
  </w:style>
  <w:style w:type="paragraph" w:styleId="ListParagraph">
    <w:name w:val="List Paragraph"/>
    <w:basedOn w:val="Normal"/>
    <w:uiPriority w:val="34"/>
    <w:qFormat/>
    <w:rsid w:val="002704B3"/>
    <w:pPr>
      <w:ind w:left="720"/>
      <w:contextualSpacing/>
    </w:pPr>
  </w:style>
  <w:style w:type="character" w:styleId="CommentReference">
    <w:name w:val="annotation reference"/>
    <w:basedOn w:val="DefaultParagraphFont"/>
    <w:semiHidden/>
    <w:unhideWhenUsed/>
    <w:rsid w:val="002704B3"/>
    <w:rPr>
      <w:sz w:val="16"/>
      <w:szCs w:val="16"/>
    </w:rPr>
  </w:style>
  <w:style w:type="paragraph" w:styleId="CommentText">
    <w:name w:val="annotation text"/>
    <w:basedOn w:val="Normal"/>
    <w:link w:val="CommentTextChar"/>
    <w:unhideWhenUsed/>
    <w:rsid w:val="002704B3"/>
    <w:rPr>
      <w:sz w:val="20"/>
    </w:rPr>
  </w:style>
  <w:style w:type="character" w:customStyle="1" w:styleId="CommentTextChar">
    <w:name w:val="Comment Text Char"/>
    <w:basedOn w:val="DefaultParagraphFont"/>
    <w:link w:val="CommentText"/>
    <w:rsid w:val="002704B3"/>
    <w:rPr>
      <w:rFonts w:ascii="Times" w:eastAsia="SimSun" w:hAnsi="Times" w:cs="Times New Roman"/>
      <w:sz w:val="20"/>
      <w:szCs w:val="20"/>
      <w:lang w:eastAsia="en-US"/>
    </w:rPr>
  </w:style>
  <w:style w:type="paragraph" w:styleId="CommentSubject">
    <w:name w:val="annotation subject"/>
    <w:basedOn w:val="CommentText"/>
    <w:next w:val="CommentText"/>
    <w:link w:val="CommentSubjectChar"/>
    <w:semiHidden/>
    <w:unhideWhenUsed/>
    <w:rsid w:val="002704B3"/>
    <w:rPr>
      <w:b/>
      <w:bCs/>
    </w:rPr>
  </w:style>
  <w:style w:type="character" w:customStyle="1" w:styleId="CommentSubjectChar">
    <w:name w:val="Comment Subject Char"/>
    <w:basedOn w:val="CommentTextChar"/>
    <w:link w:val="CommentSubject"/>
    <w:semiHidden/>
    <w:rsid w:val="002704B3"/>
    <w:rPr>
      <w:rFonts w:ascii="Times" w:eastAsia="SimSun" w:hAnsi="Times" w:cs="Times New Roman"/>
      <w:b/>
      <w:bCs/>
      <w:sz w:val="20"/>
      <w:szCs w:val="20"/>
      <w:lang w:eastAsia="en-US"/>
    </w:rPr>
  </w:style>
  <w:style w:type="character" w:styleId="PlaceholderText">
    <w:name w:val="Placeholder Text"/>
    <w:basedOn w:val="DefaultParagraphFont"/>
    <w:uiPriority w:val="99"/>
    <w:semiHidden/>
    <w:rsid w:val="002704B3"/>
    <w:rPr>
      <w:color w:val="808080"/>
    </w:rPr>
  </w:style>
  <w:style w:type="paragraph" w:styleId="NormalWeb">
    <w:name w:val="Normal (Web)"/>
    <w:basedOn w:val="Normal"/>
    <w:uiPriority w:val="99"/>
    <w:unhideWhenUsed/>
    <w:rsid w:val="002704B3"/>
    <w:pPr>
      <w:spacing w:before="100" w:beforeAutospacing="1" w:after="100" w:afterAutospacing="1"/>
      <w:jc w:val="left"/>
    </w:pPr>
    <w:rPr>
      <w:rFonts w:ascii="Times New Roman" w:eastAsia="Times New Roman" w:hAnsi="Times New Roman"/>
      <w:szCs w:val="24"/>
      <w:lang w:val="en-CA" w:eastAsia="zh-CN"/>
    </w:rPr>
  </w:style>
  <w:style w:type="paragraph" w:styleId="Caption">
    <w:name w:val="caption"/>
    <w:basedOn w:val="Normal"/>
    <w:next w:val="Normal"/>
    <w:uiPriority w:val="35"/>
    <w:unhideWhenUsed/>
    <w:qFormat/>
    <w:rsid w:val="002704B3"/>
    <w:rPr>
      <w:i/>
      <w:iCs/>
      <w:color w:val="44546A" w:themeColor="text2"/>
      <w:sz w:val="18"/>
      <w:szCs w:val="18"/>
    </w:rPr>
  </w:style>
  <w:style w:type="character" w:styleId="FootnoteReference">
    <w:name w:val="footnote reference"/>
    <w:basedOn w:val="DefaultParagraphFont"/>
    <w:uiPriority w:val="99"/>
    <w:semiHidden/>
    <w:unhideWhenUsed/>
    <w:rsid w:val="002704B3"/>
    <w:rPr>
      <w:vertAlign w:val="superscript"/>
    </w:rPr>
  </w:style>
  <w:style w:type="paragraph" w:styleId="Revision">
    <w:name w:val="Revision"/>
    <w:hidden/>
    <w:uiPriority w:val="99"/>
    <w:semiHidden/>
    <w:rsid w:val="002704B3"/>
    <w:pPr>
      <w:spacing w:after="0" w:line="240" w:lineRule="auto"/>
    </w:pPr>
    <w:rPr>
      <w:rFonts w:ascii="Times" w:eastAsia="SimSun" w:hAnsi="Times" w:cs="Times New Roman"/>
      <w:sz w:val="24"/>
      <w:szCs w:val="20"/>
      <w:lang w:eastAsia="en-US"/>
    </w:rPr>
  </w:style>
  <w:style w:type="paragraph" w:customStyle="1" w:styleId="History">
    <w:name w:val="History"/>
    <w:basedOn w:val="Normal"/>
    <w:rsid w:val="000802ED"/>
    <w:pPr>
      <w:spacing w:before="230" w:after="460" w:line="180" w:lineRule="exact"/>
      <w:jc w:val="right"/>
    </w:pPr>
    <w:rPr>
      <w:rFonts w:ascii="Arial" w:eastAsia="MS Mincho" w:hAnsi="Arial"/>
      <w:sz w:val="14"/>
      <w:szCs w:val="16"/>
      <w:lang w:val="de-DE" w:eastAsia="ja-JP"/>
    </w:rPr>
  </w:style>
  <w:style w:type="paragraph" w:customStyle="1" w:styleId="References">
    <w:name w:val="References"/>
    <w:basedOn w:val="Normal"/>
    <w:rsid w:val="000802ED"/>
    <w:pPr>
      <w:spacing w:after="0" w:line="200" w:lineRule="exact"/>
      <w:ind w:left="425" w:hanging="425"/>
    </w:pPr>
    <w:rPr>
      <w:rFonts w:ascii="Times New Roman" w:eastAsia="MS Mincho" w:hAnsi="Times New Roman"/>
      <w:sz w:val="15"/>
      <w:szCs w:val="14"/>
      <w:lang w:val="en-GB" w:eastAsia="ja-JP"/>
    </w:rPr>
  </w:style>
  <w:style w:type="paragraph" w:customStyle="1" w:styleId="HExperimentalSection">
    <w:name w:val="HExperimental_Section"/>
    <w:basedOn w:val="Normal"/>
    <w:rsid w:val="000802ED"/>
    <w:pPr>
      <w:spacing w:before="460" w:after="230" w:line="230" w:lineRule="atLeast"/>
      <w:jc w:val="left"/>
    </w:pPr>
    <w:rPr>
      <w:rFonts w:ascii="Times New Roman" w:eastAsia="MS Mincho" w:hAnsi="Times New Roman"/>
      <w:i/>
      <w:lang w:val="de-DE" w:eastAsia="ja-JP"/>
    </w:rPr>
  </w:style>
  <w:style w:type="paragraph" w:customStyle="1" w:styleId="ExperimentalSection">
    <w:name w:val="ExperimentalSection"/>
    <w:basedOn w:val="Normal"/>
    <w:rsid w:val="000802ED"/>
    <w:pPr>
      <w:spacing w:after="240" w:line="200" w:lineRule="exact"/>
      <w:ind w:firstLine="170"/>
    </w:pPr>
    <w:rPr>
      <w:rFonts w:ascii="Times New Roman" w:eastAsia="MS Mincho" w:hAnsi="Times New Roman"/>
      <w:sz w:val="16"/>
      <w:szCs w:val="14"/>
      <w:lang w:val="en-GB" w:eastAsia="ja-JP"/>
    </w:rPr>
  </w:style>
  <w:style w:type="paragraph" w:customStyle="1" w:styleId="FNB">
    <w:name w:val="FNB"/>
    <w:basedOn w:val="Normal"/>
    <w:link w:val="FNBChar"/>
    <w:rsid w:val="000802ED"/>
    <w:pPr>
      <w:widowControl w:val="0"/>
      <w:spacing w:after="40" w:line="160" w:lineRule="exact"/>
      <w:ind w:left="567" w:right="4434" w:hanging="567"/>
    </w:pPr>
    <w:rPr>
      <w:rFonts w:eastAsia="MS Mincho"/>
      <w:sz w:val="14"/>
      <w:szCs w:val="3276"/>
      <w:lang w:val="en-GB" w:eastAsia="de-DE"/>
    </w:rPr>
  </w:style>
  <w:style w:type="character" w:customStyle="1" w:styleId="FNBChar">
    <w:name w:val="FNB Char"/>
    <w:link w:val="FNB"/>
    <w:rsid w:val="000802ED"/>
    <w:rPr>
      <w:rFonts w:ascii="Times" w:eastAsia="MS Mincho" w:hAnsi="Times" w:cs="Times New Roman"/>
      <w:sz w:val="14"/>
      <w:szCs w:val="3276"/>
      <w:lang w:val="en-GB" w:eastAsia="de-DE"/>
    </w:rPr>
  </w:style>
  <w:style w:type="paragraph" w:customStyle="1" w:styleId="Ack">
    <w:name w:val="Ack"/>
    <w:basedOn w:val="Normal"/>
    <w:rsid w:val="000802ED"/>
    <w:pPr>
      <w:spacing w:after="0"/>
      <w:jc w:val="left"/>
    </w:pPr>
    <w:rPr>
      <w:rFonts w:ascii="Times New Roman" w:eastAsia="MS Mincho" w:hAnsi="Times New Roman"/>
      <w:szCs w:val="24"/>
      <w:lang w:val="de-DE" w:eastAsia="ja-JP"/>
    </w:rPr>
  </w:style>
  <w:style w:type="paragraph" w:customStyle="1" w:styleId="TableCaption">
    <w:name w:val="TableCaption"/>
    <w:basedOn w:val="Normal"/>
    <w:rsid w:val="000802ED"/>
    <w:pPr>
      <w:spacing w:after="120" w:line="190" w:lineRule="exact"/>
    </w:pPr>
    <w:rPr>
      <w:rFonts w:ascii="Arial" w:eastAsia="MS Mincho" w:hAnsi="Arial"/>
      <w:sz w:val="16"/>
      <w:szCs w:val="14"/>
      <w:lang w:val="en-GB" w:eastAsia="ja-JP"/>
    </w:rPr>
  </w:style>
  <w:style w:type="paragraph" w:customStyle="1" w:styleId="TableHead">
    <w:name w:val="TableHead"/>
    <w:basedOn w:val="TableCaption"/>
    <w:rsid w:val="000802ED"/>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0802ED"/>
  </w:style>
  <w:style w:type="paragraph" w:customStyle="1" w:styleId="TableFoot">
    <w:name w:val="TableFoot"/>
    <w:basedOn w:val="TableBody"/>
    <w:rsid w:val="000802ED"/>
    <w:pPr>
      <w:spacing w:before="60" w:after="60"/>
    </w:pPr>
  </w:style>
  <w:style w:type="paragraph" w:customStyle="1" w:styleId="SchemeCaption">
    <w:name w:val="SchemeCaption"/>
    <w:basedOn w:val="Normal"/>
    <w:rsid w:val="000802ED"/>
    <w:pPr>
      <w:spacing w:before="230" w:after="460" w:line="190" w:lineRule="exact"/>
    </w:pPr>
    <w:rPr>
      <w:rFonts w:ascii="Arial" w:eastAsia="MS Mincho" w:hAnsi="Arial"/>
      <w:sz w:val="16"/>
      <w:szCs w:val="14"/>
      <w:lang w:val="en-GB" w:eastAsia="ja-JP"/>
    </w:rPr>
  </w:style>
  <w:style w:type="paragraph" w:customStyle="1" w:styleId="STOE">
    <w:name w:val="STOE"/>
    <w:basedOn w:val="Normal"/>
    <w:link w:val="STOEChar1"/>
    <w:rsid w:val="000802ED"/>
    <w:pPr>
      <w:widowControl w:val="0"/>
      <w:spacing w:after="0" w:line="236" w:lineRule="exact"/>
      <w:ind w:right="4434"/>
    </w:pPr>
    <w:rPr>
      <w:rFonts w:eastAsia="MS Mincho"/>
      <w:sz w:val="18"/>
      <w:szCs w:val="3276"/>
      <w:lang w:val="en-GB" w:eastAsia="de-DE"/>
    </w:rPr>
  </w:style>
  <w:style w:type="character" w:customStyle="1" w:styleId="STOEChar1">
    <w:name w:val="STOE Char1"/>
    <w:link w:val="STOE"/>
    <w:rsid w:val="000802ED"/>
    <w:rPr>
      <w:rFonts w:ascii="Times" w:eastAsia="MS Mincho" w:hAnsi="Times" w:cs="Times New Roman"/>
      <w:sz w:val="18"/>
      <w:szCs w:val="3276"/>
      <w:lang w:val="en-GB" w:eastAsia="de-DE"/>
    </w:rPr>
  </w:style>
  <w:style w:type="paragraph" w:customStyle="1" w:styleId="Title1">
    <w:name w:val="Title1"/>
    <w:basedOn w:val="Normal"/>
    <w:rsid w:val="000802ED"/>
    <w:pPr>
      <w:spacing w:after="0"/>
      <w:jc w:val="left"/>
    </w:pPr>
    <w:rPr>
      <w:rFonts w:ascii="Times New Roman" w:eastAsia="MS Mincho" w:hAnsi="Times New Roman"/>
      <w:b/>
      <w:szCs w:val="24"/>
      <w:lang w:eastAsia="ja-JP"/>
    </w:rPr>
  </w:style>
  <w:style w:type="paragraph" w:customStyle="1" w:styleId="AuthorsFull">
    <w:name w:val="Authors Full"/>
    <w:basedOn w:val="Normal"/>
    <w:rsid w:val="000802ED"/>
    <w:pPr>
      <w:spacing w:after="0"/>
      <w:jc w:val="left"/>
    </w:pPr>
    <w:rPr>
      <w:rFonts w:ascii="Times New Roman" w:eastAsia="MS Mincho" w:hAnsi="Times New Roman"/>
      <w:i/>
      <w:szCs w:val="24"/>
      <w:lang w:eastAsia="ja-JP"/>
    </w:rPr>
  </w:style>
  <w:style w:type="paragraph" w:customStyle="1" w:styleId="dedication">
    <w:name w:val="dedication"/>
    <w:basedOn w:val="Normal"/>
    <w:rsid w:val="000802ED"/>
    <w:pPr>
      <w:spacing w:after="0"/>
      <w:jc w:val="left"/>
    </w:pPr>
    <w:rPr>
      <w:rFonts w:ascii="Times New Roman" w:eastAsia="MS Mincho" w:hAnsi="Times New Roman"/>
      <w:i/>
      <w:szCs w:val="24"/>
      <w:lang w:eastAsia="ja-JP"/>
    </w:rPr>
  </w:style>
  <w:style w:type="paragraph" w:customStyle="1" w:styleId="Addresses">
    <w:name w:val="Addresses"/>
    <w:basedOn w:val="Normal"/>
    <w:rsid w:val="000802ED"/>
    <w:pPr>
      <w:spacing w:after="0"/>
      <w:jc w:val="left"/>
    </w:pPr>
    <w:rPr>
      <w:rFonts w:ascii="Times New Roman" w:eastAsia="MS Mincho" w:hAnsi="Times New Roman"/>
      <w:szCs w:val="24"/>
      <w:lang w:eastAsia="ja-JP"/>
    </w:rPr>
  </w:style>
  <w:style w:type="paragraph" w:customStyle="1" w:styleId="Acknowledgements">
    <w:name w:val="Acknowledgements"/>
    <w:basedOn w:val="Normal"/>
    <w:rsid w:val="000802ED"/>
    <w:pPr>
      <w:spacing w:after="0"/>
      <w:jc w:val="left"/>
    </w:pPr>
    <w:rPr>
      <w:rFonts w:ascii="Times New Roman" w:eastAsia="MS Mincho" w:hAnsi="Times New Roman"/>
      <w:szCs w:val="24"/>
      <w:lang w:eastAsia="ja-JP"/>
    </w:rPr>
  </w:style>
  <w:style w:type="paragraph" w:customStyle="1" w:styleId="Abstract">
    <w:name w:val="Abstract"/>
    <w:basedOn w:val="Normal"/>
    <w:autoRedefine/>
    <w:rsid w:val="000802ED"/>
    <w:pPr>
      <w:spacing w:after="0" w:line="480" w:lineRule="auto"/>
      <w:jc w:val="left"/>
    </w:pPr>
    <w:rPr>
      <w:rFonts w:ascii="Times New Roman" w:eastAsia="MS Mincho" w:hAnsi="Times New Roman"/>
      <w:szCs w:val="24"/>
      <w:lang w:eastAsia="ja-JP"/>
    </w:rPr>
  </w:style>
  <w:style w:type="paragraph" w:customStyle="1" w:styleId="Head1">
    <w:name w:val="Head 1"/>
    <w:basedOn w:val="Normal"/>
    <w:autoRedefine/>
    <w:rsid w:val="000802ED"/>
    <w:pPr>
      <w:spacing w:after="0" w:line="360" w:lineRule="auto"/>
      <w:jc w:val="left"/>
    </w:pPr>
    <w:rPr>
      <w:rFonts w:ascii="Times New Roman" w:eastAsia="MS Mincho" w:hAnsi="Times New Roman"/>
      <w:b/>
      <w:szCs w:val="24"/>
      <w:lang w:eastAsia="ja-JP"/>
    </w:rPr>
  </w:style>
  <w:style w:type="paragraph" w:customStyle="1" w:styleId="Head2">
    <w:name w:val="Head 2"/>
    <w:basedOn w:val="Normal"/>
    <w:autoRedefine/>
    <w:rsid w:val="000802ED"/>
    <w:pPr>
      <w:spacing w:after="0" w:line="360" w:lineRule="auto"/>
      <w:jc w:val="left"/>
    </w:pPr>
    <w:rPr>
      <w:rFonts w:ascii="Times New Roman" w:eastAsia="MS Mincho" w:hAnsi="Times New Roman"/>
      <w:i/>
      <w:szCs w:val="24"/>
      <w:lang w:eastAsia="ja-JP"/>
    </w:rPr>
  </w:style>
  <w:style w:type="paragraph" w:customStyle="1" w:styleId="dates">
    <w:name w:val="dates"/>
    <w:basedOn w:val="Normal"/>
    <w:rsid w:val="000802ED"/>
    <w:pPr>
      <w:spacing w:after="0"/>
      <w:jc w:val="right"/>
    </w:pPr>
    <w:rPr>
      <w:rFonts w:ascii="Times New Roman" w:eastAsia="MS Mincho" w:hAnsi="Times New Roman"/>
      <w:szCs w:val="24"/>
      <w:lang w:eastAsia="ja-JP"/>
    </w:rPr>
  </w:style>
  <w:style w:type="paragraph" w:customStyle="1" w:styleId="Literature">
    <w:name w:val="Literature"/>
    <w:basedOn w:val="Normal"/>
    <w:rsid w:val="000802ED"/>
    <w:pPr>
      <w:spacing w:after="0" w:line="480" w:lineRule="auto"/>
      <w:jc w:val="left"/>
    </w:pPr>
    <w:rPr>
      <w:rFonts w:ascii="Times New Roman" w:eastAsia="MS Mincho" w:hAnsi="Times New Roman"/>
      <w:szCs w:val="24"/>
      <w:lang w:val="de-DE" w:eastAsia="ja-JP"/>
    </w:rPr>
  </w:style>
  <w:style w:type="paragraph" w:customStyle="1" w:styleId="Legend">
    <w:name w:val="Legend"/>
    <w:basedOn w:val="Normal"/>
    <w:rsid w:val="000802ED"/>
    <w:pPr>
      <w:spacing w:after="0"/>
      <w:jc w:val="left"/>
    </w:pPr>
    <w:rPr>
      <w:rFonts w:ascii="Times New Roman" w:eastAsia="MS Mincho" w:hAnsi="Times New Roman"/>
      <w:szCs w:val="24"/>
      <w:lang w:eastAsia="ja-JP"/>
    </w:rPr>
  </w:style>
  <w:style w:type="paragraph" w:customStyle="1" w:styleId="MainText">
    <w:name w:val="Main Text"/>
    <w:basedOn w:val="Normal"/>
    <w:link w:val="MainTextChar"/>
    <w:rsid w:val="000802ED"/>
    <w:pPr>
      <w:spacing w:after="0" w:line="480" w:lineRule="auto"/>
      <w:jc w:val="left"/>
    </w:pPr>
    <w:rPr>
      <w:rFonts w:ascii="Times New Roman" w:eastAsia="MS Mincho" w:hAnsi="Times New Roman"/>
      <w:szCs w:val="24"/>
      <w:lang w:eastAsia="ja-JP"/>
    </w:rPr>
  </w:style>
  <w:style w:type="paragraph" w:customStyle="1" w:styleId="Tableofcontents">
    <w:name w:val="Table of contents"/>
    <w:basedOn w:val="Normal"/>
    <w:autoRedefine/>
    <w:rsid w:val="000802ED"/>
    <w:pPr>
      <w:spacing w:after="0"/>
      <w:jc w:val="left"/>
    </w:pPr>
    <w:rPr>
      <w:rFonts w:ascii="Times New Roman" w:eastAsia="MS Mincho" w:hAnsi="Times New Roman"/>
      <w:szCs w:val="24"/>
      <w:lang w:eastAsia="ja-JP"/>
    </w:rPr>
  </w:style>
  <w:style w:type="paragraph" w:customStyle="1" w:styleId="ExperimentalText">
    <w:name w:val="Experimental Text"/>
    <w:basedOn w:val="Normal"/>
    <w:link w:val="ExperimentalTextChar"/>
    <w:rsid w:val="000802ED"/>
    <w:pPr>
      <w:spacing w:after="0" w:line="480" w:lineRule="auto"/>
      <w:jc w:val="left"/>
    </w:pPr>
    <w:rPr>
      <w:rFonts w:ascii="Times New Roman" w:eastAsia="MS Mincho" w:hAnsi="Times New Roman"/>
      <w:szCs w:val="24"/>
      <w:lang w:eastAsia="ja-JP"/>
    </w:rPr>
  </w:style>
  <w:style w:type="character" w:customStyle="1" w:styleId="ExperimentalTextChar">
    <w:name w:val="Experimental Text Char"/>
    <w:link w:val="ExperimentalText"/>
    <w:rsid w:val="000802ED"/>
    <w:rPr>
      <w:rFonts w:ascii="Times New Roman" w:eastAsia="MS Mincho" w:hAnsi="Times New Roman" w:cs="Times New Roman"/>
      <w:sz w:val="24"/>
      <w:szCs w:val="24"/>
      <w:lang w:eastAsia="ja-JP"/>
    </w:rPr>
  </w:style>
  <w:style w:type="character" w:customStyle="1" w:styleId="MainTextChar">
    <w:name w:val="Main Text Char"/>
    <w:link w:val="MainText"/>
    <w:rsid w:val="000802ED"/>
    <w:rPr>
      <w:rFonts w:ascii="Times New Roman" w:eastAsia="MS Mincho" w:hAnsi="Times New Roman" w:cs="Times New Roman"/>
      <w:sz w:val="24"/>
      <w:szCs w:val="24"/>
      <w:lang w:eastAsia="ja-JP"/>
    </w:rPr>
  </w:style>
  <w:style w:type="paragraph" w:customStyle="1" w:styleId="Title2">
    <w:name w:val="Title2"/>
    <w:basedOn w:val="Normal"/>
    <w:rsid w:val="000802ED"/>
    <w:pPr>
      <w:spacing w:after="0"/>
      <w:jc w:val="left"/>
    </w:pPr>
    <w:rPr>
      <w:rFonts w:ascii="Times New Roman" w:eastAsia="MS Mincho" w:hAnsi="Times New Roman"/>
      <w:b/>
      <w:szCs w:val="24"/>
      <w:lang w:eastAsia="ja-JP"/>
    </w:rPr>
  </w:style>
  <w:style w:type="paragraph" w:customStyle="1" w:styleId="Dedication0">
    <w:name w:val="Dedication"/>
    <w:basedOn w:val="Normal"/>
    <w:autoRedefine/>
    <w:rsid w:val="000802ED"/>
    <w:pPr>
      <w:spacing w:after="0"/>
      <w:jc w:val="left"/>
    </w:pPr>
    <w:rPr>
      <w:rFonts w:ascii="Times New Roman" w:eastAsia="MS Mincho" w:hAnsi="Times New Roman"/>
      <w:szCs w:val="24"/>
      <w:lang w:eastAsia="ja-JP"/>
    </w:rPr>
  </w:style>
  <w:style w:type="paragraph" w:customStyle="1" w:styleId="Maintext0">
    <w:name w:val="Main text"/>
    <w:basedOn w:val="Normal"/>
    <w:link w:val="MaintextChar0"/>
    <w:autoRedefine/>
    <w:rsid w:val="000802ED"/>
    <w:pPr>
      <w:spacing w:after="0" w:line="480" w:lineRule="auto"/>
      <w:jc w:val="left"/>
    </w:pPr>
    <w:rPr>
      <w:rFonts w:ascii="Times New Roman" w:eastAsia="MS Mincho" w:hAnsi="Times New Roman"/>
      <w:szCs w:val="24"/>
      <w:lang w:eastAsia="ja-JP"/>
    </w:rPr>
  </w:style>
  <w:style w:type="character" w:customStyle="1" w:styleId="MaintextChar0">
    <w:name w:val="Main text Char"/>
    <w:link w:val="Maintext0"/>
    <w:rsid w:val="000802ED"/>
    <w:rPr>
      <w:rFonts w:ascii="Times New Roman" w:eastAsia="MS Mincho" w:hAnsi="Times New Roman" w:cs="Times New Roman"/>
      <w:sz w:val="24"/>
      <w:szCs w:val="24"/>
      <w:lang w:eastAsia="ja-JP"/>
    </w:rPr>
  </w:style>
  <w:style w:type="paragraph" w:customStyle="1" w:styleId="Biography">
    <w:name w:val="Biography"/>
    <w:basedOn w:val="Normal"/>
    <w:autoRedefine/>
    <w:rsid w:val="000802ED"/>
    <w:pPr>
      <w:spacing w:after="0"/>
      <w:jc w:val="left"/>
    </w:pPr>
    <w:rPr>
      <w:rFonts w:ascii="Times New Roman" w:eastAsia="MS Mincho" w:hAnsi="Times New Roman"/>
      <w:i/>
      <w:szCs w:val="24"/>
      <w:lang w:eastAsia="ja-JP"/>
    </w:rPr>
  </w:style>
  <w:style w:type="paragraph" w:customStyle="1" w:styleId="Paragraph">
    <w:name w:val="Paragraph"/>
    <w:basedOn w:val="Normal"/>
    <w:rsid w:val="00A22D80"/>
    <w:pPr>
      <w:spacing w:before="120" w:after="0"/>
      <w:ind w:firstLine="720"/>
      <w:jc w:val="left"/>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drewFlood\Documents\Organized\APD%20Group\Projects\AlN%20Stuff\Bright%20Article%20XPS\Silicon%20Nitride\index%20cha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Sheet2!$B$1</c:f>
              <c:strCache>
                <c:ptCount val="1"/>
                <c:pt idx="0">
                  <c:v>Refractive Index</c:v>
                </c:pt>
              </c:strCache>
            </c:strRef>
          </c:tx>
          <c:spPr>
            <a:ln w="28575" cap="rnd">
              <a:solidFill>
                <a:schemeClr val="accent1"/>
              </a:solidFill>
              <a:round/>
            </a:ln>
            <a:effectLst/>
          </c:spPr>
          <c:marker>
            <c:symbol val="none"/>
          </c:marker>
          <c:xVal>
            <c:numRef>
              <c:f>Sheet2!$D$2:$D$132</c:f>
              <c:numCache>
                <c:formatCode>General</c:formatCode>
                <c:ptCount val="131"/>
                <c:pt idx="0">
                  <c:v>200</c:v>
                </c:pt>
                <c:pt idx="1">
                  <c:v>205</c:v>
                </c:pt>
                <c:pt idx="2">
                  <c:v>210</c:v>
                </c:pt>
                <c:pt idx="3">
                  <c:v>215</c:v>
                </c:pt>
                <c:pt idx="4">
                  <c:v>220</c:v>
                </c:pt>
                <c:pt idx="5">
                  <c:v>225</c:v>
                </c:pt>
                <c:pt idx="6">
                  <c:v>230</c:v>
                </c:pt>
                <c:pt idx="7">
                  <c:v>235</c:v>
                </c:pt>
                <c:pt idx="8">
                  <c:v>240</c:v>
                </c:pt>
                <c:pt idx="9">
                  <c:v>245</c:v>
                </c:pt>
                <c:pt idx="10">
                  <c:v>250</c:v>
                </c:pt>
                <c:pt idx="11">
                  <c:v>255</c:v>
                </c:pt>
                <c:pt idx="12">
                  <c:v>260</c:v>
                </c:pt>
                <c:pt idx="13">
                  <c:v>265</c:v>
                </c:pt>
                <c:pt idx="14">
                  <c:v>270</c:v>
                </c:pt>
                <c:pt idx="15">
                  <c:v>275</c:v>
                </c:pt>
                <c:pt idx="16">
                  <c:v>280</c:v>
                </c:pt>
                <c:pt idx="17">
                  <c:v>285</c:v>
                </c:pt>
                <c:pt idx="18">
                  <c:v>290</c:v>
                </c:pt>
                <c:pt idx="19">
                  <c:v>295</c:v>
                </c:pt>
                <c:pt idx="20">
                  <c:v>300</c:v>
                </c:pt>
                <c:pt idx="21">
                  <c:v>305</c:v>
                </c:pt>
                <c:pt idx="22">
                  <c:v>310</c:v>
                </c:pt>
                <c:pt idx="23">
                  <c:v>315</c:v>
                </c:pt>
                <c:pt idx="24">
                  <c:v>320</c:v>
                </c:pt>
                <c:pt idx="25">
                  <c:v>325</c:v>
                </c:pt>
                <c:pt idx="26">
                  <c:v>330</c:v>
                </c:pt>
                <c:pt idx="27">
                  <c:v>335</c:v>
                </c:pt>
                <c:pt idx="28">
                  <c:v>340</c:v>
                </c:pt>
                <c:pt idx="29">
                  <c:v>345</c:v>
                </c:pt>
                <c:pt idx="30">
                  <c:v>350</c:v>
                </c:pt>
                <c:pt idx="31">
                  <c:v>355</c:v>
                </c:pt>
                <c:pt idx="32">
                  <c:v>360</c:v>
                </c:pt>
                <c:pt idx="33">
                  <c:v>365</c:v>
                </c:pt>
                <c:pt idx="34">
                  <c:v>370</c:v>
                </c:pt>
                <c:pt idx="35">
                  <c:v>375</c:v>
                </c:pt>
                <c:pt idx="36">
                  <c:v>380</c:v>
                </c:pt>
                <c:pt idx="37">
                  <c:v>385</c:v>
                </c:pt>
                <c:pt idx="38">
                  <c:v>390</c:v>
                </c:pt>
                <c:pt idx="39">
                  <c:v>395</c:v>
                </c:pt>
                <c:pt idx="40">
                  <c:v>400</c:v>
                </c:pt>
                <c:pt idx="41">
                  <c:v>405</c:v>
                </c:pt>
                <c:pt idx="42">
                  <c:v>410</c:v>
                </c:pt>
                <c:pt idx="43">
                  <c:v>415</c:v>
                </c:pt>
                <c:pt idx="44">
                  <c:v>420</c:v>
                </c:pt>
                <c:pt idx="45">
                  <c:v>425</c:v>
                </c:pt>
                <c:pt idx="46">
                  <c:v>430</c:v>
                </c:pt>
                <c:pt idx="47">
                  <c:v>435</c:v>
                </c:pt>
                <c:pt idx="48">
                  <c:v>440</c:v>
                </c:pt>
                <c:pt idx="49">
                  <c:v>445</c:v>
                </c:pt>
                <c:pt idx="50">
                  <c:v>450</c:v>
                </c:pt>
                <c:pt idx="51">
                  <c:v>455</c:v>
                </c:pt>
                <c:pt idx="52">
                  <c:v>460</c:v>
                </c:pt>
                <c:pt idx="53">
                  <c:v>465</c:v>
                </c:pt>
                <c:pt idx="54">
                  <c:v>470</c:v>
                </c:pt>
                <c:pt idx="55">
                  <c:v>475</c:v>
                </c:pt>
                <c:pt idx="56">
                  <c:v>480</c:v>
                </c:pt>
                <c:pt idx="57">
                  <c:v>485</c:v>
                </c:pt>
                <c:pt idx="58">
                  <c:v>490</c:v>
                </c:pt>
                <c:pt idx="59">
                  <c:v>495</c:v>
                </c:pt>
                <c:pt idx="60">
                  <c:v>500</c:v>
                </c:pt>
                <c:pt idx="61">
                  <c:v>505</c:v>
                </c:pt>
                <c:pt idx="62">
                  <c:v>510</c:v>
                </c:pt>
                <c:pt idx="63">
                  <c:v>515</c:v>
                </c:pt>
                <c:pt idx="64">
                  <c:v>520</c:v>
                </c:pt>
                <c:pt idx="65">
                  <c:v>525</c:v>
                </c:pt>
                <c:pt idx="66">
                  <c:v>530</c:v>
                </c:pt>
                <c:pt idx="67">
                  <c:v>535</c:v>
                </c:pt>
                <c:pt idx="68">
                  <c:v>540</c:v>
                </c:pt>
                <c:pt idx="69">
                  <c:v>545</c:v>
                </c:pt>
                <c:pt idx="70">
                  <c:v>550</c:v>
                </c:pt>
                <c:pt idx="71">
                  <c:v>555</c:v>
                </c:pt>
                <c:pt idx="72">
                  <c:v>560</c:v>
                </c:pt>
                <c:pt idx="73">
                  <c:v>565</c:v>
                </c:pt>
                <c:pt idx="74">
                  <c:v>570</c:v>
                </c:pt>
                <c:pt idx="75">
                  <c:v>575</c:v>
                </c:pt>
                <c:pt idx="76">
                  <c:v>580</c:v>
                </c:pt>
                <c:pt idx="77">
                  <c:v>585</c:v>
                </c:pt>
                <c:pt idx="78">
                  <c:v>590</c:v>
                </c:pt>
                <c:pt idx="79">
                  <c:v>595</c:v>
                </c:pt>
                <c:pt idx="80">
                  <c:v>600</c:v>
                </c:pt>
                <c:pt idx="81">
                  <c:v>605</c:v>
                </c:pt>
                <c:pt idx="82">
                  <c:v>610</c:v>
                </c:pt>
                <c:pt idx="83">
                  <c:v>615</c:v>
                </c:pt>
                <c:pt idx="84">
                  <c:v>620</c:v>
                </c:pt>
                <c:pt idx="85">
                  <c:v>625</c:v>
                </c:pt>
                <c:pt idx="86">
                  <c:v>630</c:v>
                </c:pt>
                <c:pt idx="87">
                  <c:v>635</c:v>
                </c:pt>
                <c:pt idx="88">
                  <c:v>640</c:v>
                </c:pt>
                <c:pt idx="89">
                  <c:v>645</c:v>
                </c:pt>
                <c:pt idx="90">
                  <c:v>650</c:v>
                </c:pt>
                <c:pt idx="91">
                  <c:v>655</c:v>
                </c:pt>
                <c:pt idx="92">
                  <c:v>660</c:v>
                </c:pt>
                <c:pt idx="93">
                  <c:v>665</c:v>
                </c:pt>
                <c:pt idx="94">
                  <c:v>670</c:v>
                </c:pt>
                <c:pt idx="95">
                  <c:v>675</c:v>
                </c:pt>
                <c:pt idx="96">
                  <c:v>680</c:v>
                </c:pt>
                <c:pt idx="97">
                  <c:v>685</c:v>
                </c:pt>
                <c:pt idx="98">
                  <c:v>690</c:v>
                </c:pt>
                <c:pt idx="99">
                  <c:v>695</c:v>
                </c:pt>
                <c:pt idx="100">
                  <c:v>700</c:v>
                </c:pt>
                <c:pt idx="101">
                  <c:v>705</c:v>
                </c:pt>
                <c:pt idx="102">
                  <c:v>710</c:v>
                </c:pt>
                <c:pt idx="103">
                  <c:v>715</c:v>
                </c:pt>
                <c:pt idx="104">
                  <c:v>720</c:v>
                </c:pt>
                <c:pt idx="105">
                  <c:v>725</c:v>
                </c:pt>
                <c:pt idx="106">
                  <c:v>730</c:v>
                </c:pt>
                <c:pt idx="107">
                  <c:v>735</c:v>
                </c:pt>
                <c:pt idx="108">
                  <c:v>740</c:v>
                </c:pt>
                <c:pt idx="109">
                  <c:v>745</c:v>
                </c:pt>
                <c:pt idx="110">
                  <c:v>750</c:v>
                </c:pt>
                <c:pt idx="111">
                  <c:v>755</c:v>
                </c:pt>
                <c:pt idx="112">
                  <c:v>760</c:v>
                </c:pt>
                <c:pt idx="113">
                  <c:v>765</c:v>
                </c:pt>
                <c:pt idx="114">
                  <c:v>770</c:v>
                </c:pt>
                <c:pt idx="115">
                  <c:v>775</c:v>
                </c:pt>
                <c:pt idx="116">
                  <c:v>780</c:v>
                </c:pt>
                <c:pt idx="117">
                  <c:v>785</c:v>
                </c:pt>
                <c:pt idx="118">
                  <c:v>790</c:v>
                </c:pt>
                <c:pt idx="119">
                  <c:v>795</c:v>
                </c:pt>
                <c:pt idx="120">
                  <c:v>800</c:v>
                </c:pt>
                <c:pt idx="121">
                  <c:v>805</c:v>
                </c:pt>
                <c:pt idx="122">
                  <c:v>810</c:v>
                </c:pt>
                <c:pt idx="123">
                  <c:v>815</c:v>
                </c:pt>
                <c:pt idx="124">
                  <c:v>820</c:v>
                </c:pt>
                <c:pt idx="125">
                  <c:v>825</c:v>
                </c:pt>
                <c:pt idx="126">
                  <c:v>830</c:v>
                </c:pt>
                <c:pt idx="127">
                  <c:v>835</c:v>
                </c:pt>
                <c:pt idx="128">
                  <c:v>840</c:v>
                </c:pt>
                <c:pt idx="129">
                  <c:v>845</c:v>
                </c:pt>
                <c:pt idx="130">
                  <c:v>850</c:v>
                </c:pt>
              </c:numCache>
            </c:numRef>
          </c:xVal>
          <c:yVal>
            <c:numRef>
              <c:f>Sheet2!$B$2:$B$132</c:f>
              <c:numCache>
                <c:formatCode>General</c:formatCode>
                <c:ptCount val="131"/>
                <c:pt idx="0">
                  <c:v>2.4552828090957801</c:v>
                </c:pt>
                <c:pt idx="1">
                  <c:v>2.4010585047359299</c:v>
                </c:pt>
                <c:pt idx="2">
                  <c:v>2.3544820796408801</c:v>
                </c:pt>
                <c:pt idx="3">
                  <c:v>2.3142379475383699</c:v>
                </c:pt>
                <c:pt idx="4">
                  <c:v>2.2792269355524701</c:v>
                </c:pt>
                <c:pt idx="5">
                  <c:v>2.2485561877287101</c:v>
                </c:pt>
                <c:pt idx="6">
                  <c:v>2.2215070005028501</c:v>
                </c:pt>
                <c:pt idx="7">
                  <c:v>2.1975010985546102</c:v>
                </c:pt>
                <c:pt idx="8">
                  <c:v>2.1760714518088</c:v>
                </c:pt>
                <c:pt idx="9">
                  <c:v>2.1568387028417102</c:v>
                </c:pt>
                <c:pt idx="10">
                  <c:v>2.1394926602384299</c:v>
                </c:pt>
                <c:pt idx="11">
                  <c:v>2.1237779292880901</c:v>
                </c:pt>
                <c:pt idx="12">
                  <c:v>2.1094827838599399</c:v>
                </c:pt>
                <c:pt idx="13">
                  <c:v>2.0964305324745802</c:v>
                </c:pt>
                <c:pt idx="14">
                  <c:v>2.0844727914963102</c:v>
                </c:pt>
                <c:pt idx="15">
                  <c:v>2.073484216168</c:v>
                </c:pt>
                <c:pt idx="16">
                  <c:v>2.0633583497552301</c:v>
                </c:pt>
                <c:pt idx="17">
                  <c:v>2.05400433515188</c:v>
                </c:pt>
                <c:pt idx="18">
                  <c:v>2.04534429696215</c:v>
                </c:pt>
                <c:pt idx="19">
                  <c:v>2.0373112503095401</c:v>
                </c:pt>
                <c:pt idx="20">
                  <c:v>2.0298474298123699</c:v>
                </c:pt>
                <c:pt idx="21">
                  <c:v>2.0229029622864498</c:v>
                </c:pt>
                <c:pt idx="22">
                  <c:v>2.0164348342239098</c:v>
                </c:pt>
                <c:pt idx="23">
                  <c:v>2.0104061372558202</c:v>
                </c:pt>
                <c:pt idx="24">
                  <c:v>2.0047856299886702</c:v>
                </c:pt>
                <c:pt idx="25">
                  <c:v>1.99954779885148</c:v>
                </c:pt>
                <c:pt idx="26">
                  <c:v>1.9946741954253699</c:v>
                </c:pt>
                <c:pt idx="27">
                  <c:v>1.99016382122153</c:v>
                </c:pt>
                <c:pt idx="28">
                  <c:v>1.9860110098175401</c:v>
                </c:pt>
                <c:pt idx="29">
                  <c:v>1.98214945797283</c:v>
                </c:pt>
                <c:pt idx="30">
                  <c:v>1.9785413238535901</c:v>
                </c:pt>
                <c:pt idx="31">
                  <c:v>1.97515915341105</c:v>
                </c:pt>
                <c:pt idx="32">
                  <c:v>1.97198077586572</c:v>
                </c:pt>
                <c:pt idx="33">
                  <c:v>1.96898753286576</c:v>
                </c:pt>
                <c:pt idx="34">
                  <c:v>1.96616336648445</c:v>
                </c:pt>
                <c:pt idx="35">
                  <c:v>1.96349425783701</c:v>
                </c:pt>
                <c:pt idx="36">
                  <c:v>1.96096784399195</c:v>
                </c:pt>
                <c:pt idx="37">
                  <c:v>1.95857313875365</c:v>
                </c:pt>
                <c:pt idx="38">
                  <c:v>1.9563003198304401</c:v>
                </c:pt>
                <c:pt idx="39">
                  <c:v>1.9541405613419001</c:v>
                </c:pt>
                <c:pt idx="40">
                  <c:v>1.9520858988519501</c:v>
                </c:pt>
                <c:pt idx="41">
                  <c:v>1.95012911862428</c:v>
                </c:pt>
                <c:pt idx="42">
                  <c:v>1.9482636654469601</c:v>
                </c:pt>
                <c:pt idx="43">
                  <c:v>1.9464835650236001</c:v>
                </c:pt>
                <c:pt idx="44">
                  <c:v>1.9447833580042899</c:v>
                </c:pt>
                <c:pt idx="45">
                  <c:v>1.94315804345994</c:v>
                </c:pt>
                <c:pt idx="46">
                  <c:v>1.9416030301150899</c:v>
                </c:pt>
                <c:pt idx="47">
                  <c:v>1.94011409402326</c:v>
                </c:pt>
                <c:pt idx="48">
                  <c:v>1.93868734164092</c:v>
                </c:pt>
                <c:pt idx="49">
                  <c:v>1.93731917746119</c:v>
                </c:pt>
                <c:pt idx="50">
                  <c:v>1.9360062755251799</c:v>
                </c:pt>
                <c:pt idx="51">
                  <c:v>1.9347455542513701</c:v>
                </c:pt>
                <c:pt idx="52">
                  <c:v>1.9335341541192701</c:v>
                </c:pt>
                <c:pt idx="53">
                  <c:v>1.9323694178209201</c:v>
                </c:pt>
                <c:pt idx="54">
                  <c:v>1.93124887255515</c:v>
                </c:pt>
                <c:pt idx="55">
                  <c:v>1.93017021419019</c:v>
                </c:pt>
                <c:pt idx="56">
                  <c:v>1.9291312930612401</c:v>
                </c:pt>
                <c:pt idx="57">
                  <c:v>1.9281301012038199</c:v>
                </c:pt>
                <c:pt idx="58">
                  <c:v>1.9271647608518601</c:v>
                </c:pt>
                <c:pt idx="59">
                  <c:v>1.9262335140532301</c:v>
                </c:pt>
                <c:pt idx="60">
                  <c:v>1.92533471327536</c:v>
                </c:pt>
                <c:pt idx="61">
                  <c:v>1.92446681289031</c:v>
                </c:pt>
                <c:pt idx="62">
                  <c:v>1.9236283614429499</c:v>
                </c:pt>
                <c:pt idx="63">
                  <c:v>1.9228179946181001</c:v>
                </c:pt>
                <c:pt idx="64">
                  <c:v>1.9220344288329501</c:v>
                </c:pt>
                <c:pt idx="65">
                  <c:v>1.9212764553898301</c:v>
                </c:pt>
                <c:pt idx="66">
                  <c:v>1.92054293513233</c:v>
                </c:pt>
                <c:pt idx="67">
                  <c:v>1.91983279355433</c:v>
                </c:pt>
                <c:pt idx="68">
                  <c:v>1.91914501631736</c:v>
                </c:pt>
                <c:pt idx="69">
                  <c:v>1.9184786451365401</c:v>
                </c:pt>
                <c:pt idx="70">
                  <c:v>1.91783277400007</c:v>
                </c:pt>
                <c:pt idx="71">
                  <c:v>1.9172065456908201</c:v>
                </c:pt>
                <c:pt idx="72">
                  <c:v>1.91659914858201</c:v>
                </c:pt>
                <c:pt idx="73">
                  <c:v>1.9160098136820001</c:v>
                </c:pt>
                <c:pt idx="74">
                  <c:v>1.91543781190573</c:v>
                </c:pt>
                <c:pt idx="75">
                  <c:v>1.9148824515526099</c:v>
                </c:pt>
                <c:pt idx="76">
                  <c:v>1.91434307597301</c:v>
                </c:pt>
                <c:pt idx="77">
                  <c:v>1.9138190614066899</c:v>
                </c:pt>
                <c:pt idx="78">
                  <c:v>1.9133098149788901</c:v>
                </c:pt>
                <c:pt idx="79">
                  <c:v>1.9128147728404901</c:v>
                </c:pt>
                <c:pt idx="80">
                  <c:v>1.9123333984404101</c:v>
                </c:pt>
                <c:pt idx="81">
                  <c:v>1.91186518091943</c:v>
                </c:pt>
                <c:pt idx="82">
                  <c:v>1.91140963361546</c:v>
                </c:pt>
                <c:pt idx="83">
                  <c:v>1.91096629267138</c:v>
                </c:pt>
                <c:pt idx="84">
                  <c:v>1.91053471573738</c:v>
                </c:pt>
                <c:pt idx="85">
                  <c:v>1.9101144807603001</c:v>
                </c:pt>
                <c:pt idx="86">
                  <c:v>1.9097051848533499</c:v>
                </c:pt>
                <c:pt idx="87">
                  <c:v>1.90930644323996</c:v>
                </c:pt>
                <c:pt idx="88">
                  <c:v>1.9089178882661999</c:v>
                </c:pt>
                <c:pt idx="89">
                  <c:v>1.90853916847663</c:v>
                </c:pt>
                <c:pt idx="90">
                  <c:v>1.90816994774892</c:v>
                </c:pt>
                <c:pt idx="91">
                  <c:v>1.90780990448289</c:v>
                </c:pt>
                <c:pt idx="92">
                  <c:v>1.90745873083996</c:v>
                </c:pt>
                <c:pt idx="93">
                  <c:v>1.9071161320296299</c:v>
                </c:pt>
                <c:pt idx="94">
                  <c:v>1.9067818256393301</c:v>
                </c:pt>
                <c:pt idx="95">
                  <c:v>1.90645554100491</c:v>
                </c:pt>
                <c:pt idx="96">
                  <c:v>1.9061370186186699</c:v>
                </c:pt>
                <c:pt idx="97">
                  <c:v>1.9058260095725501</c:v>
                </c:pt>
                <c:pt idx="98">
                  <c:v>1.90552227503395</c:v>
                </c:pt>
                <c:pt idx="99">
                  <c:v>1.9052255857520499</c:v>
                </c:pt>
                <c:pt idx="100">
                  <c:v>1.90493572159258</c:v>
                </c:pt>
                <c:pt idx="101">
                  <c:v>1.9046524710991</c:v>
                </c:pt>
                <c:pt idx="102">
                  <c:v>1.90437563107915</c:v>
                </c:pt>
                <c:pt idx="103">
                  <c:v>1.9041050062134799</c:v>
                </c:pt>
                <c:pt idx="104">
                  <c:v>1.9038404086871701</c:v>
                </c:pt>
                <c:pt idx="105">
                  <c:v>1.90358165784086</c:v>
                </c:pt>
                <c:pt idx="106">
                  <c:v>1.9033285798411499</c:v>
                </c:pt>
                <c:pt idx="107">
                  <c:v>1.90308100736879</c:v>
                </c:pt>
                <c:pt idx="108">
                  <c:v>1.9028387793235499</c:v>
                </c:pt>
                <c:pt idx="109">
                  <c:v>1.90260174054491</c:v>
                </c:pt>
                <c:pt idx="110">
                  <c:v>1.90236974154732</c:v>
                </c:pt>
                <c:pt idx="111">
                  <c:v>1.90214263826945</c:v>
                </c:pt>
                <c:pt idx="112">
                  <c:v>1.90192029183635</c:v>
                </c:pt>
                <c:pt idx="113">
                  <c:v>1.9017025683338999</c:v>
                </c:pt>
                <c:pt idx="114">
                  <c:v>1.90148933859478</c:v>
                </c:pt>
                <c:pt idx="115">
                  <c:v>1.9012804779951999</c:v>
                </c:pt>
                <c:pt idx="116">
                  <c:v>1.90107586626193</c:v>
                </c:pt>
                <c:pt idx="117">
                  <c:v>1.9008753872889199</c:v>
                </c:pt>
                <c:pt idx="118">
                  <c:v>1.90067892896294</c:v>
                </c:pt>
                <c:pt idx="119">
                  <c:v>1.90048638299783</c:v>
                </c:pt>
                <c:pt idx="120">
                  <c:v>1.9002976447768101</c:v>
                </c:pt>
                <c:pt idx="121">
                  <c:v>1.9001126132024</c:v>
                </c:pt>
                <c:pt idx="122">
                  <c:v>1.8999311905535301</c:v>
                </c:pt>
                <c:pt idx="123">
                  <c:v>1.8997532823494701</c:v>
                </c:pt>
                <c:pt idx="124">
                  <c:v>1.8995787972201801</c:v>
                </c:pt>
                <c:pt idx="125">
                  <c:v>1.8994076467827301</c:v>
                </c:pt>
                <c:pt idx="126">
                  <c:v>1.8992397455235199</c:v>
                </c:pt>
                <c:pt idx="127">
                  <c:v>1.89907501068588</c:v>
                </c:pt>
                <c:pt idx="128">
                  <c:v>1.89891336216286</c:v>
                </c:pt>
                <c:pt idx="129">
                  <c:v>1.8987547223949399</c:v>
                </c:pt>
                <c:pt idx="130">
                  <c:v>1.8985990162722901</c:v>
                </c:pt>
              </c:numCache>
            </c:numRef>
          </c:yVal>
          <c:smooth val="1"/>
          <c:extLst>
            <c:ext xmlns:c16="http://schemas.microsoft.com/office/drawing/2014/chart" uri="{C3380CC4-5D6E-409C-BE32-E72D297353CC}">
              <c16:uniqueId val="{00000000-88F0-4260-85BE-20BF316DAC5F}"/>
            </c:ext>
          </c:extLst>
        </c:ser>
        <c:dLbls>
          <c:showLegendKey val="0"/>
          <c:showVal val="0"/>
          <c:showCatName val="0"/>
          <c:showSerName val="0"/>
          <c:showPercent val="0"/>
          <c:showBubbleSize val="0"/>
        </c:dLbls>
        <c:axId val="359022048"/>
        <c:axId val="359025984"/>
      </c:scatterChart>
      <c:scatterChart>
        <c:scatterStyle val="smoothMarker"/>
        <c:varyColors val="0"/>
        <c:ser>
          <c:idx val="1"/>
          <c:order val="1"/>
          <c:tx>
            <c:strRef>
              <c:f>Sheet2!$C$1</c:f>
              <c:strCache>
                <c:ptCount val="1"/>
                <c:pt idx="0">
                  <c:v>Extinction Coefficient</c:v>
                </c:pt>
              </c:strCache>
            </c:strRef>
          </c:tx>
          <c:spPr>
            <a:ln w="28575" cap="rnd">
              <a:solidFill>
                <a:srgbClr val="00B050"/>
              </a:solidFill>
              <a:round/>
            </a:ln>
            <a:effectLst/>
          </c:spPr>
          <c:marker>
            <c:symbol val="none"/>
          </c:marker>
          <c:xVal>
            <c:numRef>
              <c:f>Sheet2!$D$2:$D$132</c:f>
              <c:numCache>
                <c:formatCode>General</c:formatCode>
                <c:ptCount val="131"/>
                <c:pt idx="0">
                  <c:v>200</c:v>
                </c:pt>
                <c:pt idx="1">
                  <c:v>205</c:v>
                </c:pt>
                <c:pt idx="2">
                  <c:v>210</c:v>
                </c:pt>
                <c:pt idx="3">
                  <c:v>215</c:v>
                </c:pt>
                <c:pt idx="4">
                  <c:v>220</c:v>
                </c:pt>
                <c:pt idx="5">
                  <c:v>225</c:v>
                </c:pt>
                <c:pt idx="6">
                  <c:v>230</c:v>
                </c:pt>
                <c:pt idx="7">
                  <c:v>235</c:v>
                </c:pt>
                <c:pt idx="8">
                  <c:v>240</c:v>
                </c:pt>
                <c:pt idx="9">
                  <c:v>245</c:v>
                </c:pt>
                <c:pt idx="10">
                  <c:v>250</c:v>
                </c:pt>
                <c:pt idx="11">
                  <c:v>255</c:v>
                </c:pt>
                <c:pt idx="12">
                  <c:v>260</c:v>
                </c:pt>
                <c:pt idx="13">
                  <c:v>265</c:v>
                </c:pt>
                <c:pt idx="14">
                  <c:v>270</c:v>
                </c:pt>
                <c:pt idx="15">
                  <c:v>275</c:v>
                </c:pt>
                <c:pt idx="16">
                  <c:v>280</c:v>
                </c:pt>
                <c:pt idx="17">
                  <c:v>285</c:v>
                </c:pt>
                <c:pt idx="18">
                  <c:v>290</c:v>
                </c:pt>
                <c:pt idx="19">
                  <c:v>295</c:v>
                </c:pt>
                <c:pt idx="20">
                  <c:v>300</c:v>
                </c:pt>
                <c:pt idx="21">
                  <c:v>305</c:v>
                </c:pt>
                <c:pt idx="22">
                  <c:v>310</c:v>
                </c:pt>
                <c:pt idx="23">
                  <c:v>315</c:v>
                </c:pt>
                <c:pt idx="24">
                  <c:v>320</c:v>
                </c:pt>
                <c:pt idx="25">
                  <c:v>325</c:v>
                </c:pt>
                <c:pt idx="26">
                  <c:v>330</c:v>
                </c:pt>
                <c:pt idx="27">
                  <c:v>335</c:v>
                </c:pt>
                <c:pt idx="28">
                  <c:v>340</c:v>
                </c:pt>
                <c:pt idx="29">
                  <c:v>345</c:v>
                </c:pt>
                <c:pt idx="30">
                  <c:v>350</c:v>
                </c:pt>
                <c:pt idx="31">
                  <c:v>355</c:v>
                </c:pt>
                <c:pt idx="32">
                  <c:v>360</c:v>
                </c:pt>
                <c:pt idx="33">
                  <c:v>365</c:v>
                </c:pt>
                <c:pt idx="34">
                  <c:v>370</c:v>
                </c:pt>
                <c:pt idx="35">
                  <c:v>375</c:v>
                </c:pt>
                <c:pt idx="36">
                  <c:v>380</c:v>
                </c:pt>
                <c:pt idx="37">
                  <c:v>385</c:v>
                </c:pt>
                <c:pt idx="38">
                  <c:v>390</c:v>
                </c:pt>
                <c:pt idx="39">
                  <c:v>395</c:v>
                </c:pt>
                <c:pt idx="40">
                  <c:v>400</c:v>
                </c:pt>
                <c:pt idx="41">
                  <c:v>405</c:v>
                </c:pt>
                <c:pt idx="42">
                  <c:v>410</c:v>
                </c:pt>
                <c:pt idx="43">
                  <c:v>415</c:v>
                </c:pt>
                <c:pt idx="44">
                  <c:v>420</c:v>
                </c:pt>
                <c:pt idx="45">
                  <c:v>425</c:v>
                </c:pt>
                <c:pt idx="46">
                  <c:v>430</c:v>
                </c:pt>
                <c:pt idx="47">
                  <c:v>435</c:v>
                </c:pt>
                <c:pt idx="48">
                  <c:v>440</c:v>
                </c:pt>
                <c:pt idx="49">
                  <c:v>445</c:v>
                </c:pt>
                <c:pt idx="50">
                  <c:v>450</c:v>
                </c:pt>
                <c:pt idx="51">
                  <c:v>455</c:v>
                </c:pt>
                <c:pt idx="52">
                  <c:v>460</c:v>
                </c:pt>
                <c:pt idx="53">
                  <c:v>465</c:v>
                </c:pt>
                <c:pt idx="54">
                  <c:v>470</c:v>
                </c:pt>
                <c:pt idx="55">
                  <c:v>475</c:v>
                </c:pt>
                <c:pt idx="56">
                  <c:v>480</c:v>
                </c:pt>
                <c:pt idx="57">
                  <c:v>485</c:v>
                </c:pt>
                <c:pt idx="58">
                  <c:v>490</c:v>
                </c:pt>
                <c:pt idx="59">
                  <c:v>495</c:v>
                </c:pt>
                <c:pt idx="60">
                  <c:v>500</c:v>
                </c:pt>
                <c:pt idx="61">
                  <c:v>505</c:v>
                </c:pt>
                <c:pt idx="62">
                  <c:v>510</c:v>
                </c:pt>
                <c:pt idx="63">
                  <c:v>515</c:v>
                </c:pt>
                <c:pt idx="64">
                  <c:v>520</c:v>
                </c:pt>
                <c:pt idx="65">
                  <c:v>525</c:v>
                </c:pt>
                <c:pt idx="66">
                  <c:v>530</c:v>
                </c:pt>
                <c:pt idx="67">
                  <c:v>535</c:v>
                </c:pt>
                <c:pt idx="68">
                  <c:v>540</c:v>
                </c:pt>
                <c:pt idx="69">
                  <c:v>545</c:v>
                </c:pt>
                <c:pt idx="70">
                  <c:v>550</c:v>
                </c:pt>
                <c:pt idx="71">
                  <c:v>555</c:v>
                </c:pt>
                <c:pt idx="72">
                  <c:v>560</c:v>
                </c:pt>
                <c:pt idx="73">
                  <c:v>565</c:v>
                </c:pt>
                <c:pt idx="74">
                  <c:v>570</c:v>
                </c:pt>
                <c:pt idx="75">
                  <c:v>575</c:v>
                </c:pt>
                <c:pt idx="76">
                  <c:v>580</c:v>
                </c:pt>
                <c:pt idx="77">
                  <c:v>585</c:v>
                </c:pt>
                <c:pt idx="78">
                  <c:v>590</c:v>
                </c:pt>
                <c:pt idx="79">
                  <c:v>595</c:v>
                </c:pt>
                <c:pt idx="80">
                  <c:v>600</c:v>
                </c:pt>
                <c:pt idx="81">
                  <c:v>605</c:v>
                </c:pt>
                <c:pt idx="82">
                  <c:v>610</c:v>
                </c:pt>
                <c:pt idx="83">
                  <c:v>615</c:v>
                </c:pt>
                <c:pt idx="84">
                  <c:v>620</c:v>
                </c:pt>
                <c:pt idx="85">
                  <c:v>625</c:v>
                </c:pt>
                <c:pt idx="86">
                  <c:v>630</c:v>
                </c:pt>
                <c:pt idx="87">
                  <c:v>635</c:v>
                </c:pt>
                <c:pt idx="88">
                  <c:v>640</c:v>
                </c:pt>
                <c:pt idx="89">
                  <c:v>645</c:v>
                </c:pt>
                <c:pt idx="90">
                  <c:v>650</c:v>
                </c:pt>
                <c:pt idx="91">
                  <c:v>655</c:v>
                </c:pt>
                <c:pt idx="92">
                  <c:v>660</c:v>
                </c:pt>
                <c:pt idx="93">
                  <c:v>665</c:v>
                </c:pt>
                <c:pt idx="94">
                  <c:v>670</c:v>
                </c:pt>
                <c:pt idx="95">
                  <c:v>675</c:v>
                </c:pt>
                <c:pt idx="96">
                  <c:v>680</c:v>
                </c:pt>
                <c:pt idx="97">
                  <c:v>685</c:v>
                </c:pt>
                <c:pt idx="98">
                  <c:v>690</c:v>
                </c:pt>
                <c:pt idx="99">
                  <c:v>695</c:v>
                </c:pt>
                <c:pt idx="100">
                  <c:v>700</c:v>
                </c:pt>
                <c:pt idx="101">
                  <c:v>705</c:v>
                </c:pt>
                <c:pt idx="102">
                  <c:v>710</c:v>
                </c:pt>
                <c:pt idx="103">
                  <c:v>715</c:v>
                </c:pt>
                <c:pt idx="104">
                  <c:v>720</c:v>
                </c:pt>
                <c:pt idx="105">
                  <c:v>725</c:v>
                </c:pt>
                <c:pt idx="106">
                  <c:v>730</c:v>
                </c:pt>
                <c:pt idx="107">
                  <c:v>735</c:v>
                </c:pt>
                <c:pt idx="108">
                  <c:v>740</c:v>
                </c:pt>
                <c:pt idx="109">
                  <c:v>745</c:v>
                </c:pt>
                <c:pt idx="110">
                  <c:v>750</c:v>
                </c:pt>
                <c:pt idx="111">
                  <c:v>755</c:v>
                </c:pt>
                <c:pt idx="112">
                  <c:v>760</c:v>
                </c:pt>
                <c:pt idx="113">
                  <c:v>765</c:v>
                </c:pt>
                <c:pt idx="114">
                  <c:v>770</c:v>
                </c:pt>
                <c:pt idx="115">
                  <c:v>775</c:v>
                </c:pt>
                <c:pt idx="116">
                  <c:v>780</c:v>
                </c:pt>
                <c:pt idx="117">
                  <c:v>785</c:v>
                </c:pt>
                <c:pt idx="118">
                  <c:v>790</c:v>
                </c:pt>
                <c:pt idx="119">
                  <c:v>795</c:v>
                </c:pt>
                <c:pt idx="120">
                  <c:v>800</c:v>
                </c:pt>
                <c:pt idx="121">
                  <c:v>805</c:v>
                </c:pt>
                <c:pt idx="122">
                  <c:v>810</c:v>
                </c:pt>
                <c:pt idx="123">
                  <c:v>815</c:v>
                </c:pt>
                <c:pt idx="124">
                  <c:v>820</c:v>
                </c:pt>
                <c:pt idx="125">
                  <c:v>825</c:v>
                </c:pt>
                <c:pt idx="126">
                  <c:v>830</c:v>
                </c:pt>
                <c:pt idx="127">
                  <c:v>835</c:v>
                </c:pt>
                <c:pt idx="128">
                  <c:v>840</c:v>
                </c:pt>
                <c:pt idx="129">
                  <c:v>845</c:v>
                </c:pt>
                <c:pt idx="130">
                  <c:v>850</c:v>
                </c:pt>
              </c:numCache>
            </c:numRef>
          </c:xVal>
          <c:yVal>
            <c:numRef>
              <c:f>Sheet2!$C$2:$C$132</c:f>
              <c:numCache>
                <c:formatCode>General</c:formatCode>
                <c:ptCount val="131"/>
                <c:pt idx="0">
                  <c:v>0.182454323652844</c:v>
                </c:pt>
                <c:pt idx="1">
                  <c:v>0.145559530109587</c:v>
                </c:pt>
                <c:pt idx="2">
                  <c:v>0.117572217771742</c:v>
                </c:pt>
                <c:pt idx="3">
                  <c:v>9.5894888356535604E-2</c:v>
                </c:pt>
                <c:pt idx="4">
                  <c:v>7.8803447699048901E-2</c:v>
                </c:pt>
                <c:pt idx="5">
                  <c:v>6.51221063113403E-2</c:v>
                </c:pt>
                <c:pt idx="6">
                  <c:v>5.4028832267760799E-2</c:v>
                </c:pt>
                <c:pt idx="7">
                  <c:v>4.4935842807747997E-2</c:v>
                </c:pt>
                <c:pt idx="8">
                  <c:v>3.7414245386391799E-2</c:v>
                </c:pt>
                <c:pt idx="9">
                  <c:v>3.1145319350282401E-2</c:v>
                </c:pt>
                <c:pt idx="10">
                  <c:v>2.5888280701274202E-2</c:v>
                </c:pt>
                <c:pt idx="11">
                  <c:v>2.14584917119288E-2</c:v>
                </c:pt>
                <c:pt idx="12">
                  <c:v>1.7712438779254699E-2</c:v>
                </c:pt>
                <c:pt idx="13">
                  <c:v>1.45371880335496E-2</c:v>
                </c:pt>
                <c:pt idx="14">
                  <c:v>1.1842860718493799E-2</c:v>
                </c:pt>
                <c:pt idx="15">
                  <c:v>9.5571814544926793E-3</c:v>
                </c:pt>
                <c:pt idx="16">
                  <c:v>7.6214728425300698E-3</c:v>
                </c:pt>
                <c:pt idx="17">
                  <c:v>5.9876745882805E-3</c:v>
                </c:pt>
                <c:pt idx="18">
                  <c:v>4.6160985516928797E-3</c:v>
                </c:pt>
                <c:pt idx="19">
                  <c:v>3.4737193037158599E-3</c:v>
                </c:pt>
                <c:pt idx="20">
                  <c:v>2.5328590594292299E-3</c:v>
                </c:pt>
                <c:pt idx="21">
                  <c:v>1.7701663103486299E-3</c:v>
                </c:pt>
                <c:pt idx="22">
                  <c:v>1.16581546153435E-3</c:v>
                </c:pt>
                <c:pt idx="23">
                  <c:v>7.02874383021606E-4</c:v>
                </c:pt>
                <c:pt idx="24">
                  <c:v>3.6680067886688499E-4</c:v>
                </c:pt>
                <c:pt idx="25">
                  <c:v>1.45037420362112E-4</c:v>
                </c:pt>
                <c:pt idx="26">
                  <c:v>2.6686234874687599E-5</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numCache>
            </c:numRef>
          </c:yVal>
          <c:smooth val="1"/>
          <c:extLst>
            <c:ext xmlns:c16="http://schemas.microsoft.com/office/drawing/2014/chart" uri="{C3380CC4-5D6E-409C-BE32-E72D297353CC}">
              <c16:uniqueId val="{00000001-88F0-4260-85BE-20BF316DAC5F}"/>
            </c:ext>
          </c:extLst>
        </c:ser>
        <c:dLbls>
          <c:showLegendKey val="0"/>
          <c:showVal val="0"/>
          <c:showCatName val="0"/>
          <c:showSerName val="0"/>
          <c:showPercent val="0"/>
          <c:showBubbleSize val="0"/>
        </c:dLbls>
        <c:axId val="358126984"/>
        <c:axId val="865487280"/>
      </c:scatterChart>
      <c:valAx>
        <c:axId val="359022048"/>
        <c:scaling>
          <c:orientation val="minMax"/>
          <c:max val="850"/>
          <c:min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Wavelength(nm)</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9025984"/>
        <c:crosses val="autoZero"/>
        <c:crossBetween val="midCat"/>
      </c:valAx>
      <c:valAx>
        <c:axId val="359025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Refractive Index</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9022048"/>
        <c:crosses val="autoZero"/>
        <c:crossBetween val="midCat"/>
      </c:valAx>
      <c:valAx>
        <c:axId val="865487280"/>
        <c:scaling>
          <c:orientation val="minMax"/>
          <c:min val="0"/>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Extinction Coefficient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8126984"/>
        <c:crosses val="max"/>
        <c:crossBetween val="midCat"/>
      </c:valAx>
      <c:valAx>
        <c:axId val="358126984"/>
        <c:scaling>
          <c:orientation val="minMax"/>
        </c:scaling>
        <c:delete val="1"/>
        <c:axPos val="b"/>
        <c:numFmt formatCode="General" sourceLinked="1"/>
        <c:majorTickMark val="out"/>
        <c:minorTickMark val="none"/>
        <c:tickLblPos val="nextTo"/>
        <c:crossAx val="865487280"/>
        <c:crosses val="autoZero"/>
        <c:crossBetween val="midCat"/>
      </c:valAx>
      <c:spPr>
        <a:noFill/>
        <a:ln>
          <a:noFill/>
        </a:ln>
        <a:effectLst/>
      </c:spPr>
    </c:plotArea>
    <c:legend>
      <c:legendPos val="r"/>
      <c:layout>
        <c:manualLayout>
          <c:xMode val="edge"/>
          <c:yMode val="edge"/>
          <c:x val="0.40642020209367591"/>
          <c:y val="0.37099372995042285"/>
          <c:w val="0.40757966455116895"/>
          <c:h val="0.23824730242053077"/>
        </c:manualLayout>
      </c:layout>
      <c:overlay val="1"/>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B2892BF7-3F24-46D4-8481-16770446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21</Pages>
  <Words>9294</Words>
  <Characters>52978</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Bright</dc:creator>
  <cp:keywords/>
  <dc:description/>
  <cp:lastModifiedBy>Joel Loh</cp:lastModifiedBy>
  <cp:revision>41</cp:revision>
  <cp:lastPrinted>2019-04-15T21:49:00Z</cp:lastPrinted>
  <dcterms:created xsi:type="dcterms:W3CDTF">2018-10-18T18:04:00Z</dcterms:created>
  <dcterms:modified xsi:type="dcterms:W3CDTF">2019-11-01T21:43:00Z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http://www.zotero.org/styles/advanced-optical-materials</vt:lpwstr>
  </property>
  <property fmtid="{D5CDD505-2E9C-101B-9397-08002B2CF9AE}" pid="3" name="Mendeley Recent Style Name 0_1">
    <vt:lpwstr>Advanced Optical Materials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6df0c569-f474-3fb8-b432-924e79c9d556</vt:lpwstr>
  </property>
  <property fmtid="{D5CDD505-2E9C-101B-9397-08002B2CF9AE}" pid="24" name="Mendeley Citation Style_1">
    <vt:lpwstr>http://www.zotero.org/styles/advanced-optical-materials</vt:lpwstr>
  </property>
</Properties>
</file>