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FBF1F" w14:textId="77777777" w:rsidR="00363740" w:rsidRPr="00864A60" w:rsidRDefault="00363740" w:rsidP="00363740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r w:rsidRPr="00864A60">
        <w:rPr>
          <w:rFonts w:ascii="Arial" w:eastAsia="Times New Roman" w:hAnsi="Arial" w:cs="Arial"/>
          <w:b/>
          <w:sz w:val="24"/>
          <w:szCs w:val="24"/>
          <w:lang w:val="en-US" w:eastAsia="pt-BR"/>
        </w:rPr>
        <w:t>25-vitamin D reduces inflammation in uremic environment</w:t>
      </w:r>
    </w:p>
    <w:p w14:paraId="5D745619" w14:textId="77777777" w:rsidR="00057E40" w:rsidRPr="007D488C" w:rsidRDefault="00057E40" w:rsidP="00864A60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</w:p>
    <w:p w14:paraId="5317EF6C" w14:textId="77777777" w:rsidR="00057E40" w:rsidRPr="007D488C" w:rsidRDefault="00057E40" w:rsidP="00057E40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US" w:eastAsia="pt-BR"/>
        </w:rPr>
      </w:pPr>
    </w:p>
    <w:p w14:paraId="5848E31E" w14:textId="77777777" w:rsidR="00057E40" w:rsidRPr="007D488C" w:rsidRDefault="00057E40" w:rsidP="00057E40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>Authors</w:t>
      </w:r>
      <w:proofErr w:type="spellEnd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: 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Rodrigo Barbosa de Oliveira Brito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; Jacqueline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Ferritto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 Rebello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Caren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 Cristina Grabulosa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, Walter Pinto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; Armando Morales Jr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; Rosilene Motta Elias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1,2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; Rosa Maria Affonso Moyses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1,2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>; Maria Aparecida Dalboni*</w:t>
      </w:r>
      <w:r w:rsidRPr="007D488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1</w:t>
      </w:r>
    </w:p>
    <w:p w14:paraId="7F3DCA6A" w14:textId="77777777" w:rsidR="00057E40" w:rsidRPr="007D488C" w:rsidRDefault="00057E40" w:rsidP="00057E40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8B4085" w14:textId="77777777" w:rsidR="00057E40" w:rsidRPr="007D488C" w:rsidRDefault="00057E40" w:rsidP="00057E40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spellStart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>Institutions</w:t>
      </w:r>
      <w:proofErr w:type="spellEnd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: </w:t>
      </w:r>
    </w:p>
    <w:p w14:paraId="7936D31A" w14:textId="77777777" w:rsidR="00057E40" w:rsidRPr="007D488C" w:rsidRDefault="00057E40" w:rsidP="00057E40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D488C">
        <w:rPr>
          <w:rFonts w:ascii="Arial" w:eastAsia="Times New Roman" w:hAnsi="Arial" w:cs="Arial"/>
          <w:sz w:val="24"/>
          <w:szCs w:val="24"/>
          <w:lang w:eastAsia="pt-BR"/>
        </w:rPr>
        <w:t>1.</w:t>
      </w:r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Universidade Nove de Julho, UNINOVE,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Sao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 Paulo,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Brazil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; 2. Hospital das Clinicas HCFMUSP, Universidade de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Sao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 Paulo,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Sao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eastAsia="pt-BR"/>
        </w:rPr>
        <w:t xml:space="preserve"> Paulo,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eastAsia="pt-BR"/>
        </w:rPr>
        <w:t>Brazil</w:t>
      </w:r>
      <w:proofErr w:type="spellEnd"/>
    </w:p>
    <w:p w14:paraId="2036E9EE" w14:textId="77777777" w:rsidR="006B141F" w:rsidRPr="00057E40" w:rsidRDefault="006B141F" w:rsidP="006B141F">
      <w:p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B91A29" w14:textId="77777777" w:rsidR="006B141F" w:rsidRPr="00057E40" w:rsidRDefault="006B141F" w:rsidP="006B141F">
      <w:pPr>
        <w:rPr>
          <w:rFonts w:ascii="Arial" w:eastAsia="Times New Roman" w:hAnsi="Arial" w:cs="Arial"/>
          <w:lang w:eastAsia="pt-BR"/>
        </w:rPr>
      </w:pPr>
    </w:p>
    <w:p w14:paraId="23E2C959" w14:textId="77777777" w:rsidR="009A2956" w:rsidRDefault="009A2956">
      <w:pPr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br w:type="page"/>
      </w:r>
    </w:p>
    <w:p w14:paraId="592D9AC4" w14:textId="55867FD4" w:rsidR="006B141F" w:rsidRPr="007D488C" w:rsidRDefault="006B141F" w:rsidP="006B141F">
      <w:pPr>
        <w:rPr>
          <w:rFonts w:ascii="Arial" w:eastAsia="Times New Roman" w:hAnsi="Arial" w:cs="Arial"/>
          <w:iCs/>
          <w:sz w:val="24"/>
          <w:szCs w:val="24"/>
          <w:lang w:eastAsia="pt-BR"/>
        </w:rPr>
      </w:pPr>
      <w:bookmarkStart w:id="0" w:name="_GoBack"/>
      <w:bookmarkEnd w:id="0"/>
      <w:proofErr w:type="spellStart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Supplementary</w:t>
      </w:r>
      <w:proofErr w:type="spellEnd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>Table</w:t>
      </w:r>
      <w:proofErr w:type="spellEnd"/>
      <w:r w:rsidRPr="007D488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1. </w:t>
      </w:r>
      <w:r w:rsidRPr="007D488C">
        <w:rPr>
          <w:rFonts w:ascii="Arial" w:eastAsia="Times New Roman" w:hAnsi="Arial" w:cs="Arial"/>
          <w:iCs/>
          <w:sz w:val="24"/>
          <w:szCs w:val="24"/>
          <w:lang w:eastAsia="pt-BR"/>
        </w:rPr>
        <w:t>ELISA kits</w:t>
      </w:r>
    </w:p>
    <w:p w14:paraId="4597456B" w14:textId="77777777" w:rsidR="006B141F" w:rsidRPr="007D488C" w:rsidRDefault="006B141F" w:rsidP="006B141F">
      <w:pPr>
        <w:spacing w:line="360" w:lineRule="auto"/>
        <w:rPr>
          <w:rFonts w:ascii="Arial" w:eastAsia="Times New Roman" w:hAnsi="Arial" w:cs="Arial"/>
          <w:iCs/>
          <w:lang w:eastAsia="pt-BR"/>
        </w:rPr>
      </w:pPr>
    </w:p>
    <w:tbl>
      <w:tblPr>
        <w:tblW w:w="92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671"/>
      </w:tblGrid>
      <w:tr w:rsidR="006B141F" w:rsidRPr="007D488C" w14:paraId="52C0F230" w14:textId="77777777" w:rsidTr="006E4219">
        <w:trPr>
          <w:trHeight w:val="340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74EE925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proofErr w:type="spellStart"/>
            <w:r w:rsidRPr="007D488C">
              <w:rPr>
                <w:rFonts w:ascii="Arial" w:eastAsia="Times New Roman" w:hAnsi="Arial" w:cs="Arial"/>
                <w:lang w:eastAsia="pt-BR"/>
              </w:rPr>
              <w:t>Protein</w:t>
            </w:r>
            <w:proofErr w:type="spellEnd"/>
          </w:p>
        </w:tc>
        <w:tc>
          <w:tcPr>
            <w:tcW w:w="6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9531107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 xml:space="preserve">KIT </w:t>
            </w:r>
          </w:p>
        </w:tc>
      </w:tr>
      <w:tr w:rsidR="006B141F" w:rsidRPr="009A2956" w14:paraId="27CE62B1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0190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IL-6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0E141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KIT human IL-6 High Sensitivity cat: HS600B R&amp;D SYSTEMS</w:t>
            </w:r>
          </w:p>
        </w:tc>
      </w:tr>
      <w:tr w:rsidR="006B141F" w:rsidRPr="009A2956" w14:paraId="37A1C583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CDF3E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TNF-α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D172E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</w:p>
          <w:p w14:paraId="4D6F0864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KIT human TNF-</w:t>
            </w:r>
            <w:r w:rsidRPr="007D488C">
              <w:rPr>
                <w:rFonts w:ascii="Arial" w:eastAsia="Times New Roman" w:hAnsi="Arial" w:cs="Arial"/>
                <w:lang w:eastAsia="pt-BR"/>
              </w:rPr>
              <w:t>α</w:t>
            </w:r>
            <w:r w:rsidRPr="007D488C">
              <w:rPr>
                <w:rFonts w:ascii="Arial" w:eastAsia="Times New Roman" w:hAnsi="Arial" w:cs="Arial"/>
                <w:lang w:val="en-US" w:eastAsia="pt-BR"/>
              </w:rPr>
              <w:t xml:space="preserve"> High Sensitivity cat: HSTA00D R&amp;D SYSTEMS</w:t>
            </w:r>
          </w:p>
        </w:tc>
      </w:tr>
      <w:tr w:rsidR="006B141F" w:rsidRPr="009A2956" w14:paraId="0B564EF8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2FC9E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</w:p>
          <w:p w14:paraId="5D4224EB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IL-10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F3E50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KIT human Il-10 cat: 550613 BD</w:t>
            </w:r>
          </w:p>
        </w:tc>
      </w:tr>
      <w:tr w:rsidR="006B141F" w:rsidRPr="009A2956" w14:paraId="08BA9DA8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33A6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</w:p>
          <w:p w14:paraId="336A1995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LL37 (Cathelicidin)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3E67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KIT human LL37(Cathelicidin) cat: HK321-02 Hycult biotech</w:t>
            </w:r>
          </w:p>
        </w:tc>
      </w:tr>
      <w:tr w:rsidR="006B141F" w:rsidRPr="009A2956" w14:paraId="7F91032C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FE42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iCs/>
                <w:lang w:eastAsia="pt-BR"/>
              </w:rPr>
              <w:t>CCL2 (MCP-1)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2E13" w14:textId="77777777" w:rsidR="006B141F" w:rsidRPr="007D488C" w:rsidRDefault="006B141F" w:rsidP="006E4219">
            <w:pPr>
              <w:rPr>
                <w:rFonts w:ascii="Arial" w:eastAsia="Times New Roman" w:hAnsi="Arial" w:cs="Arial"/>
                <w:iCs/>
                <w:lang w:val="en-US" w:eastAsia="pt-BR"/>
              </w:rPr>
            </w:pPr>
          </w:p>
          <w:p w14:paraId="57CD71BB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iCs/>
                <w:lang w:val="en-US" w:eastAsia="pt-BR"/>
              </w:rPr>
              <w:t>KIT human CCL2 (MCP-1) affymetrix eBioscience ref:88-7399-22</w:t>
            </w:r>
          </w:p>
        </w:tc>
      </w:tr>
      <w:tr w:rsidR="006B141F" w:rsidRPr="009A2956" w14:paraId="4CCE1B70" w14:textId="77777777" w:rsidTr="006E4219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33B2EE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NF-kB</w:t>
            </w:r>
          </w:p>
        </w:tc>
        <w:tc>
          <w:tcPr>
            <w:tcW w:w="66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F644FB8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</w:p>
          <w:p w14:paraId="5653180A" w14:textId="77777777" w:rsidR="006B141F" w:rsidRPr="007D488C" w:rsidRDefault="006B141F" w:rsidP="006E4219">
            <w:pPr>
              <w:rPr>
                <w:rFonts w:ascii="Arial" w:eastAsia="Times New Roman" w:hAnsi="Arial" w:cs="Arial"/>
                <w:iCs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iCs/>
                <w:lang w:val="en-US" w:eastAsia="pt-BR"/>
              </w:rPr>
              <w:t>Kit human NF-</w:t>
            </w:r>
            <w:proofErr w:type="spellStart"/>
            <w:r w:rsidRPr="007D488C">
              <w:rPr>
                <w:rFonts w:ascii="Arial" w:eastAsia="Times New Roman" w:hAnsi="Arial" w:cs="Arial"/>
                <w:iCs/>
                <w:lang w:val="en-US" w:eastAsia="pt-BR"/>
              </w:rPr>
              <w:t>κB</w:t>
            </w:r>
            <w:proofErr w:type="spellEnd"/>
            <w:r w:rsidRPr="007D488C">
              <w:rPr>
                <w:rFonts w:ascii="Arial" w:eastAsia="Times New Roman" w:hAnsi="Arial" w:cs="Arial"/>
                <w:iCs/>
                <w:lang w:val="en-US" w:eastAsia="pt-BR"/>
              </w:rPr>
              <w:t xml:space="preserve"> p50/p65 Transcription Factor Assay Kit eBioscience </w:t>
            </w:r>
          </w:p>
        </w:tc>
      </w:tr>
    </w:tbl>
    <w:p w14:paraId="19FF6F6E" w14:textId="77777777" w:rsidR="006B141F" w:rsidRPr="007D488C" w:rsidRDefault="006B141F" w:rsidP="006B141F">
      <w:pPr>
        <w:spacing w:line="360" w:lineRule="auto"/>
        <w:rPr>
          <w:rFonts w:ascii="Arial" w:eastAsia="Times New Roman" w:hAnsi="Arial" w:cs="Arial"/>
          <w:iCs/>
          <w:lang w:val="en-US" w:eastAsia="pt-BR"/>
        </w:rPr>
      </w:pPr>
      <w:r w:rsidRPr="007D488C">
        <w:rPr>
          <w:rFonts w:ascii="Arial" w:eastAsia="Times New Roman" w:hAnsi="Arial" w:cs="Arial"/>
          <w:iCs/>
          <w:lang w:val="en-US" w:eastAsia="pt-BR"/>
        </w:rPr>
        <w:tab/>
      </w:r>
    </w:p>
    <w:p w14:paraId="77629D55" w14:textId="77777777" w:rsidR="006B141F" w:rsidRPr="007D488C" w:rsidRDefault="006B141F" w:rsidP="006B141F">
      <w:pPr>
        <w:spacing w:line="36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D488C">
        <w:rPr>
          <w:rFonts w:ascii="Arial" w:eastAsia="Times New Roman" w:hAnsi="Arial" w:cs="Arial"/>
          <w:iCs/>
          <w:lang w:val="en-US" w:eastAsia="pt-BR"/>
        </w:rPr>
        <w:br w:type="page"/>
      </w:r>
      <w:r w:rsidRPr="007D488C">
        <w:rPr>
          <w:rFonts w:ascii="Arial" w:hAnsi="Arial" w:cs="Arial"/>
          <w:b/>
          <w:sz w:val="24"/>
          <w:szCs w:val="24"/>
          <w:lang w:val="en"/>
        </w:rPr>
        <w:lastRenderedPageBreak/>
        <w:t xml:space="preserve">Supplementary Table 2. </w:t>
      </w:r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Description of Monoclonal antibodies used by flow cytometry </w:t>
      </w:r>
    </w:p>
    <w:p w14:paraId="1D3AC5EF" w14:textId="77777777" w:rsidR="006B141F" w:rsidRPr="007D488C" w:rsidRDefault="006B141F" w:rsidP="006B141F">
      <w:pPr>
        <w:rPr>
          <w:rFonts w:ascii="Arial" w:eastAsia="Times New Roman" w:hAnsi="Arial" w:cs="Arial"/>
          <w:lang w:val="en-US" w:eastAsia="pt-BR"/>
        </w:rPr>
      </w:pPr>
    </w:p>
    <w:tbl>
      <w:tblPr>
        <w:tblpPr w:leftFromText="141" w:rightFromText="141" w:vertAnchor="text" w:horzAnchor="margin" w:tblpXSpec="center" w:tblpY="137"/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3"/>
        <w:gridCol w:w="1363"/>
        <w:gridCol w:w="2106"/>
        <w:gridCol w:w="1600"/>
        <w:gridCol w:w="1034"/>
        <w:gridCol w:w="1534"/>
        <w:gridCol w:w="1119"/>
        <w:gridCol w:w="146"/>
      </w:tblGrid>
      <w:tr w:rsidR="006B141F" w:rsidRPr="007D488C" w14:paraId="76FB8083" w14:textId="77777777" w:rsidTr="006E4219">
        <w:trPr>
          <w:trHeight w:val="307"/>
        </w:trPr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825A2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Tube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8A075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Monoclonal </w:t>
            </w:r>
            <w:proofErr w:type="spellStart"/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antibodies</w:t>
            </w:r>
            <w:proofErr w:type="spellEnd"/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4B7E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Quantity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D1A4E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Fluorophore</w:t>
            </w:r>
            <w:proofErr w:type="spellEnd"/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71428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Clone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CF2A3" w14:textId="77777777" w:rsidR="006B141F" w:rsidRPr="007D488C" w:rsidRDefault="006B141F" w:rsidP="006E4219">
            <w:pPr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Manufacturer</w:t>
            </w:r>
            <w:proofErr w:type="spellEnd"/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E52239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Catalog</w:t>
            </w:r>
            <w:proofErr w:type="spellEnd"/>
          </w:p>
        </w:tc>
        <w:tc>
          <w:tcPr>
            <w:tcW w:w="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5E915D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R="006B141F" w:rsidRPr="007D488C" w14:paraId="26F84DC7" w14:textId="77777777" w:rsidTr="006E4219">
        <w:trPr>
          <w:trHeight w:val="307"/>
        </w:trPr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E18CD" w14:textId="77777777" w:rsidR="006B141F" w:rsidRPr="007D488C" w:rsidRDefault="006B141F" w:rsidP="006E4219">
            <w:pPr>
              <w:rPr>
                <w:rFonts w:ascii="Arial" w:eastAsia="Times New Roman" w:hAnsi="Arial" w:cs="Arial"/>
                <w:bCs/>
                <w:lang w:eastAsia="pt-BR"/>
              </w:rPr>
            </w:pPr>
            <w:proofErr w:type="gramStart"/>
            <w:r w:rsidRPr="007D488C">
              <w:rPr>
                <w:rFonts w:ascii="Arial" w:eastAsia="Times New Roman" w:hAnsi="Arial" w:cs="Arial"/>
                <w:bCs/>
                <w:lang w:eastAsia="pt-BR"/>
              </w:rPr>
              <w:t xml:space="preserve">1  </w:t>
            </w:r>
            <w:proofErr w:type="spellStart"/>
            <w:r w:rsidRPr="007D488C">
              <w:rPr>
                <w:rFonts w:ascii="Arial" w:eastAsia="Times New Roman" w:hAnsi="Arial" w:cs="Arial"/>
                <w:bCs/>
                <w:lang w:eastAsia="pt-BR"/>
              </w:rPr>
              <w:t>blank</w:t>
            </w:r>
            <w:proofErr w:type="spellEnd"/>
            <w:proofErr w:type="gramEnd"/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A4A03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3141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C4E1F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DEE5A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DCC8A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7572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D488C">
              <w:rPr>
                <w:rFonts w:ascii="Arial" w:eastAsia="Times New Roman" w:hAnsi="Arial" w:cs="Arial"/>
                <w:b/>
                <w:bCs/>
                <w:lang w:eastAsia="pt-BR"/>
              </w:rPr>
              <w:t>-</w:t>
            </w:r>
          </w:p>
        </w:tc>
        <w:tc>
          <w:tcPr>
            <w:tcW w:w="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F24971" w14:textId="77777777" w:rsidR="006B141F" w:rsidRPr="007D488C" w:rsidRDefault="006B141F" w:rsidP="006E4219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R="006B141F" w:rsidRPr="007D488C" w14:paraId="30106EC3" w14:textId="77777777" w:rsidTr="006E4219">
        <w:trPr>
          <w:trHeight w:val="307"/>
        </w:trPr>
        <w:tc>
          <w:tcPr>
            <w:tcW w:w="11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CCA5A9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FBFA1F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CD14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B733CD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5µL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4B36B0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FITC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7DB11D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61D3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0081B3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eBioscience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27C738A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11014942</w:t>
            </w:r>
          </w:p>
        </w:tc>
        <w:tc>
          <w:tcPr>
            <w:tcW w:w="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6941DD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6B141F" w:rsidRPr="007D488C" w14:paraId="52807821" w14:textId="77777777" w:rsidTr="006E4219">
        <w:trPr>
          <w:trHeight w:val="307"/>
        </w:trPr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60084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E7AFB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TLR-4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0BD6A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5µL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F3C65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PE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2CEFAE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HTA125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3C78B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eBioscience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3AF777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12991742</w:t>
            </w:r>
          </w:p>
        </w:tc>
        <w:tc>
          <w:tcPr>
            <w:tcW w:w="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344D25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6B141F" w:rsidRPr="007D488C" w14:paraId="589A8D08" w14:textId="77777777" w:rsidTr="006E4219">
        <w:trPr>
          <w:trHeight w:val="485"/>
        </w:trPr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D7536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66FAF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VDR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768F6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1µL (VDR)</w:t>
            </w:r>
          </w:p>
          <w:p w14:paraId="3CD27DC8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3µL (antibody secondary)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04861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APC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55B291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H1512</w:t>
            </w:r>
          </w:p>
          <w:p w14:paraId="0FB02BF0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MOUSE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23FB2" w14:textId="77777777" w:rsidR="006B141F" w:rsidRPr="007D488C" w:rsidRDefault="006B141F" w:rsidP="006E4219">
            <w:pPr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Santa Cruz/</w:t>
            </w:r>
          </w:p>
          <w:p w14:paraId="29A281A2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Invitrogem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53E1F7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SC13133</w:t>
            </w:r>
          </w:p>
          <w:p w14:paraId="5F10B0D2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Z25151</w:t>
            </w:r>
          </w:p>
        </w:tc>
        <w:tc>
          <w:tcPr>
            <w:tcW w:w="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5C5E4E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6B141F" w:rsidRPr="007D488C" w14:paraId="5A2FBD2E" w14:textId="77777777" w:rsidTr="006E4219">
        <w:trPr>
          <w:trHeight w:val="307"/>
        </w:trPr>
        <w:tc>
          <w:tcPr>
            <w:tcW w:w="11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15CAD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ED1A7C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CYP24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DE562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1µL (CYP24)</w:t>
            </w:r>
          </w:p>
          <w:p w14:paraId="62F5AE60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3µL (antibody secondary)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2F878C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Alexa Fluor 488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6FC433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D0811</w:t>
            </w:r>
          </w:p>
          <w:p w14:paraId="22C6B72A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RABBIT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6D898B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Santa Cruz/</w:t>
            </w:r>
          </w:p>
          <w:p w14:paraId="514277AE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Invitrogem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F63469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SC66851</w:t>
            </w:r>
          </w:p>
          <w:p w14:paraId="6945970E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Z5302</w:t>
            </w:r>
          </w:p>
        </w:tc>
        <w:tc>
          <w:tcPr>
            <w:tcW w:w="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C0D81E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6B141F" w:rsidRPr="007D488C" w14:paraId="07AAC752" w14:textId="77777777" w:rsidTr="006E4219">
        <w:trPr>
          <w:trHeight w:val="307"/>
        </w:trPr>
        <w:tc>
          <w:tcPr>
            <w:tcW w:w="11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97615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B404CD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CYP27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9325E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1µL (CYP27)</w:t>
            </w:r>
          </w:p>
          <w:p w14:paraId="6A7E30C3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val="en-US" w:eastAsia="pt-BR"/>
              </w:rPr>
            </w:pPr>
            <w:r w:rsidRPr="007D488C">
              <w:rPr>
                <w:rFonts w:ascii="Arial" w:eastAsia="Times New Roman" w:hAnsi="Arial" w:cs="Arial"/>
                <w:lang w:val="en-US" w:eastAsia="pt-BR"/>
              </w:rPr>
              <w:t>3µL (antibody secondary)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21A959" w14:textId="77777777" w:rsidR="006B141F" w:rsidRPr="007D488C" w:rsidRDefault="006B141F" w:rsidP="006E4219">
            <w:pPr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Alexa Fluor 647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6A5C26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K2911</w:t>
            </w:r>
          </w:p>
          <w:p w14:paraId="0F5E0D14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GOAT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861A1" w14:textId="77777777" w:rsidR="006B141F" w:rsidRPr="007D488C" w:rsidRDefault="006B141F" w:rsidP="006E4219">
            <w:pPr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Santa Cruz/</w:t>
            </w:r>
          </w:p>
          <w:p w14:paraId="76361B27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Invitrogem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BC93D1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SC49642</w:t>
            </w:r>
          </w:p>
          <w:p w14:paraId="217F7B17" w14:textId="77777777" w:rsidR="006B141F" w:rsidRPr="007D488C" w:rsidRDefault="006B141F" w:rsidP="006E4219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7D488C">
              <w:rPr>
                <w:rFonts w:ascii="Arial" w:eastAsia="Times New Roman" w:hAnsi="Arial" w:cs="Arial"/>
                <w:lang w:eastAsia="pt-BR"/>
              </w:rPr>
              <w:t>Z25608</w:t>
            </w:r>
          </w:p>
        </w:tc>
        <w:tc>
          <w:tcPr>
            <w:tcW w:w="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A1E3BE" w14:textId="77777777" w:rsidR="006B141F" w:rsidRPr="007D488C" w:rsidRDefault="006B141F" w:rsidP="006E4219">
            <w:pPr>
              <w:spacing w:before="60" w:after="60" w:line="360" w:lineRule="auto"/>
              <w:ind w:left="12"/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3DAD395B" w14:textId="77777777" w:rsidR="006B141F" w:rsidRPr="007D488C" w:rsidRDefault="006B141F" w:rsidP="006B141F">
      <w:pPr>
        <w:spacing w:line="360" w:lineRule="auto"/>
        <w:jc w:val="both"/>
        <w:rPr>
          <w:rFonts w:ascii="Arial" w:eastAsia="Times New Roman" w:hAnsi="Arial" w:cs="Arial"/>
          <w:iCs/>
          <w:lang w:val="en-US" w:eastAsia="pt-BR"/>
        </w:rPr>
      </w:pPr>
    </w:p>
    <w:p w14:paraId="397E241D" w14:textId="77777777" w:rsidR="006B141F" w:rsidRPr="007D488C" w:rsidRDefault="006B141F" w:rsidP="006B141F">
      <w:pPr>
        <w:spacing w:line="360" w:lineRule="auto"/>
        <w:jc w:val="both"/>
        <w:rPr>
          <w:rFonts w:ascii="Arial" w:eastAsia="Times New Roman" w:hAnsi="Arial" w:cs="Arial"/>
          <w:iCs/>
          <w:lang w:val="en-US" w:eastAsia="pt-BR"/>
        </w:rPr>
      </w:pPr>
    </w:p>
    <w:p w14:paraId="373C2E06" w14:textId="77777777" w:rsidR="006B141F" w:rsidRPr="007D488C" w:rsidRDefault="006B141F" w:rsidP="006B141F">
      <w:pPr>
        <w:spacing w:line="360" w:lineRule="auto"/>
        <w:jc w:val="both"/>
        <w:rPr>
          <w:rFonts w:ascii="Arial" w:eastAsia="Times New Roman" w:hAnsi="Arial" w:cs="Arial"/>
          <w:iCs/>
          <w:lang w:val="en-US" w:eastAsia="pt-BR"/>
        </w:rPr>
      </w:pPr>
    </w:p>
    <w:p w14:paraId="1ABE6C95" w14:textId="77777777" w:rsidR="006B141F" w:rsidRPr="007D488C" w:rsidRDefault="006B141F" w:rsidP="006B141F">
      <w:pPr>
        <w:spacing w:line="360" w:lineRule="auto"/>
        <w:jc w:val="both"/>
        <w:rPr>
          <w:rFonts w:ascii="Arial" w:eastAsia="Times New Roman" w:hAnsi="Arial" w:cs="Arial"/>
          <w:iCs/>
          <w:lang w:val="en-US" w:eastAsia="pt-BR"/>
        </w:rPr>
      </w:pPr>
    </w:p>
    <w:p w14:paraId="16583FC9" w14:textId="77777777" w:rsidR="006B141F" w:rsidRPr="007D488C" w:rsidRDefault="006B141F" w:rsidP="006B141F">
      <w:pPr>
        <w:spacing w:line="360" w:lineRule="auto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r w:rsidRPr="007D488C">
        <w:rPr>
          <w:rFonts w:ascii="Arial" w:eastAsia="Times New Roman" w:hAnsi="Arial" w:cs="Arial"/>
          <w:lang w:val="en-US" w:eastAsia="pt-BR"/>
        </w:rPr>
        <w:br w:type="page"/>
      </w:r>
      <w:r w:rsidRPr="007D488C">
        <w:rPr>
          <w:rFonts w:ascii="Arial" w:eastAsia="Times New Roman" w:hAnsi="Arial" w:cs="Arial"/>
          <w:b/>
          <w:sz w:val="24"/>
          <w:szCs w:val="24"/>
          <w:lang w:val="en-US" w:eastAsia="pt-BR"/>
        </w:rPr>
        <w:lastRenderedPageBreak/>
        <w:t>Supplementary Figure 1.  Demonstration of expression of CD14, TLR-4 and VDR in U937 cells by flow cytometry.</w:t>
      </w:r>
    </w:p>
    <w:p w14:paraId="0F44AB4A" w14:textId="2E37F805" w:rsidR="006B141F" w:rsidRPr="00117392" w:rsidRDefault="006B141F" w:rsidP="0011739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>Suppl. Fig 1A: U937 cells were selected in the P1 gate according to the characteristics of size (Foward Scatter - FSC) and complexity (Side Scatter - SSC). Suppl. Fig 1B, 1</w:t>
      </w:r>
      <w:r>
        <w:rPr>
          <w:rFonts w:ascii="Arial" w:eastAsia="Times New Roman" w:hAnsi="Arial" w:cs="Arial"/>
          <w:sz w:val="24"/>
          <w:szCs w:val="24"/>
          <w:lang w:val="en-US" w:eastAsia="pt-BR"/>
        </w:rPr>
        <w:t>C</w:t>
      </w:r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>, and 1</w:t>
      </w:r>
      <w:r>
        <w:rPr>
          <w:rFonts w:ascii="Arial" w:eastAsia="Times New Roman" w:hAnsi="Arial" w:cs="Arial"/>
          <w:sz w:val="24"/>
          <w:szCs w:val="24"/>
          <w:lang w:val="en-US" w:eastAsia="pt-BR"/>
        </w:rPr>
        <w:t>D</w:t>
      </w:r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: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>Autofluorescence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adjustment of U937 cells in the detection channels for the respective antibodies labeled with respective </w:t>
      </w:r>
      <w:proofErr w:type="spellStart"/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>fluorochromes</w:t>
      </w:r>
      <w:proofErr w:type="spellEnd"/>
      <w:r w:rsidRPr="007D488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FITC, PE and APC. Suppl. Fig1E (P3) = CD14 FITC expression; Suppl. Fig 1F (Q2-2) = Expression of TLR4 PE and CD14 FITC. Suppl. Fig 1G (Q2-6) = Expression of VDR APC and CD14 FITC</w:t>
      </w:r>
    </w:p>
    <w:p w14:paraId="586BF56C" w14:textId="77777777" w:rsidR="006B141F" w:rsidRPr="007D488C" w:rsidRDefault="006B141F" w:rsidP="006B141F">
      <w:pPr>
        <w:spacing w:line="360" w:lineRule="auto"/>
        <w:rPr>
          <w:rFonts w:ascii="Arial" w:eastAsia="MS Mincho" w:hAnsi="Arial" w:cs="Arial"/>
          <w:b/>
          <w:sz w:val="24"/>
          <w:szCs w:val="24"/>
          <w:lang w:val="en-US" w:eastAsia="pt-BR"/>
        </w:rPr>
      </w:pPr>
      <w:r w:rsidRPr="007D488C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CAE04AB" wp14:editId="6AF5F35A">
            <wp:simplePos x="0" y="0"/>
            <wp:positionH relativeFrom="margin">
              <wp:posOffset>774700</wp:posOffset>
            </wp:positionH>
            <wp:positionV relativeFrom="paragraph">
              <wp:posOffset>0</wp:posOffset>
            </wp:positionV>
            <wp:extent cx="4231005" cy="6158230"/>
            <wp:effectExtent l="0" t="0" r="0" b="0"/>
            <wp:wrapTight wrapText="bothSides">
              <wp:wrapPolygon edited="0">
                <wp:start x="0" y="0"/>
                <wp:lineTo x="0" y="21515"/>
                <wp:lineTo x="21493" y="21515"/>
                <wp:lineTo x="21493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615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88C">
        <w:rPr>
          <w:lang w:val="en-US"/>
        </w:rPr>
        <w:br w:type="page"/>
      </w:r>
      <w:r w:rsidRPr="007D488C">
        <w:rPr>
          <w:rFonts w:ascii="Arial" w:eastAsia="Times New Roman" w:hAnsi="Arial" w:cs="Arial"/>
          <w:b/>
          <w:sz w:val="24"/>
          <w:szCs w:val="24"/>
          <w:lang w:val="en-US" w:eastAsia="pt-BR"/>
        </w:rPr>
        <w:lastRenderedPageBreak/>
        <w:t>Supplementary</w:t>
      </w:r>
      <w:r w:rsidRPr="007D488C">
        <w:rPr>
          <w:rFonts w:ascii="Arial" w:eastAsia="MS Mincho" w:hAnsi="Arial" w:cs="Arial"/>
          <w:b/>
          <w:sz w:val="24"/>
          <w:szCs w:val="24"/>
          <w:lang w:val="en-US" w:eastAsia="pt-BR"/>
        </w:rPr>
        <w:t xml:space="preserve"> Figure 2. Demonstration of high fluorescence adjustment of U937 cells for analysis of the CYP27 and CYP24.</w:t>
      </w:r>
    </w:p>
    <w:p w14:paraId="40B30B46" w14:textId="77777777" w:rsidR="006B141F" w:rsidRPr="007D488C" w:rsidRDefault="006B141F" w:rsidP="006B141F">
      <w:pPr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val="en-US" w:eastAsia="pt-BR"/>
        </w:rPr>
      </w:pPr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 xml:space="preserve">Suppl. Fig. 2A: Gate P1 = U937 cells were selected from their Foward Scatter (FSC) and internal complexity (Side Scatter - SSC) characteristics. Histogram-type graphs (number of cells in relation to detected fluorescence intensity) were created from the gate. Suppl. Fig. 2B, 2C: </w:t>
      </w:r>
      <w:proofErr w:type="spellStart"/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Autofluorescence</w:t>
      </w:r>
      <w:proofErr w:type="spellEnd"/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 xml:space="preserve"> adjustment of the cells for the detection channels of monoclonal antibodies conjugated to the respective </w:t>
      </w:r>
      <w:proofErr w:type="spellStart"/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fluorochromes</w:t>
      </w:r>
      <w:proofErr w:type="spellEnd"/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: Alexa fluor 647 (AF 647) and Alexa Fluor 488 (AF 488). Suppl. Fig. 2D, 2E: U937 positive for monoclonal antibodies: CYP27 and CYP24 as shown in the quadrants P3 and P2.</w:t>
      </w:r>
    </w:p>
    <w:p w14:paraId="2FC44A82" w14:textId="77777777" w:rsidR="006B141F" w:rsidRPr="007D488C" w:rsidRDefault="006B141F" w:rsidP="006B141F">
      <w:pPr>
        <w:rPr>
          <w:b/>
          <w:sz w:val="24"/>
          <w:szCs w:val="24"/>
          <w:lang w:val="en-US"/>
        </w:rPr>
      </w:pPr>
    </w:p>
    <w:p w14:paraId="186B1B0C" w14:textId="77777777" w:rsidR="006B141F" w:rsidRPr="007D488C" w:rsidRDefault="006B141F" w:rsidP="006B141F">
      <w:pPr>
        <w:rPr>
          <w:lang w:val="en-US"/>
        </w:rPr>
      </w:pPr>
      <w:r w:rsidRPr="007D488C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7885BECD" wp14:editId="3DF5A91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758180" cy="5276215"/>
            <wp:effectExtent l="0" t="0" r="0" b="635"/>
            <wp:wrapTight wrapText="bothSides">
              <wp:wrapPolygon edited="0">
                <wp:start x="0" y="0"/>
                <wp:lineTo x="0" y="21525"/>
                <wp:lineTo x="21509" y="21525"/>
                <wp:lineTo x="21509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2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94937" w14:textId="77777777" w:rsidR="006B141F" w:rsidRPr="007D488C" w:rsidRDefault="006B141F" w:rsidP="006B141F">
      <w:pPr>
        <w:rPr>
          <w:lang w:val="en-US"/>
        </w:rPr>
      </w:pPr>
    </w:p>
    <w:p w14:paraId="797AA31C" w14:textId="77777777" w:rsidR="006B141F" w:rsidRPr="007D488C" w:rsidRDefault="006B141F" w:rsidP="006B141F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7D488C">
        <w:rPr>
          <w:rFonts w:ascii="Arial" w:eastAsia="Times New Roman" w:hAnsi="Arial" w:cs="Arial"/>
          <w:b/>
          <w:sz w:val="24"/>
          <w:szCs w:val="24"/>
          <w:lang w:val="en-US" w:eastAsia="pt-BR"/>
        </w:rPr>
        <w:lastRenderedPageBreak/>
        <w:t>Supplementary Figure 3</w:t>
      </w:r>
      <w:r w:rsidRPr="007D488C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7D488C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Demonstration of the high fluorescence adjustment of U937 cells for the analysis of Reactive Oxygen Species (ROS).</w:t>
      </w:r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14:paraId="70D06B18" w14:textId="77777777" w:rsidR="006B141F" w:rsidRPr="007D488C" w:rsidRDefault="006B141F" w:rsidP="006B141F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Suppl. Fig. 3</w:t>
      </w:r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A: Gate P2 = U937 cells were selected from their Foward Scatter (FSC) and internal complexity (Side Scatter - SSC) characteristics. The histogram type graph (number of cells in relation to the detected fluorescence intensity) was created from the gate. </w:t>
      </w:r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Suppl. Fig. 3B</w:t>
      </w:r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>Autofluorescence</w:t>
      </w:r>
      <w:proofErr w:type="spellEnd"/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adjustment of the cells for the DCFH-(FITC) detection channel. </w:t>
      </w:r>
      <w:r w:rsidRPr="007D488C">
        <w:rPr>
          <w:rFonts w:ascii="Arial" w:eastAsia="MS Mincho" w:hAnsi="Arial" w:cs="Arial"/>
          <w:sz w:val="24"/>
          <w:szCs w:val="24"/>
          <w:lang w:val="en-US" w:eastAsia="pt-BR"/>
        </w:rPr>
        <w:t>Suppl. Fig. 3</w:t>
      </w:r>
      <w:r w:rsidRPr="007D488C">
        <w:rPr>
          <w:rFonts w:ascii="Arial" w:hAnsi="Arial" w:cs="Arial"/>
          <w:sz w:val="24"/>
          <w:szCs w:val="24"/>
          <w:shd w:val="clear" w:color="auto" w:fill="FFFFFF"/>
          <w:lang w:val="en-US"/>
        </w:rPr>
        <w:t>C: C: U937 positive for DCFH (FITC) demonstrated in the P2 quadrant.</w:t>
      </w:r>
    </w:p>
    <w:p w14:paraId="06A976BA" w14:textId="77777777" w:rsidR="006B141F" w:rsidRPr="007D488C" w:rsidRDefault="006B141F" w:rsidP="006B141F">
      <w:pPr>
        <w:rPr>
          <w:lang w:val="en-US"/>
        </w:rPr>
      </w:pPr>
    </w:p>
    <w:p w14:paraId="2E3C6C8D" w14:textId="77777777" w:rsidR="006B141F" w:rsidRPr="007D488C" w:rsidRDefault="006B141F" w:rsidP="006B141F">
      <w:pPr>
        <w:rPr>
          <w:rFonts w:ascii="Arial" w:hAnsi="Arial" w:cs="Arial"/>
          <w:b/>
          <w:szCs w:val="24"/>
          <w:lang w:val="en-US"/>
        </w:rPr>
      </w:pPr>
      <w:r w:rsidRPr="007D488C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1464E9D8" wp14:editId="7E6BBB10">
            <wp:extent cx="5114925" cy="54768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D32CA" w14:textId="77777777" w:rsidR="006B141F" w:rsidRPr="007D488C" w:rsidRDefault="006B141F" w:rsidP="006B141F">
      <w:pPr>
        <w:tabs>
          <w:tab w:val="left" w:pos="1155"/>
        </w:tabs>
        <w:rPr>
          <w:rFonts w:ascii="Arial" w:hAnsi="Arial" w:cs="Arial"/>
          <w:szCs w:val="24"/>
          <w:lang w:val="en-US"/>
        </w:rPr>
      </w:pPr>
      <w:r w:rsidRPr="007D488C">
        <w:rPr>
          <w:rFonts w:ascii="Arial" w:hAnsi="Arial" w:cs="Arial"/>
          <w:szCs w:val="24"/>
          <w:lang w:val="en-US"/>
        </w:rPr>
        <w:tab/>
      </w:r>
    </w:p>
    <w:p w14:paraId="7E3259DA" w14:textId="77777777" w:rsidR="00806974" w:rsidRDefault="009A2956"/>
    <w:sectPr w:rsidR="00806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1F"/>
    <w:rsid w:val="00057E40"/>
    <w:rsid w:val="00117392"/>
    <w:rsid w:val="00344A98"/>
    <w:rsid w:val="00363740"/>
    <w:rsid w:val="006B141F"/>
    <w:rsid w:val="00864A60"/>
    <w:rsid w:val="009A2956"/>
    <w:rsid w:val="00C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6B36"/>
  <w15:chartTrackingRefBased/>
  <w15:docId w15:val="{96AF9D0B-BF13-4351-829D-0BFBCB6D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41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B141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41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41F"/>
    <w:rPr>
      <w:rFonts w:ascii="Calibri" w:eastAsia="Calibri" w:hAnsi="Calibri" w:cs="Times New Roman"/>
      <w:sz w:val="24"/>
      <w:szCs w:val="24"/>
    </w:rPr>
  </w:style>
  <w:style w:type="paragraph" w:styleId="Reviso">
    <w:name w:val="Revision"/>
    <w:hidden/>
    <w:uiPriority w:val="99"/>
    <w:semiHidden/>
    <w:rsid w:val="00117392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3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Aparecida Dalboni</dc:creator>
  <cp:keywords/>
  <dc:description/>
  <cp:lastModifiedBy>Maria Aparecida Dalboni</cp:lastModifiedBy>
  <cp:revision>6</cp:revision>
  <dcterms:created xsi:type="dcterms:W3CDTF">2019-06-03T23:01:00Z</dcterms:created>
  <dcterms:modified xsi:type="dcterms:W3CDTF">2019-08-22T16:49:00Z</dcterms:modified>
</cp:coreProperties>
</file>