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D5AE8" w14:textId="77777777" w:rsidR="003F1AEC" w:rsidRPr="003F1AEC" w:rsidRDefault="003F1AEC" w:rsidP="003F1AEC">
      <w:pPr>
        <w:jc w:val="both"/>
        <w:rPr>
          <w:b/>
          <w:sz w:val="36"/>
          <w:szCs w:val="36"/>
          <w:lang w:val="en-US"/>
        </w:rPr>
      </w:pPr>
      <w:r w:rsidRPr="003F1AEC">
        <w:rPr>
          <w:b/>
          <w:sz w:val="36"/>
          <w:szCs w:val="36"/>
          <w:lang w:val="en-US"/>
        </w:rPr>
        <w:t>Supplementary data</w:t>
      </w:r>
    </w:p>
    <w:p w14:paraId="33A57523" w14:textId="77777777" w:rsidR="003F1AEC" w:rsidRPr="003F1AEC" w:rsidRDefault="003F1AEC" w:rsidP="003F1AEC">
      <w:pPr>
        <w:rPr>
          <w:b/>
          <w:sz w:val="24"/>
          <w:szCs w:val="24"/>
          <w:lang w:val="en-US"/>
        </w:rPr>
      </w:pPr>
      <w:r w:rsidRPr="003F1AEC">
        <w:rPr>
          <w:b/>
          <w:sz w:val="24"/>
          <w:szCs w:val="24"/>
          <w:lang w:val="en-US"/>
        </w:rPr>
        <w:t xml:space="preserve">Single-cell dispensing and ‘real-time’ cell classification using convolutional neural networks for higher efficiency in single-cell cloning </w:t>
      </w:r>
    </w:p>
    <w:p w14:paraId="6D8B871E" w14:textId="77777777" w:rsidR="008E7BDC" w:rsidRDefault="003F1AEC" w:rsidP="00CC45BD">
      <w:pPr>
        <w:rPr>
          <w:sz w:val="24"/>
          <w:szCs w:val="24"/>
        </w:rPr>
      </w:pPr>
      <w:r w:rsidRPr="003F1AEC">
        <w:rPr>
          <w:sz w:val="24"/>
          <w:szCs w:val="24"/>
        </w:rPr>
        <w:t>Julian Riba, Jonas Schoendube, Stefan Zimmermann, Peter Koltay, Roland Zengerle</w:t>
      </w:r>
    </w:p>
    <w:p w14:paraId="1CCB8E13" w14:textId="77777777" w:rsidR="00D4069E" w:rsidRPr="00CC45BD" w:rsidRDefault="00D4069E" w:rsidP="00CC45BD">
      <w:pPr>
        <w:rPr>
          <w:sz w:val="24"/>
          <w:szCs w:val="24"/>
          <w:vertAlign w:val="superscript"/>
        </w:rPr>
      </w:pPr>
    </w:p>
    <w:p w14:paraId="48163243" w14:textId="77777777" w:rsidR="003F1AEC" w:rsidRPr="00353B83" w:rsidRDefault="003F1AEC" w:rsidP="003F1AEC">
      <w:pPr>
        <w:jc w:val="both"/>
        <w:rPr>
          <w:b/>
          <w:lang w:val="en-US"/>
        </w:rPr>
      </w:pPr>
      <w:r w:rsidRPr="00353B83">
        <w:rPr>
          <w:b/>
          <w:lang w:val="en-US"/>
        </w:rPr>
        <w:t>Network architecture</w:t>
      </w:r>
    </w:p>
    <w:p w14:paraId="1693197F" w14:textId="632C9E88" w:rsidR="003F1AEC" w:rsidRPr="003955E2" w:rsidRDefault="003F1AEC" w:rsidP="003F1AEC">
      <w:pPr>
        <w:tabs>
          <w:tab w:val="left" w:pos="4962"/>
        </w:tabs>
        <w:jc w:val="both"/>
        <w:rPr>
          <w:lang w:val="en-US"/>
        </w:rPr>
      </w:pPr>
      <w:r>
        <w:rPr>
          <w:lang w:val="en-US"/>
        </w:rPr>
        <w:t>After training and validation of MobileNetv2 (data not shown here)</w:t>
      </w:r>
      <w:r>
        <w:rPr>
          <w:lang w:val="en-US"/>
        </w:rPr>
        <w:fldChar w:fldCharType="begin" w:fldLock="1"/>
      </w:r>
      <w:r w:rsidR="00CC45BD">
        <w:rPr>
          <w:lang w:val="en-US"/>
        </w:rPr>
        <w:instrText>ADDIN CSL_CITATION {"citationItems":[{"id":"ITEM-1","itemData":{"DOI":"10.1134/S0001434607010294","ISBN":"9781538610329","ISSN":"08695652","PMID":"23766329","abstract":"In this paper we describe a new mobile architecture, MobileNetV2, that improves the state of the art performance of mobile models on multiple tasks and benchmarks as well as across a spectrum of different model sizes. We also describe efficient ways of applying these mobile models to object detection in a novel framework we call SSDLite. Additionally, we demonstrate how to build mobile semantic segmentation models through a reduced form of DeepLabv3 which we call Mobile DeepLabv3. The MobileNetV2 architecture is based on an inverted residual structure where the input and output of the residual block are thin bottleneck layers opposite to traditional residual models which use expanded representations in the input an MobileNetV2 uses lightweight depthwise convolutions to filter features in the intermediate expansion layer. Additionally, we find that it is important to remove non-linearities in the narrow layers in order to maintain representational power. We demonstrate that this improves performance and provide an intuition that led to this design. Finally, our approach allows decoupling of the input/output domains from the expressiveness of the transformation, which provides a convenient framework for further analysis. We measure our performance on Imagenet classification, COCO object detection, VOC image segmentation. We evaluate the trade-offs between accuracy, and number of operations measured by multiply-adds (MAdd), as well as the number of parameters","author":[{"dropping-particle":"","family":"Sandler","given":"Mark","non-dropping-particle":"","parse-names":false,"suffix":""},{"dropping-particle":"","family":"Howard","given":"Andrew","non-dropping-particle":"","parse-names":false,"suffix":""},{"dropping-particle":"","family":"Zhu","given":"Menglong","non-dropping-particle":"","parse-names":false,"suffix":""},{"dropping-particle":"","family":"Zhmoginov","given":"Andrey","non-dropping-particle":"","parse-names":false,"suffix":""},{"dropping-particle":"","family":"Chen","given":"Liang-Chieh","non-dropping-particle":"","parse-names":false,"suffix":""}],"container-title":"Proceedings of the IEEE Conference on Computer Vision and Pattern Recognition","id":"ITEM-1","issued":{"date-parts":[["2018"]]},"page":"4510-4520","title":"MobileNetV2: Inverted Residuals and Linear Bottlenecks","type":"article-journal"},"uris":["http://www.mendeley.com/documents/?uuid=df876f0d-1565-4f71-9749-6823bd2b89ee"]}],"mendeley":{"formattedCitation":"&lt;sup&gt;1&lt;/sup&gt;","plainTextFormattedCitation":"1","previouslyFormattedCitation":"&lt;sup&gt;1&lt;/sup&gt;"},"properties":{"noteIndex":0},"schema":"https://github.com/citation-style-language/schema/raw/master/csl-citation.json"}</w:instrText>
      </w:r>
      <w:r>
        <w:rPr>
          <w:lang w:val="en-US"/>
        </w:rPr>
        <w:fldChar w:fldCharType="separate"/>
      </w:r>
      <w:r w:rsidR="00CC45BD" w:rsidRPr="00CC45BD">
        <w:rPr>
          <w:noProof/>
          <w:vertAlign w:val="superscript"/>
          <w:lang w:val="en-US"/>
        </w:rPr>
        <w:t>1</w:t>
      </w:r>
      <w:r>
        <w:rPr>
          <w:lang w:val="en-US"/>
        </w:rPr>
        <w:fldChar w:fldCharType="end"/>
      </w:r>
      <w:r>
        <w:rPr>
          <w:lang w:val="en-US"/>
        </w:rPr>
        <w:t xml:space="preserve"> and DeepYeast</w:t>
      </w:r>
      <w:r w:rsidR="00CC45BD">
        <w:rPr>
          <w:lang w:val="en-US"/>
        </w:rPr>
        <w:fldChar w:fldCharType="begin" w:fldLock="1"/>
      </w:r>
      <w:r w:rsidR="00A97DF0">
        <w:rPr>
          <w:lang w:val="en-US"/>
        </w:rPr>
        <w:instrText>ADDIN CSL_CITATION {"citationItems":[{"id":"ITEM-1","itemData":{"DOI":"10.1534/g3.116.033654","ISSN":"2160-1836","PMID":"28391243","abstract":"High-throughput microscopy of many single cells generates high-dimensional data that are far from straightforward to analyze. One important problem is automatically detecting the cellular compartment where a fluorescently-tagged protein resides, a task relatively simple for an experienced human, but difficult to automate on a computer. Here, we train an 11-layer neural network on data from mapping thousands of yeast proteins, achieving per cell localization classification accuracy of 91%, and per protein accuracy of 99% on held-out images. We confirm that low-level network features correspond to basic image characteristics, while deeper layers separate localization classes. Using this network as a feature calculator, we train standard classifiers that assign proteins to previously unseen compartments after observing only a small number of training examples. Our results are the most accurate subcellular localization classifications to date, and demonstrate the usefulness of deep learning for high-throughput microscopy.","author":[{"dropping-particle":"","family":"Pärnamaa","given":"Tanel","non-dropping-particle":"","parse-names":false,"suffix":""},{"dropping-particle":"","family":"Parts","given":"Leopold","non-dropping-particle":"","parse-names":false,"suffix":""}],"container-title":"G3","id":"ITEM-1","issue":"5","issued":{"date-parts":[["2017"]]},"page":"1385-1392","title":"Accurate Classification of Protein Subcellular Localization from High-Throughput Microscopy Images Using Deep Learning","type":"article-journal","volume":"7"},"uris":["http://www.mendeley.com/documents/?uuid=7ebb52a6-146b-4836-a6fc-6fabe7eb149e"]}],"mendeley":{"formattedCitation":"&lt;sup&gt;2&lt;/sup&gt;","plainTextFormattedCitation":"2","previouslyFormattedCitation":"&lt;sup&gt;2&lt;/sup&gt;"},"properties":{"noteIndex":0},"schema":"https://github.com/citation-style-language/schema/raw/master/csl-citation.json"}</w:instrText>
      </w:r>
      <w:r w:rsidR="00CC45BD">
        <w:rPr>
          <w:lang w:val="en-US"/>
        </w:rPr>
        <w:fldChar w:fldCharType="separate"/>
      </w:r>
      <w:r w:rsidR="00CC45BD" w:rsidRPr="00CC45BD">
        <w:rPr>
          <w:noProof/>
          <w:vertAlign w:val="superscript"/>
          <w:lang w:val="en-US"/>
        </w:rPr>
        <w:t>2</w:t>
      </w:r>
      <w:r w:rsidR="00CC45BD">
        <w:rPr>
          <w:lang w:val="en-US"/>
        </w:rPr>
        <w:fldChar w:fldCharType="end"/>
      </w:r>
      <w:r>
        <w:rPr>
          <w:lang w:val="en-US"/>
        </w:rPr>
        <w:t xml:space="preserve"> it became obvious, that the low-resolution images obtained from the single-cell printer require a shallower architecture to avoid overfitting. Therefore, four architectural parameters of the model were investigated systematically: The number of convolutional layers, the number of filters used in each convolutional layer, the number of fully connected layers, and the number of nodes in the fully connected layer. The results are summarized in </w:t>
      </w:r>
      <w:r w:rsidRPr="00BB0DC1">
        <w:rPr>
          <w:b/>
          <w:lang w:val="en-US"/>
        </w:rPr>
        <w:t>Figure S1</w:t>
      </w:r>
      <w:r>
        <w:rPr>
          <w:lang w:val="en-US"/>
        </w:rPr>
        <w:t xml:space="preserve">. </w:t>
      </w:r>
      <w:r w:rsidR="00810632">
        <w:rPr>
          <w:lang w:val="en-US"/>
        </w:rPr>
        <w:t xml:space="preserve">Overall, in can be observed, that the classification accuracy </w:t>
      </w:r>
      <w:r w:rsidR="00E92464">
        <w:rPr>
          <w:lang w:val="en-US"/>
        </w:rPr>
        <w:t>can decrease</w:t>
      </w:r>
      <w:r w:rsidR="00810632">
        <w:rPr>
          <w:lang w:val="en-US"/>
        </w:rPr>
        <w:t xml:space="preserve"> for more than 2 convolutional layers</w:t>
      </w:r>
      <w:r w:rsidR="005162C1">
        <w:rPr>
          <w:lang w:val="en-US"/>
        </w:rPr>
        <w:t xml:space="preserve"> (</w:t>
      </w:r>
      <w:r w:rsidR="005162C1" w:rsidRPr="00BB0DC1">
        <w:rPr>
          <w:b/>
          <w:lang w:val="en-US"/>
        </w:rPr>
        <w:t xml:space="preserve">Figure </w:t>
      </w:r>
      <w:r w:rsidR="005162C1" w:rsidRPr="003955E2">
        <w:rPr>
          <w:b/>
          <w:bCs/>
          <w:lang w:val="en-US"/>
        </w:rPr>
        <w:t xml:space="preserve">S1 </w:t>
      </w:r>
      <w:r w:rsidR="007823CA">
        <w:rPr>
          <w:b/>
          <w:bCs/>
          <w:lang w:val="en-US"/>
        </w:rPr>
        <w:t>A</w:t>
      </w:r>
      <w:r w:rsidR="005162C1">
        <w:rPr>
          <w:lang w:val="en-US"/>
        </w:rPr>
        <w:t>)</w:t>
      </w:r>
      <w:r w:rsidR="00810632">
        <w:rPr>
          <w:lang w:val="en-US"/>
        </w:rPr>
        <w:t>.</w:t>
      </w:r>
      <w:r w:rsidR="005162C1">
        <w:rPr>
          <w:lang w:val="en-US"/>
        </w:rPr>
        <w:t xml:space="preserve"> The number of fully connected layers have only a very modest impact on the performance (</w:t>
      </w:r>
      <w:r w:rsidR="005162C1" w:rsidRPr="00BB0DC1">
        <w:rPr>
          <w:b/>
          <w:lang w:val="en-US"/>
        </w:rPr>
        <w:t xml:space="preserve">Figure </w:t>
      </w:r>
      <w:r w:rsidR="005162C1" w:rsidRPr="0083651A">
        <w:rPr>
          <w:b/>
          <w:bCs/>
          <w:lang w:val="en-US"/>
        </w:rPr>
        <w:t xml:space="preserve">S1 </w:t>
      </w:r>
      <w:r w:rsidR="007823CA">
        <w:rPr>
          <w:b/>
          <w:bCs/>
          <w:lang w:val="en-US"/>
        </w:rPr>
        <w:t>B</w:t>
      </w:r>
      <w:r w:rsidR="005162C1">
        <w:rPr>
          <w:lang w:val="en-US"/>
        </w:rPr>
        <w:t xml:space="preserve">). </w:t>
      </w:r>
      <w:r w:rsidR="005162C1" w:rsidRPr="005162C1">
        <w:rPr>
          <w:lang w:val="en-US"/>
        </w:rPr>
        <w:t>A drop in classification accuracy was observed for a model with 16 dense nodes in the fully connected (FC) layer</w:t>
      </w:r>
      <w:r w:rsidR="005162C1">
        <w:rPr>
          <w:lang w:val="en-US"/>
        </w:rPr>
        <w:t xml:space="preserve"> compared to 32 or 128 nodes (</w:t>
      </w:r>
      <w:r w:rsidR="005162C1" w:rsidRPr="00BB0DC1">
        <w:rPr>
          <w:b/>
          <w:lang w:val="en-US"/>
        </w:rPr>
        <w:t xml:space="preserve">Figure </w:t>
      </w:r>
      <w:r w:rsidR="005162C1" w:rsidRPr="0083651A">
        <w:rPr>
          <w:b/>
          <w:bCs/>
          <w:lang w:val="en-US"/>
        </w:rPr>
        <w:t xml:space="preserve">S1 </w:t>
      </w:r>
      <w:r w:rsidR="007823CA">
        <w:rPr>
          <w:b/>
          <w:bCs/>
          <w:lang w:val="en-US"/>
        </w:rPr>
        <w:t>C</w:t>
      </w:r>
      <w:r w:rsidR="005162C1" w:rsidRPr="003955E2">
        <w:rPr>
          <w:lang w:val="en-US"/>
        </w:rPr>
        <w:t>)</w:t>
      </w:r>
      <w:r w:rsidR="005162C1">
        <w:rPr>
          <w:lang w:val="en-US"/>
        </w:rPr>
        <w:t xml:space="preserve">. </w:t>
      </w:r>
      <w:r w:rsidR="00E92464">
        <w:rPr>
          <w:lang w:val="en-US"/>
        </w:rPr>
        <w:t xml:space="preserve">Further, </w:t>
      </w:r>
      <w:r w:rsidR="00C535B9">
        <w:rPr>
          <w:lang w:val="en-US"/>
        </w:rPr>
        <w:t xml:space="preserve">increasing the number of filters from 4 to 8, 16, or 32 did not have much influence on the </w:t>
      </w:r>
      <w:r w:rsidR="005162C1">
        <w:rPr>
          <w:lang w:val="en-US"/>
        </w:rPr>
        <w:t>classification accuracy (</w:t>
      </w:r>
      <w:r w:rsidR="005162C1" w:rsidRPr="00BB0DC1">
        <w:rPr>
          <w:b/>
          <w:lang w:val="en-US"/>
        </w:rPr>
        <w:t xml:space="preserve">Figure </w:t>
      </w:r>
      <w:r w:rsidR="005162C1" w:rsidRPr="0083651A">
        <w:rPr>
          <w:b/>
          <w:bCs/>
          <w:lang w:val="en-US"/>
        </w:rPr>
        <w:t xml:space="preserve">S1 </w:t>
      </w:r>
      <w:r w:rsidR="007823CA">
        <w:rPr>
          <w:b/>
          <w:bCs/>
          <w:lang w:val="en-US"/>
        </w:rPr>
        <w:t>D</w:t>
      </w:r>
      <w:r w:rsidR="005162C1">
        <w:rPr>
          <w:lang w:val="en-US"/>
        </w:rPr>
        <w:t xml:space="preserve">). </w:t>
      </w:r>
      <w:r w:rsidR="00E92464">
        <w:rPr>
          <w:lang w:val="en-US"/>
        </w:rPr>
        <w:t>For ‘real-time’ image classification on the single-cell printer a smaller network is preferable</w:t>
      </w:r>
      <w:r w:rsidR="00BB59CB">
        <w:rPr>
          <w:lang w:val="en-US"/>
        </w:rPr>
        <w:t>, as lager</w:t>
      </w:r>
      <w:r w:rsidR="00F461A1">
        <w:rPr>
          <w:lang w:val="en-US"/>
        </w:rPr>
        <w:t xml:space="preserve"> networks result in longer processing times, which decrease the throughput of the instrument.</w:t>
      </w:r>
      <w:r w:rsidR="00BB59CB">
        <w:rPr>
          <w:lang w:val="en-US"/>
        </w:rPr>
        <w:t xml:space="preserve"> Therefore, a shallow model with 4 filters, 32 dense nodes (</w:t>
      </w:r>
      <w:r w:rsidR="00BB59CB" w:rsidRPr="00B24895">
        <w:rPr>
          <w:lang w:val="en-US"/>
        </w:rPr>
        <w:t>CNN-4/32</w:t>
      </w:r>
      <w:r w:rsidR="00BB59CB">
        <w:rPr>
          <w:lang w:val="en-US"/>
        </w:rPr>
        <w:t xml:space="preserve">) was selected. </w:t>
      </w:r>
      <w:r w:rsidR="00F461A1">
        <w:rPr>
          <w:lang w:val="en-US"/>
        </w:rPr>
        <w:t xml:space="preserve">In order to assess how the network size influences the processing times </w:t>
      </w:r>
      <w:r w:rsidR="00BB59CB">
        <w:rPr>
          <w:lang w:val="en-US"/>
        </w:rPr>
        <w:t xml:space="preserve">a second slightly larger model with 32 filters and 128 dense nodes </w:t>
      </w:r>
      <w:r w:rsidR="00DD42B5">
        <w:rPr>
          <w:lang w:val="en-US"/>
        </w:rPr>
        <w:t>(CNN-</w:t>
      </w:r>
      <w:r w:rsidR="00CE1006">
        <w:rPr>
          <w:lang w:val="en-US"/>
        </w:rPr>
        <w:t xml:space="preserve">32/128) </w:t>
      </w:r>
      <w:r w:rsidR="00BB59CB">
        <w:rPr>
          <w:lang w:val="en-US"/>
        </w:rPr>
        <w:t xml:space="preserve">was also </w:t>
      </w:r>
      <w:r w:rsidR="004D7D03">
        <w:rPr>
          <w:lang w:val="en-US"/>
        </w:rPr>
        <w:t>selected for further characterization</w:t>
      </w:r>
      <w:r w:rsidR="00BB59CB">
        <w:rPr>
          <w:lang w:val="en-US"/>
        </w:rPr>
        <w:t>.</w:t>
      </w:r>
      <w:r w:rsidR="00544781">
        <w:rPr>
          <w:lang w:val="en-US"/>
        </w:rPr>
        <w:t xml:space="preserve"> I should be noted here, </w:t>
      </w:r>
      <w:r w:rsidR="00FC4375">
        <w:rPr>
          <w:lang w:val="en-US"/>
        </w:rPr>
        <w:t>that the low-resolution images of 55x55 px</w:t>
      </w:r>
      <w:r w:rsidR="00FC4375" w:rsidRPr="003955E2">
        <w:rPr>
          <w:vertAlign w:val="superscript"/>
          <w:lang w:val="en-US"/>
        </w:rPr>
        <w:t>2</w:t>
      </w:r>
      <w:r w:rsidR="00FC4375">
        <w:rPr>
          <w:lang w:val="en-US"/>
        </w:rPr>
        <w:t xml:space="preserve"> that were used here, restrict the number of pooling operations that can be used in a senseful manner, which is one explanation why MobileNetv2 and DeepYeast did not perform well. This could be addressed by upsampling the images prior training and prediction. Here, we did not opt for this strategy, since this would result in significantly longer CPU processing times</w:t>
      </w:r>
      <w:r w:rsidR="00245998">
        <w:rPr>
          <w:lang w:val="en-US"/>
        </w:rPr>
        <w:t>.</w:t>
      </w:r>
    </w:p>
    <w:p w14:paraId="2445D8DB" w14:textId="7953FB9C" w:rsidR="003F1AEC" w:rsidRDefault="00C30D1E" w:rsidP="003F1AEC">
      <w:pPr>
        <w:keepNext/>
        <w:jc w:val="both"/>
      </w:pPr>
      <w:r>
        <w:rPr>
          <w:noProof/>
        </w:rPr>
        <w:lastRenderedPageBreak/>
        <w:drawing>
          <wp:inline distT="0" distB="0" distL="0" distR="0" wp14:anchorId="4579C45B" wp14:editId="6B6EB6D1">
            <wp:extent cx="5760720" cy="323786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37865"/>
                    </a:xfrm>
                    <a:prstGeom prst="rect">
                      <a:avLst/>
                    </a:prstGeom>
                    <a:noFill/>
                    <a:ln>
                      <a:noFill/>
                    </a:ln>
                  </pic:spPr>
                </pic:pic>
              </a:graphicData>
            </a:graphic>
          </wp:inline>
        </w:drawing>
      </w:r>
    </w:p>
    <w:p w14:paraId="269D1A7C" w14:textId="4C6FE9CB" w:rsidR="003F1AEC" w:rsidRPr="005771E1" w:rsidRDefault="003F1AEC" w:rsidP="003F1AEC">
      <w:pPr>
        <w:pStyle w:val="Beschriftung"/>
        <w:jc w:val="both"/>
        <w:rPr>
          <w:b/>
          <w:i w:val="0"/>
          <w:color w:val="auto"/>
          <w:sz w:val="20"/>
          <w:szCs w:val="20"/>
          <w:lang w:val="en-US"/>
        </w:rPr>
      </w:pPr>
      <w:r w:rsidRPr="00E57E25">
        <w:rPr>
          <w:b/>
          <w:i w:val="0"/>
          <w:color w:val="auto"/>
          <w:sz w:val="20"/>
          <w:szCs w:val="20"/>
          <w:lang w:val="en-US"/>
        </w:rPr>
        <w:t>Figure S1:</w:t>
      </w:r>
      <w:r w:rsidRPr="00E57E25">
        <w:rPr>
          <w:i w:val="0"/>
          <w:color w:val="auto"/>
          <w:sz w:val="20"/>
          <w:szCs w:val="20"/>
          <w:lang w:val="en-US"/>
        </w:rPr>
        <w:t xml:space="preserve"> Influence of the network architecture on the validation accuracy. The model architecture was varied systematically. Training and validation were performed on the </w:t>
      </w:r>
      <w:r>
        <w:rPr>
          <w:i w:val="0"/>
          <w:color w:val="auto"/>
          <w:sz w:val="20"/>
          <w:szCs w:val="20"/>
          <w:lang w:val="en-US"/>
        </w:rPr>
        <w:t>CHO18all</w:t>
      </w:r>
      <w:r w:rsidRPr="00E57E25">
        <w:rPr>
          <w:i w:val="0"/>
          <w:color w:val="auto"/>
          <w:sz w:val="20"/>
          <w:szCs w:val="20"/>
          <w:lang w:val="en-US"/>
        </w:rPr>
        <w:t xml:space="preserve"> dataset</w:t>
      </w:r>
      <w:r>
        <w:rPr>
          <w:i w:val="0"/>
          <w:color w:val="auto"/>
          <w:sz w:val="20"/>
          <w:szCs w:val="20"/>
          <w:lang w:val="en-US"/>
        </w:rPr>
        <w:t xml:space="preserve">. </w:t>
      </w:r>
      <w:r w:rsidR="00812E6A">
        <w:rPr>
          <w:i w:val="0"/>
          <w:color w:val="auto"/>
          <w:sz w:val="20"/>
          <w:szCs w:val="20"/>
          <w:lang w:val="en-US"/>
        </w:rPr>
        <w:t xml:space="preserve">If not otherwise stated in the plots, the models shown here have 2 convolutional layers which 16 filters each, and 2 fully connected </w:t>
      </w:r>
      <w:r w:rsidR="00D91480">
        <w:rPr>
          <w:i w:val="0"/>
          <w:color w:val="auto"/>
          <w:sz w:val="20"/>
          <w:szCs w:val="20"/>
          <w:lang w:val="en-US"/>
        </w:rPr>
        <w:t xml:space="preserve">(FC) </w:t>
      </w:r>
      <w:r w:rsidR="00812E6A">
        <w:rPr>
          <w:i w:val="0"/>
          <w:color w:val="auto"/>
          <w:sz w:val="20"/>
          <w:szCs w:val="20"/>
          <w:lang w:val="en-US"/>
        </w:rPr>
        <w:t xml:space="preserve">layers with 32 nodes. </w:t>
      </w:r>
      <w:r w:rsidR="00432D4A" w:rsidRPr="003955E2">
        <w:rPr>
          <w:b/>
          <w:bCs/>
          <w:i w:val="0"/>
          <w:color w:val="auto"/>
          <w:sz w:val="20"/>
          <w:szCs w:val="20"/>
          <w:lang w:val="en-US"/>
        </w:rPr>
        <w:t>(</w:t>
      </w:r>
      <w:r w:rsidR="00432D4A">
        <w:rPr>
          <w:b/>
          <w:i w:val="0"/>
          <w:color w:val="auto"/>
          <w:sz w:val="20"/>
          <w:szCs w:val="20"/>
          <w:lang w:val="en-US"/>
        </w:rPr>
        <w:t>A)</w:t>
      </w:r>
      <w:r w:rsidRPr="00E57E25">
        <w:rPr>
          <w:i w:val="0"/>
          <w:color w:val="auto"/>
          <w:sz w:val="20"/>
          <w:szCs w:val="20"/>
          <w:lang w:val="en-US"/>
        </w:rPr>
        <w:t xml:space="preserve"> Two convolutional layers are required but more layers </w:t>
      </w:r>
      <w:r w:rsidR="00C11FE1">
        <w:rPr>
          <w:i w:val="0"/>
          <w:color w:val="auto"/>
          <w:sz w:val="20"/>
          <w:szCs w:val="20"/>
          <w:lang w:val="en-US"/>
        </w:rPr>
        <w:t>can result in lower</w:t>
      </w:r>
      <w:r w:rsidRPr="00E57E25">
        <w:rPr>
          <w:i w:val="0"/>
          <w:color w:val="auto"/>
          <w:sz w:val="20"/>
          <w:szCs w:val="20"/>
          <w:lang w:val="en-US"/>
        </w:rPr>
        <w:t xml:space="preserve"> classification performance</w:t>
      </w:r>
      <w:r w:rsidR="00C11FE1">
        <w:rPr>
          <w:i w:val="0"/>
          <w:color w:val="auto"/>
          <w:sz w:val="20"/>
          <w:szCs w:val="20"/>
          <w:lang w:val="en-US"/>
        </w:rPr>
        <w:t>, even for a</w:t>
      </w:r>
      <w:r w:rsidR="00812E6A">
        <w:rPr>
          <w:i w:val="0"/>
          <w:color w:val="auto"/>
          <w:sz w:val="20"/>
          <w:szCs w:val="20"/>
          <w:lang w:val="en-US"/>
        </w:rPr>
        <w:t xml:space="preserve"> very</w:t>
      </w:r>
      <w:r w:rsidR="00C11FE1">
        <w:rPr>
          <w:i w:val="0"/>
          <w:color w:val="auto"/>
          <w:sz w:val="20"/>
          <w:szCs w:val="20"/>
          <w:lang w:val="en-US"/>
        </w:rPr>
        <w:t xml:space="preserve"> </w:t>
      </w:r>
      <w:r w:rsidR="00812E6A">
        <w:rPr>
          <w:i w:val="0"/>
          <w:color w:val="auto"/>
          <w:sz w:val="20"/>
          <w:szCs w:val="20"/>
          <w:lang w:val="en-US"/>
        </w:rPr>
        <w:t>narrow</w:t>
      </w:r>
      <w:r w:rsidR="00C11FE1">
        <w:rPr>
          <w:i w:val="0"/>
          <w:color w:val="auto"/>
          <w:sz w:val="20"/>
          <w:szCs w:val="20"/>
          <w:lang w:val="en-US"/>
        </w:rPr>
        <w:t xml:space="preserve"> model with only 4 filters</w:t>
      </w:r>
      <w:r w:rsidRPr="00E57E25">
        <w:rPr>
          <w:i w:val="0"/>
          <w:color w:val="auto"/>
          <w:sz w:val="20"/>
          <w:szCs w:val="20"/>
          <w:lang w:val="en-US"/>
        </w:rPr>
        <w:t>.</w:t>
      </w:r>
      <w:r>
        <w:rPr>
          <w:i w:val="0"/>
          <w:color w:val="auto"/>
          <w:sz w:val="20"/>
          <w:szCs w:val="20"/>
          <w:lang w:val="en-US"/>
        </w:rPr>
        <w:t xml:space="preserve"> </w:t>
      </w:r>
      <w:r w:rsidR="007823CA" w:rsidRPr="0083651A">
        <w:rPr>
          <w:b/>
          <w:bCs/>
          <w:i w:val="0"/>
          <w:color w:val="auto"/>
          <w:sz w:val="20"/>
          <w:szCs w:val="20"/>
          <w:lang w:val="en-US"/>
        </w:rPr>
        <w:t>(</w:t>
      </w:r>
      <w:r w:rsidR="007823CA">
        <w:rPr>
          <w:b/>
          <w:i w:val="0"/>
          <w:color w:val="auto"/>
          <w:sz w:val="20"/>
          <w:szCs w:val="20"/>
          <w:lang w:val="en-US"/>
        </w:rPr>
        <w:t xml:space="preserve">B) </w:t>
      </w:r>
      <w:r>
        <w:rPr>
          <w:i w:val="0"/>
          <w:color w:val="auto"/>
          <w:sz w:val="20"/>
          <w:szCs w:val="20"/>
          <w:lang w:val="en-US"/>
        </w:rPr>
        <w:t xml:space="preserve">A single fully connected layer is enough. </w:t>
      </w:r>
      <w:r w:rsidR="00432D4A" w:rsidRPr="0083651A">
        <w:rPr>
          <w:b/>
          <w:bCs/>
          <w:i w:val="0"/>
          <w:color w:val="auto"/>
          <w:sz w:val="20"/>
          <w:szCs w:val="20"/>
          <w:lang w:val="en-US"/>
        </w:rPr>
        <w:t>(</w:t>
      </w:r>
      <w:r w:rsidR="00432D4A">
        <w:rPr>
          <w:b/>
          <w:i w:val="0"/>
          <w:color w:val="auto"/>
          <w:sz w:val="20"/>
          <w:szCs w:val="20"/>
          <w:lang w:val="en-US"/>
        </w:rPr>
        <w:t>C)</w:t>
      </w:r>
      <w:r>
        <w:rPr>
          <w:i w:val="0"/>
          <w:color w:val="auto"/>
          <w:sz w:val="20"/>
          <w:szCs w:val="20"/>
          <w:lang w:val="en-US"/>
        </w:rPr>
        <w:t xml:space="preserve"> </w:t>
      </w:r>
      <w:r w:rsidR="00812E6A">
        <w:rPr>
          <w:i w:val="0"/>
          <w:color w:val="auto"/>
          <w:sz w:val="20"/>
          <w:szCs w:val="20"/>
          <w:lang w:val="en-US"/>
        </w:rPr>
        <w:t>A drop in c</w:t>
      </w:r>
      <w:r>
        <w:rPr>
          <w:i w:val="0"/>
          <w:color w:val="auto"/>
          <w:sz w:val="20"/>
          <w:szCs w:val="20"/>
          <w:lang w:val="en-US"/>
        </w:rPr>
        <w:t xml:space="preserve">lassification accuracy </w:t>
      </w:r>
      <w:r w:rsidR="00812E6A">
        <w:rPr>
          <w:i w:val="0"/>
          <w:color w:val="auto"/>
          <w:sz w:val="20"/>
          <w:szCs w:val="20"/>
          <w:lang w:val="en-US"/>
        </w:rPr>
        <w:t xml:space="preserve">was observed for a model with 16 dense nodes in the </w:t>
      </w:r>
      <w:r>
        <w:rPr>
          <w:i w:val="0"/>
          <w:color w:val="auto"/>
          <w:sz w:val="20"/>
          <w:szCs w:val="20"/>
          <w:lang w:val="en-US"/>
        </w:rPr>
        <w:t>fully connected (FC) layer.</w:t>
      </w:r>
      <w:r w:rsidR="00812E6A" w:rsidRPr="00812E6A">
        <w:rPr>
          <w:b/>
          <w:i w:val="0"/>
          <w:color w:val="auto"/>
          <w:sz w:val="20"/>
          <w:szCs w:val="20"/>
          <w:lang w:val="en-US"/>
        </w:rPr>
        <w:t xml:space="preserve"> </w:t>
      </w:r>
      <w:r w:rsidR="007823CA" w:rsidRPr="0083651A">
        <w:rPr>
          <w:b/>
          <w:bCs/>
          <w:i w:val="0"/>
          <w:color w:val="auto"/>
          <w:sz w:val="20"/>
          <w:szCs w:val="20"/>
          <w:lang w:val="en-US"/>
        </w:rPr>
        <w:t>(</w:t>
      </w:r>
      <w:r w:rsidR="007823CA">
        <w:rPr>
          <w:b/>
          <w:i w:val="0"/>
          <w:color w:val="auto"/>
          <w:sz w:val="20"/>
          <w:szCs w:val="20"/>
          <w:lang w:val="en-US"/>
        </w:rPr>
        <w:t xml:space="preserve">D) </w:t>
      </w:r>
      <w:r w:rsidR="00812E6A">
        <w:rPr>
          <w:i w:val="0"/>
          <w:color w:val="auto"/>
          <w:sz w:val="20"/>
          <w:szCs w:val="20"/>
          <w:lang w:val="en-US"/>
        </w:rPr>
        <w:t>The number of filters has only a small influence on the classification accuracy. Here, the performance doesn´t increase for more than 16 filters. Note that all filters have a kernel with a size of 3x3.</w:t>
      </w:r>
    </w:p>
    <w:p w14:paraId="740DC11D" w14:textId="77777777" w:rsidR="003F1AEC" w:rsidRPr="001E055D" w:rsidRDefault="003F1AEC" w:rsidP="003F1AEC">
      <w:pPr>
        <w:jc w:val="both"/>
        <w:rPr>
          <w:b/>
          <w:lang w:val="en-US"/>
        </w:rPr>
      </w:pPr>
      <w:r w:rsidRPr="001E055D">
        <w:rPr>
          <w:b/>
          <w:lang w:val="en-US"/>
        </w:rPr>
        <w:t>Data augmentation</w:t>
      </w:r>
    </w:p>
    <w:p w14:paraId="4EB66CF8" w14:textId="09C3DB1C" w:rsidR="003F1AEC" w:rsidRDefault="003F1AEC" w:rsidP="003F1AEC">
      <w:pPr>
        <w:jc w:val="both"/>
        <w:rPr>
          <w:lang w:val="en-US"/>
        </w:rPr>
      </w:pPr>
      <w:r>
        <w:rPr>
          <w:lang w:val="en-US"/>
        </w:rPr>
        <w:t>A common method to reduce overfitting on image data is to artificially enlarge the training dataset by applying geometric transformation to the original images</w:t>
      </w:r>
      <w:r>
        <w:rPr>
          <w:lang w:val="en-US"/>
        </w:rPr>
        <w:fldChar w:fldCharType="begin" w:fldLock="1"/>
      </w:r>
      <w:r w:rsidR="00A97DF0">
        <w:rPr>
          <w:lang w:val="en-US"/>
        </w:rPr>
        <w:instrText>ADDIN CSL_CITATION {"citationItems":[{"id":"ITEM-1","itemData":{"author":[{"dropping-particle":"","family":"Krizhevsky","given":"Alex","non-dropping-particle":"","parse-names":false,"suffix":""},{"dropping-particle":"","family":"Hinton","given":"Geoffrey E","non-dropping-particle":"","parse-names":false,"suffix":""}],"container-title":"Advances in neural information processing systems","id":"ITEM-1","issued":{"date-parts":[["2012"]]},"page":"1097-1105","title":"ImageNet Classification with Deep Convolutional Neural Networks","type":"article-journal"},"uris":["http://www.mendeley.com/documents/?uuid=3eb03947-3f20-4e88-b80b-fb55d564c666"]}],"mendeley":{"formattedCitation":"&lt;sup&gt;3&lt;/sup&gt;","plainTextFormattedCitation":"3","previouslyFormattedCitation":"&lt;sup&gt;3&lt;/sup&gt;"},"properties":{"noteIndex":0},"schema":"https://github.com/citation-style-language/schema/raw/master/csl-citation.json"}</w:instrText>
      </w:r>
      <w:r>
        <w:rPr>
          <w:lang w:val="en-US"/>
        </w:rPr>
        <w:fldChar w:fldCharType="separate"/>
      </w:r>
      <w:r w:rsidR="00CC45BD" w:rsidRPr="00CC45BD">
        <w:rPr>
          <w:noProof/>
          <w:vertAlign w:val="superscript"/>
          <w:lang w:val="en-US"/>
        </w:rPr>
        <w:t>3</w:t>
      </w:r>
      <w:r>
        <w:rPr>
          <w:lang w:val="en-US"/>
        </w:rPr>
        <w:fldChar w:fldCharType="end"/>
      </w:r>
      <w:r>
        <w:rPr>
          <w:lang w:val="en-US"/>
        </w:rPr>
        <w:t>. Here, overfitting could be significantly reduced (</w:t>
      </w:r>
      <w:r w:rsidRPr="00ED5E48">
        <w:rPr>
          <w:b/>
          <w:lang w:val="en-US"/>
        </w:rPr>
        <w:t xml:space="preserve">Figure </w:t>
      </w:r>
      <w:r>
        <w:rPr>
          <w:b/>
          <w:lang w:val="en-US"/>
        </w:rPr>
        <w:t>S2 A</w:t>
      </w:r>
      <w:r>
        <w:rPr>
          <w:lang w:val="en-US"/>
        </w:rPr>
        <w:t xml:space="preserve">) by moderate geometric data augmentation. For each minibatch the original cell images were subject to a random vertical flip and to a translation in the vertical and horizontal direction by a random distance between 0 and 5 pixels as shown in </w:t>
      </w:r>
      <w:r w:rsidRPr="003D3351">
        <w:rPr>
          <w:b/>
          <w:lang w:val="en-US"/>
        </w:rPr>
        <w:t xml:space="preserve">Figure </w:t>
      </w:r>
      <w:r>
        <w:rPr>
          <w:b/>
          <w:lang w:val="en-US"/>
        </w:rPr>
        <w:t>S2</w:t>
      </w:r>
      <w:r w:rsidRPr="003D3351">
        <w:rPr>
          <w:b/>
          <w:lang w:val="en-US"/>
        </w:rPr>
        <w:t xml:space="preserve"> B</w:t>
      </w:r>
      <w:r>
        <w:rPr>
          <w:lang w:val="en-US"/>
        </w:rPr>
        <w:t>.  Such a moderate translation ensures that the model can robustly classify images in which the cell is not perfectly centered. On the other hand, it makes sure that all translated cells are completely captured by the image. To rule out any influence of the nozzle geometry in the background no rotations were applied to the images. However, as the</w:t>
      </w:r>
      <w:r w:rsidRPr="00D61C61">
        <w:rPr>
          <w:lang w:val="en-US"/>
        </w:rPr>
        <w:t xml:space="preserve"> nozzle geometry is vertically symmetric</w:t>
      </w:r>
      <w:r w:rsidR="00D4069E">
        <w:rPr>
          <w:lang w:val="en-US"/>
        </w:rPr>
        <w:t>,</w:t>
      </w:r>
      <w:r w:rsidRPr="00D61C61">
        <w:rPr>
          <w:lang w:val="en-US"/>
        </w:rPr>
        <w:t xml:space="preserve"> vertical flip</w:t>
      </w:r>
      <w:r>
        <w:rPr>
          <w:lang w:val="en-US"/>
        </w:rPr>
        <w:t xml:space="preserve"> seemed reasonable</w:t>
      </w:r>
      <w:r w:rsidRPr="00D61C61">
        <w:rPr>
          <w:lang w:val="en-US"/>
        </w:rPr>
        <w:t xml:space="preserve">. </w:t>
      </w:r>
      <w:r>
        <w:rPr>
          <w:lang w:val="en-US"/>
        </w:rPr>
        <w:t xml:space="preserve">The other two affine transformations scaling and shear were not used, since the size and roundness of a cell can be relevant morphological characteristics that should be retained. </w:t>
      </w:r>
    </w:p>
    <w:p w14:paraId="477F549D" w14:textId="77777777" w:rsidR="003F1AEC" w:rsidRDefault="003F1AEC" w:rsidP="003F1AEC">
      <w:pPr>
        <w:keepNext/>
        <w:jc w:val="center"/>
      </w:pPr>
      <w:r>
        <w:rPr>
          <w:noProof/>
          <w:lang w:eastAsia="zh-CN"/>
        </w:rPr>
        <w:lastRenderedPageBreak/>
        <w:drawing>
          <wp:inline distT="0" distB="0" distL="0" distR="0" wp14:anchorId="11684F03" wp14:editId="69ABECE5">
            <wp:extent cx="4543953" cy="2345266"/>
            <wp:effectExtent l="0" t="0" r="952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6157" cy="2367049"/>
                    </a:xfrm>
                    <a:prstGeom prst="rect">
                      <a:avLst/>
                    </a:prstGeom>
                    <a:noFill/>
                  </pic:spPr>
                </pic:pic>
              </a:graphicData>
            </a:graphic>
          </wp:inline>
        </w:drawing>
      </w:r>
    </w:p>
    <w:p w14:paraId="7ADDE1CD" w14:textId="77777777" w:rsidR="003F1AEC" w:rsidRPr="00266D38" w:rsidRDefault="003F1AEC" w:rsidP="003F1AEC">
      <w:pPr>
        <w:pStyle w:val="Beschriftung"/>
        <w:jc w:val="both"/>
        <w:rPr>
          <w:i w:val="0"/>
          <w:color w:val="auto"/>
          <w:sz w:val="20"/>
          <w:szCs w:val="20"/>
          <w:lang w:val="en-US"/>
        </w:rPr>
      </w:pPr>
      <w:r w:rsidRPr="00266D38">
        <w:rPr>
          <w:b/>
          <w:i w:val="0"/>
          <w:color w:val="auto"/>
          <w:sz w:val="20"/>
          <w:szCs w:val="20"/>
          <w:lang w:val="en-US"/>
        </w:rPr>
        <w:t>Figure S</w:t>
      </w:r>
      <w:r w:rsidR="00270C93">
        <w:rPr>
          <w:b/>
          <w:i w:val="0"/>
          <w:color w:val="auto"/>
          <w:sz w:val="20"/>
          <w:szCs w:val="20"/>
          <w:lang w:val="en-US"/>
        </w:rPr>
        <w:t>2</w:t>
      </w:r>
      <w:r w:rsidRPr="00266D38">
        <w:rPr>
          <w:b/>
          <w:i w:val="0"/>
          <w:color w:val="auto"/>
          <w:sz w:val="20"/>
          <w:szCs w:val="20"/>
          <w:lang w:val="en-US"/>
        </w:rPr>
        <w:t>:</w:t>
      </w:r>
      <w:r w:rsidRPr="00266D38">
        <w:rPr>
          <w:i w:val="0"/>
          <w:color w:val="auto"/>
          <w:sz w:val="20"/>
          <w:szCs w:val="20"/>
          <w:lang w:val="en-US"/>
        </w:rPr>
        <w:t xml:space="preserve"> Moderate data augmentation by geometric translations that was randomly applied to the training images significantly removed overfitting as shown by the training curves of CNN-4/32 </w:t>
      </w:r>
      <w:r>
        <w:rPr>
          <w:i w:val="0"/>
          <w:color w:val="auto"/>
          <w:sz w:val="20"/>
          <w:szCs w:val="20"/>
          <w:lang w:val="en-US"/>
        </w:rPr>
        <w:t>on</w:t>
      </w:r>
      <w:r w:rsidRPr="00266D38">
        <w:rPr>
          <w:i w:val="0"/>
          <w:color w:val="auto"/>
          <w:sz w:val="20"/>
          <w:szCs w:val="20"/>
          <w:lang w:val="en-US"/>
        </w:rPr>
        <w:t xml:space="preserve"> the </w:t>
      </w:r>
      <w:r>
        <w:rPr>
          <w:i w:val="0"/>
          <w:color w:val="auto"/>
          <w:sz w:val="20"/>
          <w:szCs w:val="20"/>
          <w:lang w:val="en-US"/>
        </w:rPr>
        <w:t>CHO18all</w:t>
      </w:r>
      <w:r w:rsidRPr="00266D38">
        <w:rPr>
          <w:i w:val="0"/>
          <w:color w:val="auto"/>
          <w:sz w:val="20"/>
          <w:szCs w:val="20"/>
          <w:lang w:val="en-US"/>
        </w:rPr>
        <w:t xml:space="preserve"> dataset in (</w:t>
      </w:r>
      <w:r w:rsidRPr="00266D38">
        <w:rPr>
          <w:b/>
          <w:i w:val="0"/>
          <w:color w:val="auto"/>
          <w:sz w:val="20"/>
          <w:szCs w:val="20"/>
          <w:lang w:val="en-US"/>
        </w:rPr>
        <w:t>A</w:t>
      </w:r>
      <w:r w:rsidRPr="00266D38">
        <w:rPr>
          <w:i w:val="0"/>
          <w:color w:val="auto"/>
          <w:sz w:val="20"/>
          <w:szCs w:val="20"/>
          <w:lang w:val="en-US"/>
        </w:rPr>
        <w:t>): Without augmentation the validation loss (solid line) started to increase dramatically after ~50 epochs. With the random augmentation strategy, the validation loss reduces with the training accuracy (dashed). Almost no overfitting occurs. Eight such randomly translated cell images are shown in (</w:t>
      </w:r>
      <w:r w:rsidRPr="00266D38">
        <w:rPr>
          <w:b/>
          <w:i w:val="0"/>
          <w:color w:val="auto"/>
          <w:sz w:val="20"/>
          <w:szCs w:val="20"/>
          <w:lang w:val="en-US"/>
        </w:rPr>
        <w:t>B</w:t>
      </w:r>
      <w:r w:rsidRPr="00266D38">
        <w:rPr>
          <w:i w:val="0"/>
          <w:color w:val="auto"/>
          <w:sz w:val="20"/>
          <w:szCs w:val="20"/>
          <w:lang w:val="en-US"/>
        </w:rPr>
        <w:t>), the original cell image is highlighted in red. The grayscale intensities of the background subtracted images was scaled up for better visibility.</w:t>
      </w:r>
    </w:p>
    <w:p w14:paraId="2D2C5C5A" w14:textId="77777777" w:rsidR="003F1AEC" w:rsidRDefault="003F1AEC" w:rsidP="003F1AEC">
      <w:pPr>
        <w:jc w:val="both"/>
        <w:rPr>
          <w:b/>
          <w:lang w:val="en-US"/>
        </w:rPr>
      </w:pPr>
      <w:r w:rsidRPr="00860F1B">
        <w:rPr>
          <w:b/>
          <w:lang w:val="en-US"/>
        </w:rPr>
        <w:t>Tuning of hyperparameter</w:t>
      </w:r>
      <w:r>
        <w:rPr>
          <w:b/>
          <w:lang w:val="en-US"/>
        </w:rPr>
        <w:t>s</w:t>
      </w:r>
      <w:r w:rsidRPr="00860F1B">
        <w:rPr>
          <w:b/>
          <w:lang w:val="en-US"/>
        </w:rPr>
        <w:t xml:space="preserve"> for training </w:t>
      </w:r>
    </w:p>
    <w:p w14:paraId="19DFAB4F" w14:textId="0CDEA32A" w:rsidR="003F1AEC" w:rsidRDefault="003F1AEC" w:rsidP="003F1AEC">
      <w:pPr>
        <w:jc w:val="both"/>
        <w:rPr>
          <w:lang w:val="en-US"/>
        </w:rPr>
      </w:pPr>
      <w:r>
        <w:rPr>
          <w:lang w:val="en-US"/>
        </w:rPr>
        <w:t>For training two different optimizers were tested. It turned out that the optimizer had a significant influence on the convergence during training and on the final classification performance.  Using stochastic gradient decent (SGD) the best results could be achieved with a learning rate of 0.006, and when a Nesterov momentum of 0.7 was applied. Although with these settings the models converged well during training, training with Nadam always resulted in a smaller loss and therefore a better classification performance. Nadam</w:t>
      </w:r>
      <w:r>
        <w:rPr>
          <w:lang w:val="en-US"/>
        </w:rPr>
        <w:fldChar w:fldCharType="begin" w:fldLock="1"/>
      </w:r>
      <w:r w:rsidR="00A97DF0">
        <w:rPr>
          <w:lang w:val="en-US"/>
        </w:rPr>
        <w:instrText>ADDIN CSL_CITATION {"citationItems":[{"id":"ITEM-1","itemData":{"DOI":"10.1016/j.ahj.2004.02.019","ISSN":"00028703","abstract":"This work aims to improve upon the recently proposed and rapidly popular-ized optimization algorithm Adam (Kingma &amp; Ba, 2014). Adam has two main components—a momentum component and an adaptive learning rate component. However, regular momentum can be shown conceptually and empirically to be in-ferior to a similar algorithm known as Nesterov's accelerated gradient (NAG). We show how to modify Adam's momentum component to take advantage of insights from NAG, and then we present preliminary evidence suggesting that making this substitution improves the speed of convergence and the quality of the learned mod-els.","author":[{"dropping-particle":"","family":"Dozat","given":"Timothy","non-dropping-particle":"","parse-names":false,"suffix":""}],"container-title":"ICLR 2016 workshop","id":"ITEM-1","issued":{"date-parts":[["2016"]]},"title":"Incorporating Nesterov Momentum into Adam","type":"article-journal"},"uris":["http://www.mendeley.com/documents/?uuid=2b1f149c-f639-430f-a0da-f0b7ba0d0532"]}],"mendeley":{"formattedCitation":"&lt;sup&gt;4&lt;/sup&gt;","plainTextFormattedCitation":"4","previouslyFormattedCitation":"&lt;sup&gt;4&lt;/sup&gt;"},"properties":{"noteIndex":0},"schema":"https://github.com/citation-style-language/schema/raw/master/csl-citation.json"}</w:instrText>
      </w:r>
      <w:r>
        <w:rPr>
          <w:lang w:val="en-US"/>
        </w:rPr>
        <w:fldChar w:fldCharType="separate"/>
      </w:r>
      <w:r w:rsidR="00CC45BD" w:rsidRPr="00CC45BD">
        <w:rPr>
          <w:noProof/>
          <w:vertAlign w:val="superscript"/>
          <w:lang w:val="en-US"/>
        </w:rPr>
        <w:t>4</w:t>
      </w:r>
      <w:r>
        <w:rPr>
          <w:lang w:val="en-US"/>
        </w:rPr>
        <w:fldChar w:fldCharType="end"/>
      </w:r>
      <w:r>
        <w:rPr>
          <w:lang w:val="en-US"/>
        </w:rPr>
        <w:t xml:space="preserve"> is a variant of SDG which makes use of a Nesterov momentum and an adaptive learning rate.  </w:t>
      </w:r>
    </w:p>
    <w:p w14:paraId="34BBBB89" w14:textId="7A357518" w:rsidR="003F1AEC" w:rsidRDefault="00240D37" w:rsidP="003F1AEC">
      <w:pPr>
        <w:jc w:val="center"/>
        <w:rPr>
          <w:lang w:val="en-US"/>
        </w:rPr>
      </w:pPr>
      <w:r>
        <w:rPr>
          <w:noProof/>
          <w:lang w:val="en-US"/>
        </w:rPr>
        <w:drawing>
          <wp:inline distT="0" distB="0" distL="0" distR="0" wp14:anchorId="7FD13C06" wp14:editId="269E2A6D">
            <wp:extent cx="5426710" cy="2344430"/>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3121" cy="2351520"/>
                    </a:xfrm>
                    <a:prstGeom prst="rect">
                      <a:avLst/>
                    </a:prstGeom>
                    <a:noFill/>
                  </pic:spPr>
                </pic:pic>
              </a:graphicData>
            </a:graphic>
          </wp:inline>
        </w:drawing>
      </w:r>
    </w:p>
    <w:p w14:paraId="21163556" w14:textId="452AFA40" w:rsidR="003F1AEC" w:rsidRPr="00EA4701" w:rsidRDefault="003F1AEC" w:rsidP="003F1AEC">
      <w:pPr>
        <w:pStyle w:val="Beschriftung"/>
        <w:jc w:val="both"/>
        <w:rPr>
          <w:i w:val="0"/>
          <w:color w:val="auto"/>
          <w:sz w:val="20"/>
          <w:szCs w:val="20"/>
          <w:lang w:val="en-US"/>
        </w:rPr>
      </w:pPr>
      <w:r w:rsidRPr="00EA4701">
        <w:rPr>
          <w:b/>
          <w:i w:val="0"/>
          <w:color w:val="auto"/>
          <w:sz w:val="20"/>
          <w:szCs w:val="20"/>
          <w:lang w:val="en-US"/>
        </w:rPr>
        <w:t>Figure S</w:t>
      </w:r>
      <w:r>
        <w:rPr>
          <w:b/>
          <w:i w:val="0"/>
          <w:color w:val="auto"/>
          <w:sz w:val="20"/>
          <w:szCs w:val="20"/>
          <w:lang w:val="en-US"/>
        </w:rPr>
        <w:t>3</w:t>
      </w:r>
      <w:r w:rsidRPr="00EA4701">
        <w:rPr>
          <w:i w:val="0"/>
          <w:color w:val="auto"/>
          <w:sz w:val="20"/>
          <w:szCs w:val="20"/>
          <w:lang w:val="en-US"/>
        </w:rPr>
        <w:t>:  Influence of two different optimizers on the training (dashed) and validation loss (solid). Here CNN-4/32 was trained on the</w:t>
      </w:r>
      <w:r>
        <w:rPr>
          <w:i w:val="0"/>
          <w:color w:val="auto"/>
          <w:sz w:val="20"/>
          <w:szCs w:val="20"/>
          <w:lang w:val="en-US"/>
        </w:rPr>
        <w:t xml:space="preserve"> CHO18all</w:t>
      </w:r>
      <w:r w:rsidRPr="00EA4701">
        <w:rPr>
          <w:i w:val="0"/>
          <w:color w:val="auto"/>
          <w:sz w:val="20"/>
          <w:szCs w:val="20"/>
          <w:lang w:val="en-US"/>
        </w:rPr>
        <w:t xml:space="preserve"> dataset Although the losses converged well, they could be reduced significantly by using the adaptive optimization algorithm Nadam. The parameter used for the optimizer are summarized in the table. For Nadam they were chosen as recommended in the original publication </w:t>
      </w:r>
      <w:r w:rsidRPr="00EA4701">
        <w:rPr>
          <w:i w:val="0"/>
          <w:color w:val="auto"/>
          <w:sz w:val="20"/>
          <w:szCs w:val="20"/>
          <w:lang w:val="en-US"/>
        </w:rPr>
        <w:fldChar w:fldCharType="begin" w:fldLock="1"/>
      </w:r>
      <w:r w:rsidR="00A97DF0">
        <w:rPr>
          <w:i w:val="0"/>
          <w:color w:val="auto"/>
          <w:sz w:val="20"/>
          <w:szCs w:val="20"/>
          <w:lang w:val="en-US"/>
        </w:rPr>
        <w:instrText>ADDIN CSL_CITATION {"citationItems":[{"id":"ITEM-1","itemData":{"DOI":"10.1016/j.ahj.2004.02.019","ISSN":"00028703","abstract":"This work aims to improve upon the recently proposed and rapidly popular-ized optimization algorithm Adam (Kingma &amp; Ba, 2014). Adam has two main components—a momentum component and an adaptive learning rate component. However, regular momentum can be shown conceptually and empirically to be in-ferior to a similar algorithm known as Nesterov's accelerated gradient (NAG). We show how to modify Adam's momentum component to take advantage of insights from NAG, and then we present preliminary evidence suggesting that making this substitution improves the speed of convergence and the quality of the learned mod-els.","author":[{"dropping-particle":"","family":"Dozat","given":"Timothy","non-dropping-particle":"","parse-names":false,"suffix":""}],"container-title":"ICLR 2016 workshop","id":"ITEM-1","issued":{"date-parts":[["2016"]]},"title":"Incorporating Nesterov Momentum into Adam","type":"article-journal"},"uris":["http://www.mendeley.com/documents/?uuid=2b1f149c-f639-430f-a0da-f0b7ba0d0532"]}],"mendeley":{"formattedCitation":"&lt;sup&gt;4&lt;/sup&gt;","plainTextFormattedCitation":"4","previouslyFormattedCitation":"&lt;sup&gt;5&lt;/sup&gt;"},"properties":{"noteIndex":0},"schema":"https://github.com/citation-style-language/schema/raw/master/csl-citation.json"}</w:instrText>
      </w:r>
      <w:r w:rsidRPr="00EA4701">
        <w:rPr>
          <w:i w:val="0"/>
          <w:color w:val="auto"/>
          <w:sz w:val="20"/>
          <w:szCs w:val="20"/>
          <w:lang w:val="en-US"/>
        </w:rPr>
        <w:fldChar w:fldCharType="separate"/>
      </w:r>
      <w:r w:rsidR="00A97DF0" w:rsidRPr="00A97DF0">
        <w:rPr>
          <w:i w:val="0"/>
          <w:noProof/>
          <w:color w:val="auto"/>
          <w:sz w:val="20"/>
          <w:szCs w:val="20"/>
          <w:vertAlign w:val="superscript"/>
          <w:lang w:val="en-US"/>
        </w:rPr>
        <w:t>4</w:t>
      </w:r>
      <w:r w:rsidRPr="00EA4701">
        <w:rPr>
          <w:i w:val="0"/>
          <w:color w:val="auto"/>
          <w:sz w:val="20"/>
          <w:szCs w:val="20"/>
          <w:lang w:val="en-US"/>
        </w:rPr>
        <w:fldChar w:fldCharType="end"/>
      </w:r>
      <w:r w:rsidRPr="00EA4701">
        <w:rPr>
          <w:i w:val="0"/>
          <w:color w:val="auto"/>
          <w:sz w:val="20"/>
          <w:szCs w:val="20"/>
          <w:lang w:val="en-US"/>
        </w:rPr>
        <w:t xml:space="preserve">. </w:t>
      </w:r>
    </w:p>
    <w:p w14:paraId="6C08F16A" w14:textId="77777777" w:rsidR="003F1AEC" w:rsidRPr="00605306" w:rsidRDefault="003F1AEC" w:rsidP="003F1AEC">
      <w:pPr>
        <w:jc w:val="both"/>
        <w:rPr>
          <w:b/>
          <w:lang w:val="en-US"/>
        </w:rPr>
      </w:pPr>
      <w:r w:rsidRPr="00605306">
        <w:rPr>
          <w:b/>
          <w:lang w:val="en-US"/>
        </w:rPr>
        <w:lastRenderedPageBreak/>
        <w:t xml:space="preserve">Calculation of the predicted </w:t>
      </w:r>
      <w:r>
        <w:rPr>
          <w:b/>
          <w:lang w:val="en-US"/>
        </w:rPr>
        <w:t>clone</w:t>
      </w:r>
      <w:r w:rsidRPr="00605306">
        <w:rPr>
          <w:b/>
          <w:lang w:val="en-US"/>
        </w:rPr>
        <w:t xml:space="preserve"> recovery and cloning frequency</w:t>
      </w:r>
    </w:p>
    <w:p w14:paraId="2E227329" w14:textId="77777777" w:rsidR="003F1AEC" w:rsidRDefault="003F1AEC" w:rsidP="003F1AEC">
      <w:pPr>
        <w:jc w:val="both"/>
        <w:rPr>
          <w:lang w:val="en-US"/>
        </w:rPr>
      </w:pPr>
      <w:r w:rsidRPr="00013C47">
        <w:rPr>
          <w:lang w:val="en-US"/>
        </w:rPr>
        <w:t xml:space="preserve">Based on </w:t>
      </w:r>
      <w:r>
        <w:rPr>
          <w:lang w:val="en-US"/>
        </w:rPr>
        <w:t xml:space="preserve">predictions on the validation data, a predicted clone recovery can be calculated, which is the number of viable colonies that would have been obtained if the classifier would have been used for cell viability sorting. </w:t>
      </w:r>
      <w:r>
        <w:rPr>
          <w:lang w:val="en-GB"/>
        </w:rPr>
        <w:t xml:space="preserve">The number of </w:t>
      </w:r>
      <w:r>
        <w:rPr>
          <w:lang w:val="en-US"/>
        </w:rPr>
        <w:t xml:space="preserve">viable colonies that are predicted to grow is given as, </w:t>
      </w:r>
    </w:p>
    <w:p w14:paraId="7AA8A4E9" w14:textId="77777777" w:rsidR="003F1AEC" w:rsidRDefault="00C2351C" w:rsidP="003F1AEC">
      <w:pPr>
        <w:jc w:val="center"/>
        <w:rPr>
          <w:lang w:val="en-US"/>
        </w:rPr>
      </w:pPr>
      <m:oMathPara>
        <m:oMath>
          <m:sSub>
            <m:sSubPr>
              <m:ctrlPr>
                <w:rPr>
                  <w:rFonts w:ascii="Cambria Math" w:eastAsiaTheme="minorEastAsia" w:hAnsi="Cambria Math"/>
                  <w:i/>
                  <w:vertAlign w:val="subscript"/>
                  <w:lang w:val="en-GB"/>
                </w:rPr>
              </m:ctrlPr>
            </m:sSubPr>
            <m:e>
              <m:r>
                <w:rPr>
                  <w:rFonts w:ascii="Cambria Math" w:eastAsiaTheme="minorEastAsia" w:hAnsi="Cambria Math"/>
                  <w:vertAlign w:val="subscript"/>
                  <w:lang w:val="en-GB"/>
                </w:rPr>
                <m:t>c</m:t>
              </m:r>
            </m:e>
            <m:sub>
              <m:r>
                <w:rPr>
                  <w:rFonts w:ascii="Cambria Math" w:eastAsiaTheme="minorEastAsia" w:hAnsi="Cambria Math"/>
                  <w:vertAlign w:val="subscript"/>
                  <w:lang w:val="en-GB"/>
                </w:rPr>
                <m:t>v</m:t>
              </m:r>
            </m:sub>
          </m:sSub>
          <m:r>
            <w:rPr>
              <w:rFonts w:ascii="Cambria Math" w:eastAsiaTheme="minorEastAsia" w:hAnsi="Cambria Math"/>
              <w:vertAlign w:val="subscript"/>
              <w:lang w:val="en-GB"/>
            </w:rPr>
            <m:t>∙TPR.</m:t>
          </m:r>
        </m:oMath>
      </m:oMathPara>
    </w:p>
    <w:p w14:paraId="32CB879D" w14:textId="77777777" w:rsidR="003F1AEC" w:rsidRDefault="003F1AEC" w:rsidP="003F1AEC">
      <w:pPr>
        <w:jc w:val="both"/>
        <w:rPr>
          <w:lang w:val="en-US"/>
        </w:rPr>
      </w:pPr>
      <w:r>
        <w:rPr>
          <w:lang w:val="en-US"/>
        </w:rPr>
        <w:t xml:space="preserve">As explained before, the total </w:t>
      </w:r>
      <w:r w:rsidRPr="00792627">
        <w:rPr>
          <w:lang w:val="en-US"/>
        </w:rPr>
        <w:t>num</w:t>
      </w:r>
      <w:r>
        <w:rPr>
          <w:lang w:val="en-US"/>
        </w:rPr>
        <w:t>ber of dispensed cells yields</w:t>
      </w:r>
    </w:p>
    <w:p w14:paraId="451E6D5F" w14:textId="77777777" w:rsidR="003F1AEC" w:rsidRDefault="00C2351C" w:rsidP="003F1AEC">
      <w:pPr>
        <w:jc w:val="center"/>
        <w:rPr>
          <w:rFonts w:eastAsiaTheme="minorEastAsia"/>
          <w:lang w:val="en-GB"/>
        </w:rPr>
      </w:pPr>
      <m:oMath>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v</m:t>
                </m:r>
              </m:sub>
            </m:sSub>
            <m:r>
              <w:rPr>
                <w:rFonts w:ascii="Cambria Math" w:hAnsi="Cambria Math"/>
                <w:lang w:val="en-GB"/>
              </w:rPr>
              <m:t xml:space="preserve"> TPR</m:t>
            </m:r>
          </m:e>
          <m:sub>
            <m:r>
              <w:rPr>
                <w:rFonts w:ascii="Cambria Math" w:hAnsi="Cambria Math"/>
                <w:lang w:val="en-GB"/>
              </w:rPr>
              <m:t xml:space="preserve"> </m:t>
            </m:r>
          </m:sub>
        </m:sSub>
        <m:r>
          <w:rPr>
            <w:rFonts w:ascii="Cambria Math" w:hAnsi="Cambria Math"/>
            <w:lang w:val="en-GB"/>
          </w:rPr>
          <m:t xml:space="preserve">+ (1 - </m:t>
        </m:r>
        <m:sSub>
          <m:sSubPr>
            <m:ctrlPr>
              <w:rPr>
                <w:rFonts w:ascii="Cambria Math" w:hAnsi="Cambria Math"/>
                <w:i/>
                <w:lang w:val="en-GB"/>
              </w:rPr>
            </m:ctrlPr>
          </m:sSubPr>
          <m:e>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v</m:t>
                </m:r>
              </m:sub>
            </m:sSub>
            <m:r>
              <w:rPr>
                <w:rFonts w:ascii="Cambria Math" w:hAnsi="Cambria Math"/>
                <w:lang w:val="en-GB"/>
              </w:rPr>
              <m:t>)(1- FPR</m:t>
            </m:r>
          </m:e>
          <m:sub>
            <m:r>
              <w:rPr>
                <w:rFonts w:ascii="Cambria Math" w:hAnsi="Cambria Math"/>
                <w:lang w:val="en-GB"/>
              </w:rPr>
              <m:t xml:space="preserve"> </m:t>
            </m:r>
          </m:sub>
        </m:sSub>
        <m:r>
          <w:rPr>
            <w:rFonts w:ascii="Cambria Math" w:hAnsi="Cambria Math"/>
            <w:lang w:val="en-GB"/>
          </w:rPr>
          <m:t>)</m:t>
        </m:r>
      </m:oMath>
      <w:r w:rsidR="003F1AEC">
        <w:rPr>
          <w:rFonts w:eastAsiaTheme="minorEastAsia"/>
          <w:lang w:val="en-GB"/>
        </w:rPr>
        <w:t>.</w:t>
      </w:r>
    </w:p>
    <w:p w14:paraId="3B56BF76" w14:textId="77777777" w:rsidR="003F1AEC" w:rsidRDefault="003F1AEC" w:rsidP="003F1AEC">
      <w:pPr>
        <w:jc w:val="both"/>
        <w:rPr>
          <w:lang w:val="en-US"/>
        </w:rPr>
      </w:pPr>
      <w:r>
        <w:rPr>
          <w:rFonts w:eastAsiaTheme="minorEastAsia"/>
          <w:lang w:val="en-GB"/>
        </w:rPr>
        <w:t xml:space="preserve">Therefore, the </w:t>
      </w:r>
      <w:r>
        <w:rPr>
          <w:lang w:val="en-US"/>
        </w:rPr>
        <w:t>predicted clone recovery can be expressed as:</w:t>
      </w:r>
    </w:p>
    <w:p w14:paraId="09FBE591" w14:textId="77777777" w:rsidR="003F1AEC" w:rsidRPr="00013C47" w:rsidRDefault="003F1AEC" w:rsidP="003F1AEC">
      <w:pPr>
        <w:jc w:val="center"/>
        <w:rPr>
          <w:lang w:val="en-US"/>
        </w:rPr>
      </w:pPr>
      <w:r>
        <w:rPr>
          <w:rFonts w:eastAsiaTheme="minorEastAsia"/>
          <w:lang w:val="en-US"/>
        </w:rPr>
        <w:t xml:space="preserve">Clone recovery </w:t>
      </w:r>
      <m:oMath>
        <m:r>
          <w:rPr>
            <w:rFonts w:ascii="Cambria Math" w:hAnsi="Cambria Math"/>
            <w:lang w:val="en-US"/>
          </w:rPr>
          <m:t xml:space="preserve"> = </m:t>
        </m:r>
        <m:f>
          <m:fPr>
            <m:ctrlPr>
              <w:rPr>
                <w:rFonts w:ascii="Cambria Math" w:hAnsi="Cambria Math"/>
                <w:i/>
                <w:lang w:val="en-US"/>
              </w:rPr>
            </m:ctrlPr>
          </m:fPr>
          <m:num>
            <m:r>
              <w:rPr>
                <w:rFonts w:ascii="Cambria Math" w:hAnsi="Cambria Math"/>
                <w:lang w:val="en-US"/>
              </w:rPr>
              <m:t xml:space="preserve">TPR ∙ </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m:t>
                </m:r>
              </m:sub>
            </m:sSub>
          </m:num>
          <m:den>
            <m:r>
              <w:rPr>
                <w:rFonts w:ascii="Cambria Math" w:hAnsi="Cambria Math"/>
                <w:lang w:val="en-US"/>
              </w:rPr>
              <m:t xml:space="preserve">TPR ∙ </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m:t>
                </m:r>
              </m:sub>
            </m:sSub>
            <m:r>
              <w:rPr>
                <w:rFonts w:ascii="Cambria Math" w:hAnsi="Cambria Math"/>
                <w:lang w:val="en-US"/>
              </w:rPr>
              <m:t xml:space="preserve"> + FPR (1- </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v</m:t>
                </m:r>
              </m:sub>
            </m:sSub>
            <m:r>
              <w:rPr>
                <w:rFonts w:ascii="Cambria Math" w:hAnsi="Cambria Math"/>
                <w:lang w:val="en-US"/>
              </w:rPr>
              <m:t>)</m:t>
            </m:r>
          </m:den>
        </m:f>
      </m:oMath>
      <w:r>
        <w:rPr>
          <w:rFonts w:eastAsiaTheme="minorEastAsia"/>
          <w:lang w:val="en-US"/>
        </w:rPr>
        <w:t>.</w:t>
      </w:r>
    </w:p>
    <w:p w14:paraId="1FA29B08" w14:textId="77777777" w:rsidR="003F1AEC" w:rsidRDefault="003F1AEC" w:rsidP="003F1AEC">
      <w:pPr>
        <w:jc w:val="both"/>
        <w:rPr>
          <w:lang w:val="en-US"/>
        </w:rPr>
      </w:pPr>
      <w:r>
        <w:rPr>
          <w:lang w:val="en-US"/>
        </w:rPr>
        <w:t>The frequency, at which cells able to grow to colonies are dispensed, can be derived by considering the rate at which growing cells are printed divided by the average time that is needed to dispense a single cell:</w:t>
      </w:r>
    </w:p>
    <w:p w14:paraId="3C2253F4" w14:textId="77777777" w:rsidR="003F1AEC" w:rsidRPr="0029082C" w:rsidRDefault="003F1AEC" w:rsidP="003F1AEC">
      <w:pPr>
        <w:jc w:val="both"/>
        <w:rPr>
          <w:rFonts w:cs="Arial"/>
          <w:lang w:val="en-US"/>
        </w:rPr>
      </w:pPr>
      <m:oMathPara>
        <m:oMath>
          <m:r>
            <m:rPr>
              <m:nor/>
            </m:rPr>
            <w:rPr>
              <w:rFonts w:cs="Arial"/>
              <w:lang w:val="en-US"/>
            </w:rPr>
            <m:t>Cloning frequency</m:t>
          </m:r>
          <m:r>
            <w:rPr>
              <w:rFonts w:ascii="Cambria Math" w:hAnsi="Cambria Math" w:cs="Arial"/>
              <w:lang w:val="en-US"/>
            </w:rPr>
            <m:t xml:space="preserve"> = </m:t>
          </m:r>
          <m:f>
            <m:fPr>
              <m:ctrlPr>
                <w:rPr>
                  <w:rFonts w:ascii="Cambria Math" w:hAnsi="Cambria Math" w:cs="Arial"/>
                  <w:i/>
                  <w:lang w:val="en-US"/>
                </w:rPr>
              </m:ctrlPr>
            </m:fPr>
            <m:num>
              <m:r>
                <w:rPr>
                  <w:rFonts w:ascii="Cambria Math" w:hAnsi="Cambria Math" w:cs="Arial"/>
                  <w:lang w:val="en-US"/>
                </w:rPr>
                <m:t xml:space="preserve">TPR ∙ </m:t>
              </m:r>
              <m:sSub>
                <m:sSubPr>
                  <m:ctrlPr>
                    <w:rPr>
                      <w:rFonts w:ascii="Cambria Math" w:hAnsi="Cambria Math" w:cs="Arial"/>
                      <w:i/>
                      <w:lang w:val="en-US"/>
                    </w:rPr>
                  </m:ctrlPr>
                </m:sSubPr>
                <m:e>
                  <m:r>
                    <w:rPr>
                      <w:rFonts w:ascii="Cambria Math" w:hAnsi="Cambria Math" w:cs="Arial"/>
                      <w:lang w:val="en-US"/>
                    </w:rPr>
                    <m:t>c</m:t>
                  </m:r>
                </m:e>
                <m:sub>
                  <m:r>
                    <w:rPr>
                      <w:rFonts w:ascii="Cambria Math" w:hAnsi="Cambria Math" w:cs="Arial"/>
                      <w:lang w:val="en-US"/>
                    </w:rPr>
                    <m:t>v</m:t>
                  </m:r>
                </m:sub>
              </m:sSub>
            </m:num>
            <m:den>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sc</m:t>
                  </m:r>
                </m:sub>
              </m:sSub>
              <m:r>
                <w:rPr>
                  <w:rFonts w:ascii="Cambria Math" w:hAnsi="Cambria Math" w:cs="Arial"/>
                  <w:lang w:val="en-US"/>
                </w:rPr>
                <m:t xml:space="preserve"> + </m:t>
              </m:r>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pred</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vac</m:t>
                  </m:r>
                </m:sub>
              </m:sSub>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axis</m:t>
                  </m:r>
                </m:sub>
              </m:sSub>
              <m:r>
                <w:rPr>
                  <w:rFonts w:ascii="Cambria Math" w:hAnsi="Cambria Math" w:cs="Arial"/>
                  <w:lang w:val="en-US"/>
                </w:rPr>
                <m:t xml:space="preserve">)∙(TPR ∙ </m:t>
              </m:r>
              <m:sSub>
                <m:sSubPr>
                  <m:ctrlPr>
                    <w:rPr>
                      <w:rFonts w:ascii="Cambria Math" w:hAnsi="Cambria Math" w:cs="Arial"/>
                      <w:i/>
                      <w:lang w:val="en-US"/>
                    </w:rPr>
                  </m:ctrlPr>
                </m:sSubPr>
                <m:e>
                  <m:r>
                    <w:rPr>
                      <w:rFonts w:ascii="Cambria Math" w:hAnsi="Cambria Math" w:cs="Arial"/>
                      <w:lang w:val="en-US"/>
                    </w:rPr>
                    <m:t>c</m:t>
                  </m:r>
                </m:e>
                <m:sub>
                  <m:r>
                    <w:rPr>
                      <w:rFonts w:ascii="Cambria Math" w:hAnsi="Cambria Math" w:cs="Arial"/>
                      <w:lang w:val="en-US"/>
                    </w:rPr>
                    <m:t>v</m:t>
                  </m:r>
                </m:sub>
              </m:sSub>
              <m:r>
                <w:rPr>
                  <w:rFonts w:ascii="Cambria Math" w:hAnsi="Cambria Math" w:cs="Arial"/>
                  <w:lang w:val="en-US"/>
                </w:rPr>
                <m:t xml:space="preserve">+FPR ∙ </m:t>
              </m:r>
              <m:sSub>
                <m:sSubPr>
                  <m:ctrlPr>
                    <w:rPr>
                      <w:rFonts w:ascii="Cambria Math" w:hAnsi="Cambria Math" w:cs="Arial"/>
                      <w:i/>
                      <w:lang w:val="en-US"/>
                    </w:rPr>
                  </m:ctrlPr>
                </m:sSubPr>
                <m:e>
                  <m:r>
                    <w:rPr>
                      <w:rFonts w:ascii="Cambria Math" w:hAnsi="Cambria Math" w:cs="Arial"/>
                      <w:lang w:val="en-US"/>
                    </w:rPr>
                    <m:t>(1- c</m:t>
                  </m:r>
                </m:e>
                <m:sub>
                  <m:r>
                    <w:rPr>
                      <w:rFonts w:ascii="Cambria Math" w:hAnsi="Cambria Math" w:cs="Arial"/>
                      <w:lang w:val="en-US"/>
                    </w:rPr>
                    <m:t>v</m:t>
                  </m:r>
                </m:sub>
              </m:sSub>
              <m:r>
                <w:rPr>
                  <w:rFonts w:ascii="Cambria Math" w:hAnsi="Cambria Math" w:cs="Arial"/>
                  <w:lang w:val="en-US"/>
                </w:rPr>
                <m:t>))</m:t>
              </m:r>
            </m:den>
          </m:f>
          <m:r>
            <w:rPr>
              <w:rFonts w:ascii="Cambria Math" w:hAnsi="Cambria Math" w:cs="Arial"/>
              <w:lang w:val="en-US"/>
            </w:rPr>
            <m:t xml:space="preserve"> </m:t>
          </m:r>
        </m:oMath>
      </m:oMathPara>
    </w:p>
    <w:p w14:paraId="0BFB8D83" w14:textId="77777777" w:rsidR="003F1AEC" w:rsidRDefault="003F1AEC" w:rsidP="003F1AEC">
      <w:pPr>
        <w:jc w:val="both"/>
        <w:rPr>
          <w:rFonts w:eastAsiaTheme="minorEastAsia"/>
          <w:lang w:val="en-US"/>
        </w:rPr>
      </w:pPr>
      <w:r>
        <w:rPr>
          <w:lang w:val="en-US"/>
        </w:rPr>
        <w:t>It must be noted, that the denominator</w:t>
      </w:r>
      <w:r>
        <w:rPr>
          <w:rFonts w:eastAsiaTheme="minorEastAsia"/>
          <w:lang w:val="en-US"/>
        </w:rPr>
        <w:t xml:space="preserve"> is the sum of the average time for a single cell to appear in the nozzle of the dispenser </w:t>
      </w:r>
      <m:oMath>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sc</m:t>
            </m:r>
          </m:sub>
        </m:sSub>
      </m:oMath>
      <w:r>
        <w:rPr>
          <w:rFonts w:eastAsiaTheme="minorEastAsia"/>
          <w:lang w:val="en-US"/>
        </w:rPr>
        <w:t xml:space="preserve">, the time needed to run the prediction </w:t>
      </w:r>
      <m:oMath>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pred</m:t>
            </m:r>
          </m:sub>
        </m:sSub>
      </m:oMath>
      <w:r>
        <w:rPr>
          <w:rFonts w:eastAsiaTheme="minorEastAsia"/>
          <w:lang w:val="en-US"/>
        </w:rPr>
        <w:t xml:space="preserve">, and the time for dispensing a single cell. The latter is the sum of the time </w:t>
      </w:r>
      <m:oMath>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vac</m:t>
            </m:r>
          </m:sub>
        </m:sSub>
        <m:r>
          <w:rPr>
            <w:rFonts w:ascii="Cambria Math" w:hAnsi="Cambria Math" w:cs="Arial"/>
            <w:lang w:val="en-US"/>
          </w:rPr>
          <m:t xml:space="preserve"> </m:t>
        </m:r>
      </m:oMath>
      <w:r>
        <w:rPr>
          <w:rFonts w:eastAsiaTheme="minorEastAsia"/>
          <w:lang w:val="en-US"/>
        </w:rPr>
        <w:t xml:space="preserve">related to switching the vacuum shutter and time </w:t>
      </w:r>
      <m:oMath>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axis</m:t>
            </m:r>
          </m:sub>
        </m:sSub>
        <m:r>
          <w:rPr>
            <w:rFonts w:ascii="Cambria Math" w:hAnsi="Cambria Math" w:cs="Arial"/>
            <w:lang w:val="en-US"/>
          </w:rPr>
          <m:t xml:space="preserve"> </m:t>
        </m:r>
      </m:oMath>
      <w:r>
        <w:rPr>
          <w:rFonts w:eastAsiaTheme="minorEastAsia"/>
          <w:lang w:val="en-US"/>
        </w:rPr>
        <w:t xml:space="preserve"> for the axis movement to approach the next well must be multiplied by the fraction of cells that are selected for dispensing. The average time for a single cell to appear in the nozzle of the dispenser </w:t>
      </w:r>
      <m:oMath>
        <m:sSub>
          <m:sSubPr>
            <m:ctrlPr>
              <w:rPr>
                <w:rFonts w:ascii="Cambria Math" w:hAnsi="Cambria Math" w:cs="Arial"/>
                <w:i/>
                <w:lang w:val="en-US"/>
              </w:rPr>
            </m:ctrlPr>
          </m:sSubPr>
          <m:e>
            <m:r>
              <w:rPr>
                <w:rFonts w:ascii="Cambria Math" w:hAnsi="Cambria Math" w:cs="Arial"/>
                <w:lang w:val="en-US"/>
              </w:rPr>
              <m:t>t</m:t>
            </m:r>
          </m:e>
          <m:sub>
            <m:r>
              <w:rPr>
                <w:rFonts w:ascii="Cambria Math" w:hAnsi="Cambria Math" w:cs="Arial"/>
                <w:lang w:val="en-US"/>
              </w:rPr>
              <m:t>sc</m:t>
            </m:r>
          </m:sub>
        </m:sSub>
      </m:oMath>
      <w:r>
        <w:rPr>
          <w:rFonts w:eastAsiaTheme="minorEastAsia"/>
          <w:lang w:val="en-US"/>
        </w:rPr>
        <w:t xml:space="preserve"> is derived by multiplying the dispensing frequency </w:t>
      </w:r>
      <m:oMath>
        <m:sSub>
          <m:sSubPr>
            <m:ctrlPr>
              <w:rPr>
                <w:rFonts w:ascii="Cambria Math" w:eastAsiaTheme="minorEastAsia" w:hAnsi="Cambria Math"/>
                <w:i/>
                <w:lang w:val="en-US"/>
              </w:rPr>
            </m:ctrlPr>
          </m:sSubPr>
          <m:e>
            <m:r>
              <w:rPr>
                <w:rFonts w:ascii="Cambria Math" w:eastAsiaTheme="minorEastAsia" w:hAnsi="Cambria Math"/>
                <w:lang w:val="en-US"/>
              </w:rPr>
              <m:t>f</m:t>
            </m:r>
          </m:e>
          <m:sub>
            <m:r>
              <w:rPr>
                <w:rFonts w:ascii="Cambria Math" w:eastAsiaTheme="minorEastAsia" w:hAnsi="Cambria Math"/>
                <w:lang w:val="en-US"/>
              </w:rPr>
              <m:t>d</m:t>
            </m:r>
          </m:sub>
        </m:sSub>
      </m:oMath>
      <w:r>
        <w:rPr>
          <w:rFonts w:eastAsiaTheme="minorEastAsia"/>
          <w:lang w:val="en-US"/>
        </w:rPr>
        <w:t xml:space="preserve"> with the Poisson based droplet loading: </w:t>
      </w:r>
    </w:p>
    <w:p w14:paraId="4C709436" w14:textId="77777777" w:rsidR="003F1AEC" w:rsidRDefault="00C2351C" w:rsidP="003F1AEC">
      <w:pPr>
        <w:jc w:val="center"/>
        <w:rPr>
          <w:rFonts w:cs="Arial"/>
          <w:lang w:val="en-US"/>
        </w:rPr>
      </w:pPr>
      <m:oMath>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λ</m:t>
            </m:r>
          </m:sub>
        </m:sSub>
        <m:d>
          <m:dPr>
            <m:ctrlPr>
              <w:rPr>
                <w:rFonts w:ascii="Cambria Math" w:hAnsi="Cambria Math" w:cs="Arial"/>
                <w:i/>
                <w:lang w:val="en-US"/>
              </w:rPr>
            </m:ctrlPr>
          </m:dPr>
          <m:e>
            <m:r>
              <w:rPr>
                <w:rFonts w:ascii="Cambria Math" w:hAnsi="Cambria Math" w:cs="Arial"/>
                <w:lang w:val="en-US"/>
              </w:rPr>
              <m:t>k</m:t>
            </m:r>
          </m:e>
        </m:d>
        <m:r>
          <w:rPr>
            <w:rFonts w:ascii="Cambria Math" w:hAnsi="Cambria Math" w:cs="Arial"/>
            <w:lang w:val="en-US"/>
          </w:rPr>
          <m:t xml:space="preserve">= </m:t>
        </m:r>
        <m:f>
          <m:fPr>
            <m:ctrlPr>
              <w:rPr>
                <w:rFonts w:ascii="Cambria Math" w:hAnsi="Cambria Math" w:cs="Arial"/>
                <w:i/>
                <w:lang w:val="en-US"/>
              </w:rPr>
            </m:ctrlPr>
          </m:fPr>
          <m:num>
            <m:sSup>
              <m:sSupPr>
                <m:ctrlPr>
                  <w:rPr>
                    <w:rFonts w:ascii="Cambria Math" w:hAnsi="Cambria Math" w:cs="Arial"/>
                    <w:i/>
                    <w:lang w:val="en-US"/>
                  </w:rPr>
                </m:ctrlPr>
              </m:sSupPr>
              <m:e>
                <m:r>
                  <w:rPr>
                    <w:rFonts w:ascii="Cambria Math" w:hAnsi="Cambria Math" w:cs="Arial"/>
                    <w:lang w:val="en-US"/>
                  </w:rPr>
                  <m:t>λ</m:t>
                </m:r>
              </m:e>
              <m:sup>
                <m:r>
                  <w:rPr>
                    <w:rFonts w:ascii="Cambria Math" w:hAnsi="Cambria Math" w:cs="Arial"/>
                    <w:lang w:val="en-US"/>
                  </w:rPr>
                  <m:t>k</m:t>
                </m:r>
              </m:sup>
            </m:sSup>
          </m:num>
          <m:den>
            <m:r>
              <w:rPr>
                <w:rFonts w:ascii="Cambria Math" w:hAnsi="Cambria Math" w:cs="Arial"/>
                <w:lang w:val="en-US"/>
              </w:rPr>
              <m:t>k!</m:t>
            </m:r>
          </m:den>
        </m:f>
        <m:sSup>
          <m:sSupPr>
            <m:ctrlPr>
              <w:rPr>
                <w:rFonts w:ascii="Cambria Math" w:hAnsi="Cambria Math" w:cs="Arial"/>
                <w:i/>
                <w:lang w:val="en-US"/>
              </w:rPr>
            </m:ctrlPr>
          </m:sSupPr>
          <m:e>
            <m:r>
              <w:rPr>
                <w:rFonts w:ascii="Cambria Math" w:hAnsi="Cambria Math" w:cs="Arial"/>
                <w:lang w:val="en-US"/>
              </w:rPr>
              <m:t>e</m:t>
            </m:r>
          </m:e>
          <m:sup>
            <m:r>
              <w:rPr>
                <w:rFonts w:ascii="Cambria Math" w:hAnsi="Cambria Math" w:cs="Arial"/>
                <w:lang w:val="en-US"/>
              </w:rPr>
              <m:t>-λ</m:t>
            </m:r>
          </m:sup>
        </m:sSup>
      </m:oMath>
      <w:r w:rsidR="003F1AEC">
        <w:rPr>
          <w:rFonts w:cs="Arial"/>
          <w:lang w:val="en-US"/>
        </w:rPr>
        <w:t>,</w:t>
      </w:r>
    </w:p>
    <w:p w14:paraId="15F2A93F" w14:textId="77777777" w:rsidR="003F1AEC" w:rsidRDefault="003F1AEC" w:rsidP="003F1AEC">
      <w:pPr>
        <w:jc w:val="both"/>
        <w:rPr>
          <w:rFonts w:eastAsiaTheme="minorEastAsia"/>
          <w:lang w:val="en-US"/>
        </w:rPr>
      </w:pPr>
      <w:r>
        <w:rPr>
          <w:rFonts w:cs="Arial"/>
          <w:lang w:val="en-US"/>
        </w:rPr>
        <w:t xml:space="preserve">where </w:t>
      </w:r>
      <m:oMath>
        <m:r>
          <w:rPr>
            <w:rFonts w:ascii="Cambria Math" w:hAnsi="Cambria Math" w:cs="Arial"/>
            <w:lang w:val="en-US"/>
          </w:rPr>
          <m:t xml:space="preserve">k=0, 1, 2, 3, … </m:t>
        </m:r>
      </m:oMath>
      <w:r>
        <w:rPr>
          <w:rFonts w:cs="Arial"/>
          <w:lang w:val="en-US"/>
        </w:rPr>
        <w:t xml:space="preserve"> is the resulting number of cells per well, and λ the average number of cells per droplet (</w:t>
      </w:r>
      <m:oMath>
        <m:r>
          <w:rPr>
            <w:rFonts w:ascii="Cambria Math" w:hAnsi="Cambria Math" w:cs="Arial"/>
            <w:lang w:val="en-US"/>
          </w:rPr>
          <m:t>λ= c∙</m:t>
        </m:r>
        <m:sSub>
          <m:sSubPr>
            <m:ctrlPr>
              <w:rPr>
                <w:rFonts w:ascii="Cambria Math" w:hAnsi="Cambria Math" w:cs="Arial"/>
                <w:i/>
                <w:lang w:val="en-US"/>
              </w:rPr>
            </m:ctrlPr>
          </m:sSubPr>
          <m:e>
            <m:r>
              <w:rPr>
                <w:rFonts w:ascii="Cambria Math" w:hAnsi="Cambria Math" w:cs="Arial"/>
                <w:lang w:val="en-US"/>
              </w:rPr>
              <m:t>V</m:t>
            </m:r>
          </m:e>
          <m:sub>
            <m:r>
              <w:rPr>
                <w:rFonts w:ascii="Cambria Math" w:hAnsi="Cambria Math" w:cs="Arial"/>
                <w:lang w:val="en-US"/>
              </w:rPr>
              <m:t>d</m:t>
            </m:r>
          </m:sub>
        </m:sSub>
      </m:oMath>
      <w:r>
        <w:rPr>
          <w:rFonts w:eastAsiaTheme="minorEastAsia" w:cs="Arial"/>
          <w:lang w:val="en-US"/>
        </w:rPr>
        <w:t>)</w:t>
      </w:r>
      <w:r>
        <w:rPr>
          <w:rFonts w:cs="Arial"/>
          <w:lang w:val="en-US"/>
        </w:rPr>
        <w:t xml:space="preserve">. </w:t>
      </w:r>
      <w:r>
        <w:rPr>
          <w:rFonts w:eastAsiaTheme="minorEastAsia"/>
          <w:lang w:val="en-US"/>
        </w:rPr>
        <w:t xml:space="preserve">For a given cell concentration c and droplet volume </w:t>
      </w:r>
      <m:oMath>
        <m:sSub>
          <m:sSubPr>
            <m:ctrlPr>
              <w:rPr>
                <w:rFonts w:ascii="Cambria Math" w:eastAsiaTheme="minorEastAsia" w:hAnsi="Cambria Math"/>
                <w:i/>
                <w:lang w:val="en-US"/>
              </w:rPr>
            </m:ctrlPr>
          </m:sSubPr>
          <m:e>
            <m:r>
              <w:rPr>
                <w:rFonts w:ascii="Cambria Math" w:eastAsiaTheme="minorEastAsia" w:hAnsi="Cambria Math"/>
                <w:lang w:val="en-US"/>
              </w:rPr>
              <m:t>V</m:t>
            </m:r>
          </m:e>
          <m:sub>
            <m:r>
              <w:rPr>
                <w:rFonts w:ascii="Cambria Math" w:eastAsiaTheme="minorEastAsia" w:hAnsi="Cambria Math"/>
                <w:lang w:val="en-US"/>
              </w:rPr>
              <m:t>d</m:t>
            </m:r>
          </m:sub>
        </m:sSub>
      </m:oMath>
      <w:r>
        <w:rPr>
          <w:rFonts w:eastAsiaTheme="minorEastAsia"/>
          <w:lang w:val="en-US"/>
        </w:rPr>
        <w:t xml:space="preserve"> the Poisson loading yields </w:t>
      </w:r>
      <m:oMath>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λ</m:t>
            </m:r>
          </m:sub>
        </m:sSub>
        <m:d>
          <m:dPr>
            <m:ctrlPr>
              <w:rPr>
                <w:rFonts w:ascii="Cambria Math" w:hAnsi="Cambria Math" w:cs="Arial"/>
                <w:i/>
                <w:lang w:val="en-US"/>
              </w:rPr>
            </m:ctrlPr>
          </m:dPr>
          <m:e>
            <m:r>
              <w:rPr>
                <w:rFonts w:ascii="Cambria Math" w:hAnsi="Cambria Math" w:cs="Arial"/>
                <w:lang w:val="en-US"/>
              </w:rPr>
              <m:t>k=1</m:t>
            </m:r>
          </m:e>
        </m:d>
        <m:r>
          <w:rPr>
            <w:rFonts w:ascii="Cambria Math" w:hAnsi="Cambria Math" w:cs="Arial"/>
            <w:lang w:val="en-US"/>
          </w:rPr>
          <m:t xml:space="preserve">= λ </m:t>
        </m:r>
        <m:sSup>
          <m:sSupPr>
            <m:ctrlPr>
              <w:rPr>
                <w:rFonts w:ascii="Cambria Math" w:hAnsi="Cambria Math" w:cs="Arial"/>
                <w:i/>
                <w:lang w:val="en-US"/>
              </w:rPr>
            </m:ctrlPr>
          </m:sSupPr>
          <m:e>
            <m:r>
              <w:rPr>
                <w:rFonts w:ascii="Cambria Math" w:hAnsi="Cambria Math" w:cs="Arial"/>
                <w:lang w:val="en-US"/>
              </w:rPr>
              <m:t>e</m:t>
            </m:r>
          </m:e>
          <m:sup>
            <m:r>
              <w:rPr>
                <w:rFonts w:ascii="Cambria Math" w:hAnsi="Cambria Math" w:cs="Arial"/>
                <w:lang w:val="en-US"/>
              </w:rPr>
              <m:t>-λ</m:t>
            </m:r>
          </m:sup>
        </m:sSup>
      </m:oMath>
      <w:r>
        <w:rPr>
          <w:rFonts w:eastAsiaTheme="minorEastAsia"/>
          <w:lang w:val="en-US"/>
        </w:rPr>
        <w:t>.</w:t>
      </w:r>
    </w:p>
    <w:p w14:paraId="19539042" w14:textId="77777777" w:rsidR="003F1AEC" w:rsidRDefault="003F1AEC" w:rsidP="003F1AEC">
      <w:pPr>
        <w:jc w:val="both"/>
        <w:rPr>
          <w:lang w:val="en-US"/>
        </w:rPr>
      </w:pPr>
      <w:r>
        <w:rPr>
          <w:rFonts w:eastAsiaTheme="minorEastAsia"/>
          <w:lang w:val="en-US"/>
        </w:rPr>
        <w:t>The parameters used in the model are summarized in the following table:</w:t>
      </w:r>
    </w:p>
    <w:p w14:paraId="35D1FA8F" w14:textId="77777777" w:rsidR="003F1AEC" w:rsidRDefault="003F1AEC" w:rsidP="003F1AEC">
      <w:pPr>
        <w:keepNext/>
        <w:jc w:val="center"/>
      </w:pPr>
      <w:r>
        <w:rPr>
          <w:noProof/>
          <w:lang w:eastAsia="zh-CN"/>
        </w:rPr>
        <w:lastRenderedPageBreak/>
        <w:drawing>
          <wp:inline distT="0" distB="0" distL="0" distR="0" wp14:anchorId="19ED97C0" wp14:editId="4AE3526D">
            <wp:extent cx="3984892" cy="1769746"/>
            <wp:effectExtent l="0" t="0" r="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09902" cy="1780853"/>
                    </a:xfrm>
                    <a:prstGeom prst="rect">
                      <a:avLst/>
                    </a:prstGeom>
                  </pic:spPr>
                </pic:pic>
              </a:graphicData>
            </a:graphic>
          </wp:inline>
        </w:drawing>
      </w:r>
    </w:p>
    <w:p w14:paraId="53861DD5" w14:textId="77777777" w:rsidR="003F1AEC" w:rsidRDefault="003F1AEC" w:rsidP="003F1AEC">
      <w:pPr>
        <w:pStyle w:val="Beschriftung"/>
        <w:rPr>
          <w:i w:val="0"/>
          <w:color w:val="auto"/>
          <w:sz w:val="20"/>
          <w:szCs w:val="20"/>
          <w:lang w:val="en-US"/>
        </w:rPr>
      </w:pPr>
      <w:r w:rsidRPr="005D1BFB">
        <w:rPr>
          <w:b/>
          <w:i w:val="0"/>
          <w:color w:val="auto"/>
          <w:sz w:val="20"/>
          <w:szCs w:val="20"/>
          <w:lang w:val="en-US"/>
        </w:rPr>
        <w:t>Table S1:</w:t>
      </w:r>
      <w:r w:rsidRPr="005D1BFB">
        <w:rPr>
          <w:i w:val="0"/>
          <w:color w:val="auto"/>
          <w:sz w:val="20"/>
          <w:szCs w:val="20"/>
          <w:lang w:val="en-US"/>
        </w:rPr>
        <w:t xml:space="preserve"> Model parameter for calculation of the predicted cloning frequency, i.e. the number of viable cells the grow to clonal colonies that are dispensed per second</w:t>
      </w:r>
    </w:p>
    <w:p w14:paraId="5B336512" w14:textId="77777777" w:rsidR="001D1531" w:rsidRDefault="001D1531">
      <w:pPr>
        <w:rPr>
          <w:lang w:val="en-US"/>
        </w:rPr>
      </w:pPr>
    </w:p>
    <w:p w14:paraId="5DB94492" w14:textId="77777777" w:rsidR="00860091" w:rsidRDefault="00860091" w:rsidP="00D4069E">
      <w:pPr>
        <w:keepNext/>
        <w:jc w:val="center"/>
      </w:pPr>
      <w:r>
        <w:rPr>
          <w:noProof/>
        </w:rPr>
        <w:drawing>
          <wp:inline distT="0" distB="0" distL="0" distR="0" wp14:anchorId="0DDE09D9" wp14:editId="1A2C930A">
            <wp:extent cx="4210050" cy="3102665"/>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6056" cy="3114461"/>
                    </a:xfrm>
                    <a:prstGeom prst="rect">
                      <a:avLst/>
                    </a:prstGeom>
                    <a:noFill/>
                    <a:ln>
                      <a:noFill/>
                    </a:ln>
                  </pic:spPr>
                </pic:pic>
              </a:graphicData>
            </a:graphic>
          </wp:inline>
        </w:drawing>
      </w:r>
    </w:p>
    <w:p w14:paraId="2788777F" w14:textId="77777777" w:rsidR="00860091" w:rsidRDefault="00860091" w:rsidP="00860091">
      <w:pPr>
        <w:pStyle w:val="Beschriftung"/>
        <w:rPr>
          <w:i w:val="0"/>
          <w:color w:val="auto"/>
          <w:sz w:val="20"/>
          <w:szCs w:val="20"/>
          <w:lang w:val="en-US"/>
        </w:rPr>
      </w:pPr>
      <w:r w:rsidRPr="00EA4701">
        <w:rPr>
          <w:b/>
          <w:i w:val="0"/>
          <w:color w:val="auto"/>
          <w:sz w:val="20"/>
          <w:szCs w:val="20"/>
          <w:lang w:val="en-US"/>
        </w:rPr>
        <w:t>Figure S</w:t>
      </w:r>
      <w:r>
        <w:rPr>
          <w:b/>
          <w:i w:val="0"/>
          <w:color w:val="auto"/>
          <w:sz w:val="20"/>
          <w:szCs w:val="20"/>
          <w:lang w:val="en-US"/>
        </w:rPr>
        <w:t>4</w:t>
      </w:r>
      <w:r w:rsidRPr="00EA4701">
        <w:rPr>
          <w:i w:val="0"/>
          <w:color w:val="auto"/>
          <w:sz w:val="20"/>
          <w:szCs w:val="20"/>
          <w:lang w:val="en-US"/>
        </w:rPr>
        <w:t xml:space="preserve">:  </w:t>
      </w:r>
      <w:r>
        <w:rPr>
          <w:i w:val="0"/>
          <w:color w:val="auto"/>
          <w:sz w:val="20"/>
          <w:szCs w:val="20"/>
          <w:lang w:val="en-US"/>
        </w:rPr>
        <w:t>A selection of cell images from CHO18mix sample</w:t>
      </w:r>
      <w:r w:rsidR="002F7188">
        <w:rPr>
          <w:i w:val="0"/>
          <w:color w:val="auto"/>
          <w:sz w:val="20"/>
          <w:szCs w:val="20"/>
          <w:lang w:val="en-US"/>
        </w:rPr>
        <w:t xml:space="preserve"> </w:t>
      </w:r>
      <w:r>
        <w:rPr>
          <w:i w:val="0"/>
          <w:color w:val="auto"/>
          <w:sz w:val="20"/>
          <w:szCs w:val="20"/>
          <w:lang w:val="en-US"/>
        </w:rPr>
        <w:t>(top), and from the CHO18</w:t>
      </w:r>
      <w:r w:rsidR="003410C6">
        <w:rPr>
          <w:i w:val="0"/>
          <w:color w:val="auto"/>
          <w:sz w:val="20"/>
          <w:szCs w:val="20"/>
          <w:lang w:val="en-US"/>
        </w:rPr>
        <w:t>fresh</w:t>
      </w:r>
      <w:r>
        <w:rPr>
          <w:i w:val="0"/>
          <w:color w:val="auto"/>
          <w:sz w:val="20"/>
          <w:szCs w:val="20"/>
          <w:lang w:val="en-US"/>
        </w:rPr>
        <w:t xml:space="preserve"> sample (bottom). From each sample 12 </w:t>
      </w:r>
      <w:r w:rsidR="003410C6">
        <w:rPr>
          <w:i w:val="0"/>
          <w:color w:val="auto"/>
          <w:sz w:val="20"/>
          <w:szCs w:val="20"/>
          <w:lang w:val="en-US"/>
        </w:rPr>
        <w:t xml:space="preserve">‘dead’ </w:t>
      </w:r>
      <w:r>
        <w:rPr>
          <w:i w:val="0"/>
          <w:color w:val="auto"/>
          <w:sz w:val="20"/>
          <w:szCs w:val="20"/>
          <w:lang w:val="en-US"/>
        </w:rPr>
        <w:t>cells that did not result in colony growth</w:t>
      </w:r>
      <w:r w:rsidR="003410C6">
        <w:rPr>
          <w:i w:val="0"/>
          <w:color w:val="auto"/>
          <w:sz w:val="20"/>
          <w:szCs w:val="20"/>
          <w:lang w:val="en-US"/>
        </w:rPr>
        <w:t xml:space="preserve"> </w:t>
      </w:r>
      <w:r>
        <w:rPr>
          <w:i w:val="0"/>
          <w:color w:val="auto"/>
          <w:sz w:val="20"/>
          <w:szCs w:val="20"/>
          <w:lang w:val="en-US"/>
        </w:rPr>
        <w:t>and 12</w:t>
      </w:r>
      <w:r w:rsidR="003410C6">
        <w:rPr>
          <w:i w:val="0"/>
          <w:color w:val="auto"/>
          <w:sz w:val="20"/>
          <w:szCs w:val="20"/>
          <w:lang w:val="en-US"/>
        </w:rPr>
        <w:t xml:space="preserve"> ‘viable’</w:t>
      </w:r>
      <w:r>
        <w:rPr>
          <w:i w:val="0"/>
          <w:color w:val="auto"/>
          <w:sz w:val="20"/>
          <w:szCs w:val="20"/>
          <w:lang w:val="en-US"/>
        </w:rPr>
        <w:t xml:space="preserve"> cells that resulted in colony growth</w:t>
      </w:r>
      <w:r w:rsidR="003410C6">
        <w:rPr>
          <w:i w:val="0"/>
          <w:color w:val="auto"/>
          <w:sz w:val="20"/>
          <w:szCs w:val="20"/>
          <w:lang w:val="en-US"/>
        </w:rPr>
        <w:t xml:space="preserve"> </w:t>
      </w:r>
      <w:r>
        <w:rPr>
          <w:i w:val="0"/>
          <w:color w:val="auto"/>
          <w:sz w:val="20"/>
          <w:szCs w:val="20"/>
          <w:lang w:val="en-US"/>
        </w:rPr>
        <w:t>were randomly selected</w:t>
      </w:r>
      <w:r w:rsidR="003410C6">
        <w:rPr>
          <w:i w:val="0"/>
          <w:color w:val="auto"/>
          <w:sz w:val="20"/>
          <w:szCs w:val="20"/>
          <w:lang w:val="en-US"/>
        </w:rPr>
        <w:t xml:space="preserve"> from the datasets</w:t>
      </w:r>
      <w:r>
        <w:rPr>
          <w:i w:val="0"/>
          <w:color w:val="auto"/>
          <w:sz w:val="20"/>
          <w:szCs w:val="20"/>
          <w:lang w:val="en-US"/>
        </w:rPr>
        <w:t xml:space="preserve">. </w:t>
      </w:r>
    </w:p>
    <w:p w14:paraId="395D108A" w14:textId="77777777" w:rsidR="00CC45BD" w:rsidRDefault="00CC45BD" w:rsidP="00860091">
      <w:pPr>
        <w:pStyle w:val="Beschriftung"/>
        <w:rPr>
          <w:i w:val="0"/>
          <w:color w:val="auto"/>
          <w:sz w:val="20"/>
          <w:szCs w:val="20"/>
          <w:lang w:val="en-US"/>
        </w:rPr>
      </w:pPr>
    </w:p>
    <w:p w14:paraId="425049F6" w14:textId="77777777" w:rsidR="00860091" w:rsidRPr="00CC45BD" w:rsidRDefault="00CC45BD" w:rsidP="00860091">
      <w:pPr>
        <w:pStyle w:val="Beschriftung"/>
        <w:rPr>
          <w:b/>
          <w:i w:val="0"/>
          <w:color w:val="auto"/>
          <w:sz w:val="22"/>
          <w:szCs w:val="22"/>
          <w:lang w:val="en-US"/>
        </w:rPr>
      </w:pPr>
      <w:r w:rsidRPr="00CC45BD">
        <w:rPr>
          <w:b/>
          <w:i w:val="0"/>
          <w:color w:val="auto"/>
          <w:sz w:val="22"/>
          <w:szCs w:val="22"/>
          <w:lang w:val="en-US"/>
        </w:rPr>
        <w:t xml:space="preserve">References </w:t>
      </w:r>
    </w:p>
    <w:p w14:paraId="6BC33153" w14:textId="48BD6266" w:rsidR="00A97DF0" w:rsidRPr="00C2351C" w:rsidRDefault="00860091" w:rsidP="00A97DF0">
      <w:pPr>
        <w:widowControl w:val="0"/>
        <w:autoSpaceDE w:val="0"/>
        <w:autoSpaceDN w:val="0"/>
        <w:adjustRightInd w:val="0"/>
        <w:spacing w:after="200" w:line="240" w:lineRule="auto"/>
        <w:ind w:left="640" w:hanging="640"/>
        <w:rPr>
          <w:rFonts w:cs="Arial"/>
          <w:noProof/>
          <w:sz w:val="20"/>
          <w:szCs w:val="24"/>
          <w:lang w:val="en-US"/>
        </w:rPr>
      </w:pPr>
      <w:r>
        <w:rPr>
          <w:sz w:val="20"/>
          <w:szCs w:val="20"/>
          <w:lang w:val="en-US"/>
        </w:rPr>
        <w:t xml:space="preserve"> </w:t>
      </w:r>
      <w:r w:rsidR="00CC45BD">
        <w:rPr>
          <w:i/>
          <w:sz w:val="20"/>
          <w:szCs w:val="20"/>
          <w:lang w:val="en-US"/>
        </w:rPr>
        <w:fldChar w:fldCharType="begin" w:fldLock="1"/>
      </w:r>
      <w:r w:rsidR="00CC45BD">
        <w:rPr>
          <w:i/>
          <w:sz w:val="20"/>
          <w:szCs w:val="20"/>
          <w:lang w:val="en-US"/>
        </w:rPr>
        <w:instrText xml:space="preserve">ADDIN Mendeley Bibliography CSL_BIBLIOGRAPHY </w:instrText>
      </w:r>
      <w:r w:rsidR="00CC45BD">
        <w:rPr>
          <w:i/>
          <w:sz w:val="20"/>
          <w:szCs w:val="20"/>
          <w:lang w:val="en-US"/>
        </w:rPr>
        <w:fldChar w:fldCharType="separate"/>
      </w:r>
      <w:r w:rsidR="00A97DF0" w:rsidRPr="00C2351C">
        <w:rPr>
          <w:rFonts w:cs="Arial"/>
          <w:noProof/>
          <w:sz w:val="20"/>
          <w:szCs w:val="24"/>
          <w:lang w:val="en-US"/>
        </w:rPr>
        <w:t>1.</w:t>
      </w:r>
      <w:r w:rsidR="00A97DF0" w:rsidRPr="00C2351C">
        <w:rPr>
          <w:rFonts w:cs="Arial"/>
          <w:noProof/>
          <w:sz w:val="20"/>
          <w:szCs w:val="24"/>
          <w:lang w:val="en-US"/>
        </w:rPr>
        <w:tab/>
        <w:t xml:space="preserve">Sandler, M., Howard, A., Zhu, M., Zhmoginov, A. &amp; Chen, L.-C. MobileNetV2: Inverted Residuals and Linear Bottlenecks. </w:t>
      </w:r>
      <w:r w:rsidR="00A97DF0" w:rsidRPr="00C2351C">
        <w:rPr>
          <w:rFonts w:cs="Arial"/>
          <w:i/>
          <w:iCs/>
          <w:noProof/>
          <w:sz w:val="20"/>
          <w:szCs w:val="24"/>
          <w:lang w:val="en-US"/>
        </w:rPr>
        <w:t>Proc. IEEE Conf. Comput. Vis. Pattern Recognit.</w:t>
      </w:r>
      <w:r w:rsidR="00A97DF0" w:rsidRPr="00C2351C">
        <w:rPr>
          <w:rFonts w:cs="Arial"/>
          <w:noProof/>
          <w:sz w:val="20"/>
          <w:szCs w:val="24"/>
          <w:lang w:val="en-US"/>
        </w:rPr>
        <w:t xml:space="preserve"> 4510–4520 (2018). doi:10.1134/S0001434607010294</w:t>
      </w:r>
    </w:p>
    <w:p w14:paraId="3A482F32" w14:textId="77777777" w:rsidR="00A97DF0" w:rsidRPr="00C2351C" w:rsidRDefault="00A97DF0" w:rsidP="00A97DF0">
      <w:pPr>
        <w:widowControl w:val="0"/>
        <w:autoSpaceDE w:val="0"/>
        <w:autoSpaceDN w:val="0"/>
        <w:adjustRightInd w:val="0"/>
        <w:spacing w:after="200" w:line="240" w:lineRule="auto"/>
        <w:ind w:left="640" w:hanging="640"/>
        <w:rPr>
          <w:rFonts w:cs="Arial"/>
          <w:noProof/>
          <w:sz w:val="20"/>
          <w:szCs w:val="24"/>
          <w:lang w:val="en-US"/>
        </w:rPr>
      </w:pPr>
      <w:r w:rsidRPr="00C2351C">
        <w:rPr>
          <w:rFonts w:cs="Arial"/>
          <w:noProof/>
          <w:sz w:val="20"/>
          <w:szCs w:val="24"/>
          <w:lang w:val="en-US"/>
        </w:rPr>
        <w:t>2.</w:t>
      </w:r>
      <w:r w:rsidRPr="00C2351C">
        <w:rPr>
          <w:rFonts w:cs="Arial"/>
          <w:noProof/>
          <w:sz w:val="20"/>
          <w:szCs w:val="24"/>
          <w:lang w:val="en-US"/>
        </w:rPr>
        <w:tab/>
        <w:t xml:space="preserve">Pärnamaa, T. &amp; Parts, L. Accurate Classification of Protein Subcellular Localization from High-Throughput Microscopy Images Using Deep Learning. </w:t>
      </w:r>
      <w:r w:rsidRPr="00C2351C">
        <w:rPr>
          <w:rFonts w:cs="Arial"/>
          <w:i/>
          <w:iCs/>
          <w:noProof/>
          <w:sz w:val="20"/>
          <w:szCs w:val="24"/>
          <w:lang w:val="en-US"/>
        </w:rPr>
        <w:t>G3</w:t>
      </w:r>
      <w:r w:rsidRPr="00C2351C">
        <w:rPr>
          <w:rFonts w:cs="Arial"/>
          <w:noProof/>
          <w:sz w:val="20"/>
          <w:szCs w:val="24"/>
          <w:lang w:val="en-US"/>
        </w:rPr>
        <w:t xml:space="preserve"> </w:t>
      </w:r>
      <w:r w:rsidRPr="00C2351C">
        <w:rPr>
          <w:rFonts w:cs="Arial"/>
          <w:b/>
          <w:bCs/>
          <w:noProof/>
          <w:sz w:val="20"/>
          <w:szCs w:val="24"/>
          <w:lang w:val="en-US"/>
        </w:rPr>
        <w:t>7</w:t>
      </w:r>
      <w:r w:rsidRPr="00C2351C">
        <w:rPr>
          <w:rFonts w:cs="Arial"/>
          <w:noProof/>
          <w:sz w:val="20"/>
          <w:szCs w:val="24"/>
          <w:lang w:val="en-US"/>
        </w:rPr>
        <w:t>, 1385–1392 (2017).</w:t>
      </w:r>
    </w:p>
    <w:p w14:paraId="7E475652" w14:textId="77777777" w:rsidR="00A97DF0" w:rsidRPr="00C2351C" w:rsidRDefault="00A97DF0" w:rsidP="00A97DF0">
      <w:pPr>
        <w:widowControl w:val="0"/>
        <w:autoSpaceDE w:val="0"/>
        <w:autoSpaceDN w:val="0"/>
        <w:adjustRightInd w:val="0"/>
        <w:spacing w:after="200" w:line="240" w:lineRule="auto"/>
        <w:ind w:left="640" w:hanging="640"/>
        <w:rPr>
          <w:rFonts w:cs="Arial"/>
          <w:noProof/>
          <w:sz w:val="20"/>
          <w:szCs w:val="24"/>
          <w:lang w:val="en-US"/>
        </w:rPr>
      </w:pPr>
      <w:r w:rsidRPr="00C2351C">
        <w:rPr>
          <w:rFonts w:cs="Arial"/>
          <w:noProof/>
          <w:sz w:val="20"/>
          <w:szCs w:val="24"/>
          <w:lang w:val="en-US"/>
        </w:rPr>
        <w:t>3.</w:t>
      </w:r>
      <w:r w:rsidRPr="00C2351C">
        <w:rPr>
          <w:rFonts w:cs="Arial"/>
          <w:noProof/>
          <w:sz w:val="20"/>
          <w:szCs w:val="24"/>
          <w:lang w:val="en-US"/>
        </w:rPr>
        <w:tab/>
        <w:t xml:space="preserve">Krizhevsky, A. &amp; Hinton, G. E. ImageNet Classification with Deep Convolutional Neural Networks. </w:t>
      </w:r>
      <w:r w:rsidRPr="00C2351C">
        <w:rPr>
          <w:rFonts w:cs="Arial"/>
          <w:i/>
          <w:iCs/>
          <w:noProof/>
          <w:sz w:val="20"/>
          <w:szCs w:val="24"/>
          <w:lang w:val="en-US"/>
        </w:rPr>
        <w:t>Adv. Neural Inf. Process. Syst.</w:t>
      </w:r>
      <w:r w:rsidRPr="00C2351C">
        <w:rPr>
          <w:rFonts w:cs="Arial"/>
          <w:noProof/>
          <w:sz w:val="20"/>
          <w:szCs w:val="24"/>
          <w:lang w:val="en-US"/>
        </w:rPr>
        <w:t xml:space="preserve"> 1097–1105 (2012).</w:t>
      </w:r>
    </w:p>
    <w:p w14:paraId="255A92AE" w14:textId="51BE3915" w:rsidR="00860091" w:rsidRPr="003F1AEC" w:rsidRDefault="00A97DF0" w:rsidP="00C2351C">
      <w:pPr>
        <w:widowControl w:val="0"/>
        <w:autoSpaceDE w:val="0"/>
        <w:autoSpaceDN w:val="0"/>
        <w:adjustRightInd w:val="0"/>
        <w:spacing w:after="200" w:line="240" w:lineRule="auto"/>
        <w:ind w:left="640" w:hanging="640"/>
        <w:rPr>
          <w:lang w:val="en-US"/>
        </w:rPr>
      </w:pPr>
      <w:r w:rsidRPr="00C2351C">
        <w:rPr>
          <w:rFonts w:cs="Arial"/>
          <w:noProof/>
          <w:sz w:val="20"/>
          <w:szCs w:val="24"/>
          <w:lang w:val="en-US"/>
        </w:rPr>
        <w:t>4.</w:t>
      </w:r>
      <w:r w:rsidRPr="00C2351C">
        <w:rPr>
          <w:rFonts w:cs="Arial"/>
          <w:noProof/>
          <w:sz w:val="20"/>
          <w:szCs w:val="24"/>
          <w:lang w:val="en-US"/>
        </w:rPr>
        <w:tab/>
        <w:t xml:space="preserve">Dozat, T. Incorporating Nesterov Momentum into Adam. </w:t>
      </w:r>
      <w:r w:rsidRPr="00A97DF0">
        <w:rPr>
          <w:rFonts w:cs="Arial"/>
          <w:i/>
          <w:iCs/>
          <w:noProof/>
          <w:sz w:val="20"/>
          <w:szCs w:val="24"/>
        </w:rPr>
        <w:t>ICLR 2016 Work.</w:t>
      </w:r>
      <w:r w:rsidRPr="00A97DF0">
        <w:rPr>
          <w:rFonts w:cs="Arial"/>
          <w:noProof/>
          <w:sz w:val="20"/>
          <w:szCs w:val="24"/>
        </w:rPr>
        <w:t xml:space="preserve"> (2016). doi:10.1016/j.ahj.2004.02.019</w:t>
      </w:r>
      <w:r w:rsidR="00CC45BD">
        <w:rPr>
          <w:i/>
          <w:sz w:val="20"/>
          <w:szCs w:val="20"/>
          <w:lang w:val="en-US"/>
        </w:rPr>
        <w:fldChar w:fldCharType="end"/>
      </w:r>
      <w:bookmarkStart w:id="0" w:name="_GoBack"/>
      <w:bookmarkEnd w:id="0"/>
    </w:p>
    <w:sectPr w:rsidR="00860091" w:rsidRPr="003F1AE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EC"/>
    <w:rsid w:val="00046543"/>
    <w:rsid w:val="001D1531"/>
    <w:rsid w:val="00240D37"/>
    <w:rsid w:val="00245998"/>
    <w:rsid w:val="00263239"/>
    <w:rsid w:val="002708E2"/>
    <w:rsid w:val="00270C93"/>
    <w:rsid w:val="002F23D9"/>
    <w:rsid w:val="002F7188"/>
    <w:rsid w:val="003410C6"/>
    <w:rsid w:val="003955E2"/>
    <w:rsid w:val="003F1AEC"/>
    <w:rsid w:val="00432D4A"/>
    <w:rsid w:val="004D7D03"/>
    <w:rsid w:val="005162C1"/>
    <w:rsid w:val="00544781"/>
    <w:rsid w:val="006F3F4D"/>
    <w:rsid w:val="007823CA"/>
    <w:rsid w:val="00810632"/>
    <w:rsid w:val="00812E6A"/>
    <w:rsid w:val="00860091"/>
    <w:rsid w:val="008E7BDC"/>
    <w:rsid w:val="00A97DF0"/>
    <w:rsid w:val="00BB59CB"/>
    <w:rsid w:val="00C11FE1"/>
    <w:rsid w:val="00C2351C"/>
    <w:rsid w:val="00C30D1E"/>
    <w:rsid w:val="00C353D0"/>
    <w:rsid w:val="00C535B9"/>
    <w:rsid w:val="00CC45BD"/>
    <w:rsid w:val="00CE1006"/>
    <w:rsid w:val="00D4069E"/>
    <w:rsid w:val="00D91480"/>
    <w:rsid w:val="00DD109F"/>
    <w:rsid w:val="00DD42B5"/>
    <w:rsid w:val="00E92464"/>
    <w:rsid w:val="00F461A1"/>
    <w:rsid w:val="00FC43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3732"/>
  <w15:chartTrackingRefBased/>
  <w15:docId w15:val="{445B438A-434E-41DA-87D9-8D28FE67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1AEC"/>
    <w:pPr>
      <w:spacing w:line="360" w:lineRule="auto"/>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3F1AEC"/>
    <w:pPr>
      <w:spacing w:after="200" w:line="240" w:lineRule="auto"/>
    </w:pPr>
    <w:rPr>
      <w:i/>
      <w:iCs/>
      <w:color w:val="44546A" w:themeColor="text2"/>
      <w:sz w:val="18"/>
      <w:szCs w:val="18"/>
    </w:rPr>
  </w:style>
  <w:style w:type="paragraph" w:styleId="Sprechblasentext">
    <w:name w:val="Balloon Text"/>
    <w:basedOn w:val="Standard"/>
    <w:link w:val="SprechblasentextZchn"/>
    <w:uiPriority w:val="99"/>
    <w:semiHidden/>
    <w:unhideWhenUsed/>
    <w:rsid w:val="00A97DF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7D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6D994-8ACC-4162-84D6-8AA4D766D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2421</Words>
  <Characters>15254</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Riba</dc:creator>
  <cp:keywords/>
  <dc:description/>
  <cp:lastModifiedBy>Julian Riba</cp:lastModifiedBy>
  <cp:revision>4</cp:revision>
  <dcterms:created xsi:type="dcterms:W3CDTF">2020-01-08T22:14:00Z</dcterms:created>
  <dcterms:modified xsi:type="dcterms:W3CDTF">2020-01-10T16:14:00Z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0572c3a2-8eb9-3b27-a9c7-0032d5cd1495</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http://www.zotero.org/styles/proteomics</vt:lpwstr>
  </property>
  <property fmtid="{D5CDD505-2E9C-101B-9397-08002B2CF9AE}" pid="24" name="Mendeley Recent Style Name 9_1">
    <vt:lpwstr>PROTEOMICS</vt:lpwstr>
  </property>
</Properties>
</file>