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972" w:rsidRPr="002421F1" w:rsidRDefault="00B75972" w:rsidP="00B75972">
      <w:pPr>
        <w:rPr>
          <w:b/>
          <w:sz w:val="32"/>
        </w:rPr>
      </w:pPr>
      <w:r w:rsidRPr="002421F1">
        <w:rPr>
          <w:b/>
          <w:sz w:val="24"/>
        </w:rPr>
        <w:t>Renal cyst growth is attenuated by a combination treatment of tolvaptan and pioglitazone, while pioglitazone treatment alone is not effective</w:t>
      </w:r>
    </w:p>
    <w:p w:rsidR="00B75972" w:rsidRPr="002421F1" w:rsidRDefault="00B75972" w:rsidP="00B75972">
      <w:pPr>
        <w:rPr>
          <w:color w:val="FF0000"/>
          <w:sz w:val="24"/>
        </w:rPr>
      </w:pPr>
      <w:r w:rsidRPr="002421F1">
        <w:rPr>
          <w:sz w:val="24"/>
        </w:rPr>
        <w:t>Anish A. Kanhai</w:t>
      </w:r>
      <w:r w:rsidRPr="002421F1">
        <w:rPr>
          <w:sz w:val="24"/>
          <w:vertAlign w:val="superscript"/>
        </w:rPr>
        <w:t>1</w:t>
      </w:r>
      <w:r w:rsidRPr="002421F1">
        <w:rPr>
          <w:sz w:val="24"/>
        </w:rPr>
        <w:t>, Hester Bange</w:t>
      </w:r>
      <w:r w:rsidRPr="002421F1">
        <w:rPr>
          <w:sz w:val="24"/>
          <w:vertAlign w:val="superscript"/>
        </w:rPr>
        <w:t>2</w:t>
      </w:r>
      <w:r w:rsidRPr="002421F1">
        <w:rPr>
          <w:sz w:val="24"/>
        </w:rPr>
        <w:t>, Lotte Verburg</w:t>
      </w:r>
      <w:r w:rsidRPr="002421F1">
        <w:rPr>
          <w:sz w:val="24"/>
          <w:vertAlign w:val="superscript"/>
        </w:rPr>
        <w:t>1,3</w:t>
      </w:r>
      <w:r w:rsidRPr="002421F1">
        <w:rPr>
          <w:sz w:val="24"/>
        </w:rPr>
        <w:t>, Kyra L. Dijkstra</w:t>
      </w:r>
      <w:r w:rsidRPr="002421F1">
        <w:rPr>
          <w:sz w:val="24"/>
          <w:vertAlign w:val="superscript"/>
        </w:rPr>
        <w:t>1,3</w:t>
      </w:r>
      <w:r w:rsidRPr="002421F1">
        <w:rPr>
          <w:sz w:val="24"/>
        </w:rPr>
        <w:t>, Leo S. Price</w:t>
      </w:r>
      <w:r w:rsidRPr="002421F1">
        <w:rPr>
          <w:sz w:val="24"/>
          <w:vertAlign w:val="superscript"/>
        </w:rPr>
        <w:t>2</w:t>
      </w:r>
      <w:r w:rsidRPr="002421F1">
        <w:rPr>
          <w:sz w:val="24"/>
        </w:rPr>
        <w:t>, Dorien J. M. Peters</w:t>
      </w:r>
      <w:r w:rsidRPr="002421F1">
        <w:rPr>
          <w:sz w:val="24"/>
          <w:vertAlign w:val="superscript"/>
        </w:rPr>
        <w:t xml:space="preserve">1* </w:t>
      </w:r>
      <w:r w:rsidRPr="002421F1">
        <w:rPr>
          <w:sz w:val="24"/>
        </w:rPr>
        <w:t>and Wouter N. Leonhard</w:t>
      </w:r>
      <w:r w:rsidRPr="002421F1">
        <w:rPr>
          <w:sz w:val="24"/>
          <w:vertAlign w:val="superscript"/>
        </w:rPr>
        <w:t xml:space="preserve">1 </w:t>
      </w:r>
    </w:p>
    <w:p w:rsidR="00B75972" w:rsidRPr="002421F1" w:rsidRDefault="00B75972" w:rsidP="00B75972">
      <w:pPr>
        <w:spacing w:after="0"/>
        <w:ind w:right="-188"/>
        <w:rPr>
          <w:sz w:val="24"/>
        </w:rPr>
      </w:pPr>
      <w:r w:rsidRPr="002421F1">
        <w:rPr>
          <w:sz w:val="24"/>
          <w:vertAlign w:val="superscript"/>
        </w:rPr>
        <w:t>1</w:t>
      </w:r>
      <w:r w:rsidRPr="002421F1">
        <w:rPr>
          <w:sz w:val="24"/>
        </w:rPr>
        <w:t xml:space="preserve"> Department of Human Genetics, Leiden University Medical Center, Leiden, the Netherlands</w:t>
      </w:r>
    </w:p>
    <w:p w:rsidR="00B75972" w:rsidRPr="002421F1" w:rsidRDefault="00B75972" w:rsidP="00B75972">
      <w:pPr>
        <w:spacing w:after="0"/>
        <w:rPr>
          <w:sz w:val="24"/>
        </w:rPr>
      </w:pPr>
      <w:r w:rsidRPr="002421F1">
        <w:rPr>
          <w:sz w:val="24"/>
          <w:vertAlign w:val="superscript"/>
        </w:rPr>
        <w:t>2</w:t>
      </w:r>
      <w:r w:rsidRPr="002421F1">
        <w:rPr>
          <w:sz w:val="24"/>
        </w:rPr>
        <w:t xml:space="preserve"> OcellO B.V., Leiden, the Netherlands</w:t>
      </w:r>
    </w:p>
    <w:p w:rsidR="00B75972" w:rsidRPr="002421F1" w:rsidRDefault="00B75972" w:rsidP="00B75972">
      <w:pPr>
        <w:spacing w:after="0"/>
        <w:rPr>
          <w:sz w:val="24"/>
        </w:rPr>
      </w:pPr>
      <w:r w:rsidRPr="002421F1">
        <w:rPr>
          <w:sz w:val="24"/>
          <w:vertAlign w:val="superscript"/>
        </w:rPr>
        <w:t>3</w:t>
      </w:r>
      <w:r w:rsidRPr="002421F1">
        <w:rPr>
          <w:sz w:val="24"/>
        </w:rPr>
        <w:t xml:space="preserve"> Department of Pathology, Leiden University Medical Center, Leiden, the Netherlands</w:t>
      </w:r>
    </w:p>
    <w:p w:rsidR="00B75972" w:rsidRPr="002421F1" w:rsidRDefault="00B75972" w:rsidP="00B75972">
      <w:pPr>
        <w:spacing w:after="0"/>
        <w:rPr>
          <w:sz w:val="24"/>
        </w:rPr>
      </w:pPr>
    </w:p>
    <w:p w:rsidR="00B75972" w:rsidRPr="002421F1" w:rsidRDefault="00B75972" w:rsidP="00B75972">
      <w:pPr>
        <w:spacing w:after="0"/>
        <w:ind w:right="-188"/>
        <w:rPr>
          <w:sz w:val="24"/>
          <w:szCs w:val="24"/>
        </w:rPr>
      </w:pPr>
      <w:r w:rsidRPr="002421F1">
        <w:rPr>
          <w:sz w:val="24"/>
          <w:szCs w:val="24"/>
        </w:rPr>
        <w:t>*Corresponding autho</w:t>
      </w:r>
      <w:bookmarkStart w:id="0" w:name="_GoBack"/>
      <w:bookmarkEnd w:id="0"/>
      <w:r w:rsidRPr="002421F1">
        <w:rPr>
          <w:sz w:val="24"/>
          <w:szCs w:val="24"/>
        </w:rPr>
        <w:t xml:space="preserve">r: Dorien J.M. Peters, Department of Human Genetics, Leiden University Medical Center, Leiden, the Netherlands. </w:t>
      </w:r>
      <w:hyperlink r:id="rId5" w:history="1">
        <w:r w:rsidRPr="002421F1">
          <w:rPr>
            <w:rStyle w:val="Hyperlink"/>
            <w:sz w:val="24"/>
            <w:szCs w:val="24"/>
          </w:rPr>
          <w:t>d.j.m.peters@lumc.nl</w:t>
        </w:r>
      </w:hyperlink>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B75972" w:rsidRPr="002421F1" w:rsidRDefault="00B75972" w:rsidP="00900DF1">
      <w:pPr>
        <w:pStyle w:val="NormalWeb"/>
        <w:spacing w:before="0" w:beforeAutospacing="0" w:after="0" w:afterAutospacing="0" w:line="276" w:lineRule="auto"/>
        <w:rPr>
          <w:rFonts w:asciiTheme="minorHAnsi" w:eastAsiaTheme="majorEastAsia" w:hAnsi="Calibri" w:cstheme="majorBidi"/>
          <w:b/>
          <w:bCs/>
          <w:color w:val="000000" w:themeColor="text1"/>
          <w:kern w:val="24"/>
          <w:szCs w:val="28"/>
          <w:lang w:val="en-GB"/>
        </w:rPr>
      </w:pPr>
    </w:p>
    <w:p w:rsidR="006623EC" w:rsidRDefault="00900DF1" w:rsidP="006623EC">
      <w:pPr>
        <w:pStyle w:val="NormalWeb"/>
        <w:spacing w:before="0" w:beforeAutospacing="0" w:after="0" w:afterAutospacing="0" w:line="276" w:lineRule="auto"/>
        <w:jc w:val="both"/>
        <w:rPr>
          <w:rFonts w:asciiTheme="minorHAnsi" w:eastAsiaTheme="majorEastAsia" w:hAnsi="Calibri" w:cstheme="majorBidi"/>
          <w:b/>
          <w:bCs/>
          <w:color w:val="000000" w:themeColor="text1"/>
          <w:kern w:val="24"/>
          <w:szCs w:val="28"/>
          <w:lang w:val="en-GB"/>
        </w:rPr>
      </w:pPr>
      <w:r w:rsidRPr="002421F1">
        <w:rPr>
          <w:rFonts w:asciiTheme="minorHAnsi" w:eastAsiaTheme="majorEastAsia" w:hAnsi="Calibri" w:cstheme="majorBidi"/>
          <w:b/>
          <w:bCs/>
          <w:color w:val="000000" w:themeColor="text1"/>
          <w:kern w:val="24"/>
          <w:szCs w:val="28"/>
          <w:lang w:val="en-GB"/>
        </w:rPr>
        <w:lastRenderedPageBreak/>
        <w:t>Supplementary Table 1: Mice that reached ESRD per treatment group.</w:t>
      </w:r>
    </w:p>
    <w:p w:rsidR="00900DF1" w:rsidRPr="002421F1" w:rsidRDefault="00900DF1" w:rsidP="006623EC">
      <w:pPr>
        <w:pStyle w:val="NormalWeb"/>
        <w:spacing w:before="0" w:beforeAutospacing="0" w:after="0" w:afterAutospacing="0" w:line="276" w:lineRule="auto"/>
        <w:jc w:val="both"/>
        <w:rPr>
          <w:rFonts w:asciiTheme="minorHAnsi" w:eastAsiaTheme="majorEastAsia" w:hAnsi="Calibri" w:cstheme="majorBidi"/>
          <w:color w:val="000000" w:themeColor="text1"/>
          <w:kern w:val="24"/>
          <w:szCs w:val="28"/>
          <w:lang w:val="en-GB"/>
        </w:rPr>
      </w:pPr>
      <w:r w:rsidRPr="002421F1">
        <w:rPr>
          <w:rFonts w:asciiTheme="minorHAnsi" w:eastAsiaTheme="majorEastAsia" w:hAnsi="Calibri" w:cstheme="majorBidi"/>
          <w:color w:val="000000" w:themeColor="text1"/>
          <w:kern w:val="24"/>
          <w:szCs w:val="28"/>
          <w:lang w:val="en-GB"/>
        </w:rPr>
        <w:t xml:space="preserve">Percentages of mice that reached ESRD at a specific timepoint in the preclinical study. In brackets, the number of mice with ESRD over the total number of mice per treatment group is shown. </w:t>
      </w:r>
    </w:p>
    <w:p w:rsidR="00900DF1" w:rsidRPr="002421F1" w:rsidRDefault="00900DF1" w:rsidP="00900DF1">
      <w:pPr>
        <w:pStyle w:val="NormalWeb"/>
        <w:spacing w:before="0" w:beforeAutospacing="0" w:after="0" w:afterAutospacing="0" w:line="276" w:lineRule="auto"/>
        <w:rPr>
          <w:lang w:val="en-GB"/>
        </w:rPr>
      </w:pPr>
    </w:p>
    <w:tbl>
      <w:tblPr>
        <w:tblStyle w:val="TableGrid"/>
        <w:tblW w:w="5000" w:type="pct"/>
        <w:tblLook w:val="04A0" w:firstRow="1" w:lastRow="0" w:firstColumn="1" w:lastColumn="0" w:noHBand="0" w:noVBand="1"/>
      </w:tblPr>
      <w:tblGrid>
        <w:gridCol w:w="1804"/>
        <w:gridCol w:w="1803"/>
        <w:gridCol w:w="1803"/>
        <w:gridCol w:w="1803"/>
        <w:gridCol w:w="1803"/>
      </w:tblGrid>
      <w:tr w:rsidR="00900DF1" w:rsidRPr="002421F1" w:rsidTr="001275A9">
        <w:tc>
          <w:tcPr>
            <w:tcW w:w="1000" w:type="pct"/>
            <w:tcBorders>
              <w:right w:val="single" w:sz="4" w:space="0" w:color="FFFFFF" w:themeColor="background1"/>
            </w:tcBorders>
            <w:shd w:val="clear" w:color="auto" w:fill="000000" w:themeFill="text1"/>
          </w:tcPr>
          <w:p w:rsidR="00900DF1" w:rsidRPr="002421F1" w:rsidRDefault="00900DF1" w:rsidP="00900DF1">
            <w:pPr>
              <w:jc w:val="center"/>
              <w:rPr>
                <w:color w:val="FFFFFF" w:themeColor="background1"/>
              </w:rPr>
            </w:pPr>
          </w:p>
        </w:tc>
        <w:tc>
          <w:tcPr>
            <w:tcW w:w="1000" w:type="pct"/>
            <w:tcBorders>
              <w:left w:val="single" w:sz="4" w:space="0" w:color="FFFFFF" w:themeColor="background1"/>
              <w:right w:val="single" w:sz="4" w:space="0" w:color="FFFFFF" w:themeColor="background1"/>
            </w:tcBorders>
            <w:shd w:val="clear" w:color="auto" w:fill="000000" w:themeFill="text1"/>
          </w:tcPr>
          <w:p w:rsidR="00900DF1" w:rsidRPr="002421F1" w:rsidRDefault="00900DF1" w:rsidP="00900DF1">
            <w:pPr>
              <w:jc w:val="center"/>
              <w:rPr>
                <w:b/>
                <w:color w:val="FFFFFF" w:themeColor="background1"/>
                <w:sz w:val="24"/>
              </w:rPr>
            </w:pPr>
            <w:r w:rsidRPr="002421F1">
              <w:rPr>
                <w:b/>
                <w:color w:val="FFFFFF" w:themeColor="background1"/>
                <w:sz w:val="24"/>
              </w:rPr>
              <w:t>Age (80 days)</w:t>
            </w:r>
          </w:p>
        </w:tc>
        <w:tc>
          <w:tcPr>
            <w:tcW w:w="1000" w:type="pct"/>
            <w:tcBorders>
              <w:left w:val="single" w:sz="4" w:space="0" w:color="FFFFFF" w:themeColor="background1"/>
              <w:right w:val="single" w:sz="4" w:space="0" w:color="FFFFFF" w:themeColor="background1"/>
            </w:tcBorders>
            <w:shd w:val="clear" w:color="auto" w:fill="000000" w:themeFill="text1"/>
          </w:tcPr>
          <w:p w:rsidR="00900DF1" w:rsidRPr="002421F1" w:rsidRDefault="00900DF1" w:rsidP="00900DF1">
            <w:pPr>
              <w:jc w:val="center"/>
              <w:rPr>
                <w:b/>
                <w:color w:val="FFFFFF" w:themeColor="background1"/>
                <w:sz w:val="24"/>
              </w:rPr>
            </w:pPr>
            <w:r w:rsidRPr="002421F1">
              <w:rPr>
                <w:b/>
                <w:color w:val="FFFFFF" w:themeColor="background1"/>
                <w:sz w:val="24"/>
              </w:rPr>
              <w:t>Age (90 days)</w:t>
            </w:r>
          </w:p>
        </w:tc>
        <w:tc>
          <w:tcPr>
            <w:tcW w:w="1000" w:type="pct"/>
            <w:tcBorders>
              <w:left w:val="single" w:sz="4" w:space="0" w:color="FFFFFF" w:themeColor="background1"/>
              <w:right w:val="single" w:sz="4" w:space="0" w:color="FFFFFF" w:themeColor="background1"/>
            </w:tcBorders>
            <w:shd w:val="clear" w:color="auto" w:fill="000000" w:themeFill="text1"/>
          </w:tcPr>
          <w:p w:rsidR="00900DF1" w:rsidRPr="002421F1" w:rsidRDefault="00900DF1" w:rsidP="00900DF1">
            <w:pPr>
              <w:jc w:val="center"/>
              <w:rPr>
                <w:b/>
                <w:color w:val="FFFFFF" w:themeColor="background1"/>
                <w:sz w:val="24"/>
              </w:rPr>
            </w:pPr>
            <w:r w:rsidRPr="002421F1">
              <w:rPr>
                <w:b/>
                <w:color w:val="FFFFFF" w:themeColor="background1"/>
                <w:sz w:val="24"/>
              </w:rPr>
              <w:t>Age (100 days)</w:t>
            </w:r>
          </w:p>
        </w:tc>
        <w:tc>
          <w:tcPr>
            <w:tcW w:w="1000" w:type="pct"/>
            <w:tcBorders>
              <w:left w:val="single" w:sz="4" w:space="0" w:color="FFFFFF" w:themeColor="background1"/>
            </w:tcBorders>
            <w:shd w:val="clear" w:color="auto" w:fill="000000" w:themeFill="text1"/>
          </w:tcPr>
          <w:p w:rsidR="00900DF1" w:rsidRPr="002421F1" w:rsidRDefault="00900DF1" w:rsidP="00900DF1">
            <w:pPr>
              <w:jc w:val="center"/>
              <w:rPr>
                <w:b/>
                <w:color w:val="FFFFFF" w:themeColor="background1"/>
                <w:sz w:val="24"/>
              </w:rPr>
            </w:pPr>
            <w:r w:rsidRPr="002421F1">
              <w:rPr>
                <w:b/>
                <w:color w:val="FFFFFF" w:themeColor="background1"/>
                <w:sz w:val="24"/>
              </w:rPr>
              <w:t>Age (110 days)</w:t>
            </w:r>
          </w:p>
        </w:tc>
      </w:tr>
      <w:tr w:rsidR="00900DF1" w:rsidRPr="002421F1" w:rsidTr="00997DA9">
        <w:trPr>
          <w:trHeight w:val="113"/>
        </w:trPr>
        <w:tc>
          <w:tcPr>
            <w:tcW w:w="1000" w:type="pct"/>
          </w:tcPr>
          <w:p w:rsidR="00900DF1" w:rsidRPr="002421F1" w:rsidRDefault="00900DF1" w:rsidP="00900DF1">
            <w:pPr>
              <w:jc w:val="center"/>
              <w:rPr>
                <w:b/>
                <w:sz w:val="24"/>
              </w:rPr>
            </w:pPr>
            <w:r w:rsidRPr="002421F1">
              <w:rPr>
                <w:b/>
                <w:sz w:val="24"/>
              </w:rPr>
              <w:t>Untreated</w:t>
            </w:r>
          </w:p>
        </w:tc>
        <w:tc>
          <w:tcPr>
            <w:tcW w:w="1000" w:type="pct"/>
          </w:tcPr>
          <w:p w:rsidR="00900DF1" w:rsidRPr="002421F1" w:rsidRDefault="00900DF1" w:rsidP="00900DF1">
            <w:pPr>
              <w:jc w:val="center"/>
              <w:rPr>
                <w:sz w:val="24"/>
              </w:rPr>
            </w:pPr>
            <w:r w:rsidRPr="002421F1">
              <w:rPr>
                <w:sz w:val="24"/>
              </w:rPr>
              <w:t>0% (0/20)</w:t>
            </w:r>
          </w:p>
        </w:tc>
        <w:tc>
          <w:tcPr>
            <w:tcW w:w="1000" w:type="pct"/>
          </w:tcPr>
          <w:p w:rsidR="00900DF1" w:rsidRPr="002421F1" w:rsidRDefault="00900DF1" w:rsidP="00900DF1">
            <w:pPr>
              <w:jc w:val="center"/>
              <w:rPr>
                <w:sz w:val="24"/>
              </w:rPr>
            </w:pPr>
            <w:r w:rsidRPr="002421F1">
              <w:rPr>
                <w:sz w:val="24"/>
              </w:rPr>
              <w:t>0% (0/20)</w:t>
            </w:r>
          </w:p>
        </w:tc>
        <w:tc>
          <w:tcPr>
            <w:tcW w:w="1000" w:type="pct"/>
          </w:tcPr>
          <w:p w:rsidR="00900DF1" w:rsidRPr="002421F1" w:rsidRDefault="00900DF1" w:rsidP="00900DF1">
            <w:pPr>
              <w:jc w:val="center"/>
              <w:rPr>
                <w:sz w:val="24"/>
              </w:rPr>
            </w:pPr>
            <w:r w:rsidRPr="002421F1">
              <w:rPr>
                <w:sz w:val="24"/>
              </w:rPr>
              <w:t>5.0% (1/20)</w:t>
            </w:r>
          </w:p>
        </w:tc>
        <w:tc>
          <w:tcPr>
            <w:tcW w:w="1000" w:type="pct"/>
          </w:tcPr>
          <w:p w:rsidR="00900DF1" w:rsidRPr="002421F1" w:rsidRDefault="00900DF1" w:rsidP="00900DF1">
            <w:pPr>
              <w:jc w:val="center"/>
              <w:rPr>
                <w:sz w:val="24"/>
              </w:rPr>
            </w:pPr>
            <w:r w:rsidRPr="002421F1">
              <w:rPr>
                <w:sz w:val="24"/>
              </w:rPr>
              <w:t>55.0% (11/20)</w:t>
            </w:r>
          </w:p>
        </w:tc>
      </w:tr>
      <w:tr w:rsidR="00900DF1" w:rsidRPr="002421F1" w:rsidTr="00997DA9">
        <w:trPr>
          <w:trHeight w:val="113"/>
        </w:trPr>
        <w:tc>
          <w:tcPr>
            <w:tcW w:w="1000" w:type="pct"/>
          </w:tcPr>
          <w:p w:rsidR="00900DF1" w:rsidRPr="002421F1" w:rsidRDefault="00900DF1" w:rsidP="00900DF1">
            <w:pPr>
              <w:jc w:val="center"/>
              <w:rPr>
                <w:b/>
                <w:sz w:val="24"/>
              </w:rPr>
            </w:pPr>
            <w:r w:rsidRPr="002421F1">
              <w:rPr>
                <w:b/>
                <w:sz w:val="24"/>
              </w:rPr>
              <w:t>Tolvaptan-SD</w:t>
            </w:r>
          </w:p>
        </w:tc>
        <w:tc>
          <w:tcPr>
            <w:tcW w:w="1000" w:type="pct"/>
          </w:tcPr>
          <w:p w:rsidR="00900DF1" w:rsidRPr="002421F1" w:rsidRDefault="00900DF1" w:rsidP="00900DF1">
            <w:pPr>
              <w:jc w:val="center"/>
              <w:rPr>
                <w:sz w:val="24"/>
              </w:rPr>
            </w:pPr>
            <w:r w:rsidRPr="002421F1">
              <w:rPr>
                <w:sz w:val="24"/>
              </w:rPr>
              <w:t>0% (0/20)</w:t>
            </w:r>
          </w:p>
        </w:tc>
        <w:tc>
          <w:tcPr>
            <w:tcW w:w="1000" w:type="pct"/>
          </w:tcPr>
          <w:p w:rsidR="00900DF1" w:rsidRPr="002421F1" w:rsidRDefault="00900DF1" w:rsidP="00900DF1">
            <w:pPr>
              <w:jc w:val="center"/>
              <w:rPr>
                <w:sz w:val="24"/>
              </w:rPr>
            </w:pPr>
            <w:r w:rsidRPr="002421F1">
              <w:rPr>
                <w:sz w:val="24"/>
              </w:rPr>
              <w:t>0% (0/20)</w:t>
            </w:r>
          </w:p>
        </w:tc>
        <w:tc>
          <w:tcPr>
            <w:tcW w:w="1000" w:type="pct"/>
          </w:tcPr>
          <w:p w:rsidR="00900DF1" w:rsidRPr="002421F1" w:rsidRDefault="00900DF1" w:rsidP="00900DF1">
            <w:pPr>
              <w:jc w:val="center"/>
              <w:rPr>
                <w:sz w:val="24"/>
              </w:rPr>
            </w:pPr>
            <w:r w:rsidRPr="002421F1">
              <w:rPr>
                <w:sz w:val="24"/>
              </w:rPr>
              <w:t>5.0% (1/20)</w:t>
            </w:r>
          </w:p>
        </w:tc>
        <w:tc>
          <w:tcPr>
            <w:tcW w:w="1000" w:type="pct"/>
          </w:tcPr>
          <w:p w:rsidR="00900DF1" w:rsidRPr="002421F1" w:rsidRDefault="00900DF1" w:rsidP="00900DF1">
            <w:pPr>
              <w:jc w:val="center"/>
              <w:rPr>
                <w:sz w:val="24"/>
              </w:rPr>
            </w:pPr>
            <w:r w:rsidRPr="002421F1">
              <w:rPr>
                <w:sz w:val="24"/>
              </w:rPr>
              <w:t>10.0% (2/20)</w:t>
            </w:r>
          </w:p>
        </w:tc>
      </w:tr>
      <w:tr w:rsidR="00900DF1" w:rsidRPr="002421F1" w:rsidTr="00997DA9">
        <w:trPr>
          <w:trHeight w:val="113"/>
        </w:trPr>
        <w:tc>
          <w:tcPr>
            <w:tcW w:w="1000" w:type="pct"/>
          </w:tcPr>
          <w:p w:rsidR="00900DF1" w:rsidRPr="002421F1" w:rsidRDefault="00900DF1" w:rsidP="00900DF1">
            <w:pPr>
              <w:jc w:val="center"/>
              <w:rPr>
                <w:b/>
                <w:sz w:val="24"/>
              </w:rPr>
            </w:pPr>
            <w:r w:rsidRPr="002421F1">
              <w:rPr>
                <w:b/>
                <w:sz w:val="24"/>
              </w:rPr>
              <w:t>Pioglitazone</w:t>
            </w:r>
          </w:p>
        </w:tc>
        <w:tc>
          <w:tcPr>
            <w:tcW w:w="1000" w:type="pct"/>
          </w:tcPr>
          <w:p w:rsidR="00900DF1" w:rsidRPr="002421F1" w:rsidRDefault="00900DF1" w:rsidP="00900DF1">
            <w:pPr>
              <w:jc w:val="center"/>
              <w:rPr>
                <w:sz w:val="24"/>
              </w:rPr>
            </w:pPr>
            <w:r w:rsidRPr="002421F1">
              <w:rPr>
                <w:sz w:val="24"/>
              </w:rPr>
              <w:t>0% (0/21)</w:t>
            </w:r>
          </w:p>
        </w:tc>
        <w:tc>
          <w:tcPr>
            <w:tcW w:w="1000" w:type="pct"/>
          </w:tcPr>
          <w:p w:rsidR="00900DF1" w:rsidRPr="002421F1" w:rsidRDefault="00900DF1" w:rsidP="00900DF1">
            <w:pPr>
              <w:jc w:val="center"/>
              <w:rPr>
                <w:sz w:val="24"/>
              </w:rPr>
            </w:pPr>
            <w:r w:rsidRPr="002421F1">
              <w:rPr>
                <w:sz w:val="24"/>
              </w:rPr>
              <w:t>4.8% (1/21)</w:t>
            </w:r>
          </w:p>
        </w:tc>
        <w:tc>
          <w:tcPr>
            <w:tcW w:w="1000" w:type="pct"/>
          </w:tcPr>
          <w:p w:rsidR="00900DF1" w:rsidRPr="002421F1" w:rsidRDefault="00900DF1" w:rsidP="00900DF1">
            <w:pPr>
              <w:jc w:val="center"/>
              <w:rPr>
                <w:sz w:val="24"/>
              </w:rPr>
            </w:pPr>
            <w:r w:rsidRPr="002421F1">
              <w:rPr>
                <w:sz w:val="24"/>
              </w:rPr>
              <w:t>14.3% (3/21)</w:t>
            </w:r>
          </w:p>
        </w:tc>
        <w:tc>
          <w:tcPr>
            <w:tcW w:w="1000" w:type="pct"/>
          </w:tcPr>
          <w:p w:rsidR="00900DF1" w:rsidRPr="002421F1" w:rsidRDefault="00900DF1" w:rsidP="00900DF1">
            <w:pPr>
              <w:jc w:val="center"/>
              <w:rPr>
                <w:sz w:val="24"/>
              </w:rPr>
            </w:pPr>
            <w:r w:rsidRPr="002421F1">
              <w:rPr>
                <w:sz w:val="24"/>
              </w:rPr>
              <w:t>38.1% (8/21)</w:t>
            </w:r>
          </w:p>
        </w:tc>
      </w:tr>
      <w:tr w:rsidR="00900DF1" w:rsidRPr="002421F1" w:rsidTr="00997DA9">
        <w:trPr>
          <w:trHeight w:val="113"/>
        </w:trPr>
        <w:tc>
          <w:tcPr>
            <w:tcW w:w="1000" w:type="pct"/>
          </w:tcPr>
          <w:p w:rsidR="00900DF1" w:rsidRPr="002421F1" w:rsidRDefault="00900DF1" w:rsidP="00900DF1">
            <w:pPr>
              <w:jc w:val="center"/>
              <w:rPr>
                <w:b/>
                <w:sz w:val="24"/>
              </w:rPr>
            </w:pPr>
            <w:r w:rsidRPr="002421F1">
              <w:rPr>
                <w:b/>
                <w:sz w:val="24"/>
              </w:rPr>
              <w:t>Combination</w:t>
            </w:r>
          </w:p>
        </w:tc>
        <w:tc>
          <w:tcPr>
            <w:tcW w:w="1000" w:type="pct"/>
          </w:tcPr>
          <w:p w:rsidR="00900DF1" w:rsidRPr="002421F1" w:rsidRDefault="00900DF1" w:rsidP="00900DF1">
            <w:pPr>
              <w:jc w:val="center"/>
              <w:rPr>
                <w:sz w:val="24"/>
              </w:rPr>
            </w:pPr>
            <w:r w:rsidRPr="002421F1">
              <w:rPr>
                <w:sz w:val="24"/>
              </w:rPr>
              <w:t>0% (0/20)</w:t>
            </w:r>
          </w:p>
        </w:tc>
        <w:tc>
          <w:tcPr>
            <w:tcW w:w="1000" w:type="pct"/>
          </w:tcPr>
          <w:p w:rsidR="00900DF1" w:rsidRPr="002421F1" w:rsidRDefault="00900DF1" w:rsidP="00900DF1">
            <w:pPr>
              <w:jc w:val="center"/>
              <w:rPr>
                <w:sz w:val="24"/>
              </w:rPr>
            </w:pPr>
            <w:r w:rsidRPr="002421F1">
              <w:rPr>
                <w:sz w:val="24"/>
              </w:rPr>
              <w:t>0% (0/20)</w:t>
            </w:r>
          </w:p>
        </w:tc>
        <w:tc>
          <w:tcPr>
            <w:tcW w:w="1000" w:type="pct"/>
          </w:tcPr>
          <w:p w:rsidR="00900DF1" w:rsidRPr="002421F1" w:rsidRDefault="00900DF1" w:rsidP="00900DF1">
            <w:pPr>
              <w:jc w:val="center"/>
              <w:rPr>
                <w:sz w:val="24"/>
              </w:rPr>
            </w:pPr>
            <w:r w:rsidRPr="002421F1">
              <w:rPr>
                <w:sz w:val="24"/>
              </w:rPr>
              <w:t>0% (0/20)</w:t>
            </w:r>
          </w:p>
        </w:tc>
        <w:tc>
          <w:tcPr>
            <w:tcW w:w="1000" w:type="pct"/>
          </w:tcPr>
          <w:p w:rsidR="00900DF1" w:rsidRPr="002421F1" w:rsidRDefault="00900DF1" w:rsidP="00900DF1">
            <w:pPr>
              <w:jc w:val="center"/>
              <w:rPr>
                <w:sz w:val="24"/>
              </w:rPr>
            </w:pPr>
            <w:r w:rsidRPr="002421F1">
              <w:rPr>
                <w:sz w:val="24"/>
              </w:rPr>
              <w:t>0% (0/20)</w:t>
            </w:r>
          </w:p>
        </w:tc>
      </w:tr>
    </w:tbl>
    <w:p w:rsidR="006E2E73" w:rsidRPr="002421F1" w:rsidRDefault="006623EC"/>
    <w:p w:rsidR="006623EC" w:rsidRDefault="00900DF1" w:rsidP="006623EC">
      <w:pPr>
        <w:spacing w:after="0"/>
        <w:jc w:val="both"/>
        <w:rPr>
          <w:b/>
          <w:bCs/>
          <w:sz w:val="24"/>
        </w:rPr>
      </w:pPr>
      <w:r w:rsidRPr="002421F1">
        <w:rPr>
          <w:b/>
          <w:bCs/>
          <w:sz w:val="24"/>
        </w:rPr>
        <w:t>Supplementary Table 2: Gene expression of pioglitazone targets across species</w:t>
      </w:r>
    </w:p>
    <w:p w:rsidR="00900DF1" w:rsidRPr="002421F1" w:rsidRDefault="00900DF1" w:rsidP="006623EC">
      <w:pPr>
        <w:jc w:val="both"/>
        <w:rPr>
          <w:sz w:val="24"/>
        </w:rPr>
      </w:pPr>
      <w:r w:rsidRPr="002421F1">
        <w:rPr>
          <w:sz w:val="24"/>
        </w:rPr>
        <w:t>Publicly available microarray datasets (see main text for references) were analy</w:t>
      </w:r>
      <w:r w:rsidR="00187A5C">
        <w:rPr>
          <w:sz w:val="24"/>
        </w:rPr>
        <w:t>s</w:t>
      </w:r>
      <w:r w:rsidRPr="002421F1">
        <w:rPr>
          <w:sz w:val="24"/>
        </w:rPr>
        <w:t xml:space="preserve">ed to compare possible differences in gene expression of pioglitazone targets between species. Reported log2 values were converted to absolute values, and then normalized to the expression of the internal housekeeping gene </w:t>
      </w:r>
      <w:r w:rsidRPr="002421F1">
        <w:rPr>
          <w:i/>
          <w:iCs/>
          <w:sz w:val="24"/>
        </w:rPr>
        <w:t>Hprt</w:t>
      </w:r>
      <w:r w:rsidRPr="002421F1">
        <w:rPr>
          <w:sz w:val="24"/>
        </w:rPr>
        <w:t>.</w:t>
      </w:r>
    </w:p>
    <w:tbl>
      <w:tblPr>
        <w:tblW w:w="5000" w:type="pct"/>
        <w:tblCellMar>
          <w:left w:w="0" w:type="dxa"/>
          <w:right w:w="0" w:type="dxa"/>
        </w:tblCellMar>
        <w:tblLook w:val="0420" w:firstRow="1" w:lastRow="0" w:firstColumn="0" w:lastColumn="0" w:noHBand="0" w:noVBand="1"/>
      </w:tblPr>
      <w:tblGrid>
        <w:gridCol w:w="2692"/>
        <w:gridCol w:w="1574"/>
        <w:gridCol w:w="1511"/>
        <w:gridCol w:w="1718"/>
        <w:gridCol w:w="1511"/>
      </w:tblGrid>
      <w:tr w:rsidR="001275A9" w:rsidRPr="002421F1" w:rsidTr="00997DA9">
        <w:trPr>
          <w:trHeight w:val="20"/>
        </w:trPr>
        <w:tc>
          <w:tcPr>
            <w:tcW w:w="1494" w:type="pct"/>
            <w:tcBorders>
              <w:top w:val="single" w:sz="8" w:space="0" w:color="000000"/>
              <w:left w:val="single" w:sz="8" w:space="0" w:color="000000"/>
              <w:bottom w:val="single" w:sz="8" w:space="0" w:color="000000"/>
              <w:right w:val="single" w:sz="8" w:space="0" w:color="FFFFFF"/>
            </w:tcBorders>
            <w:shd w:val="clear" w:color="auto" w:fill="000000"/>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b/>
                <w:bCs/>
                <w:sz w:val="24"/>
                <w:szCs w:val="24"/>
              </w:rPr>
              <w:t>Model</w:t>
            </w:r>
          </w:p>
        </w:tc>
        <w:tc>
          <w:tcPr>
            <w:tcW w:w="874" w:type="pct"/>
            <w:tcBorders>
              <w:top w:val="single" w:sz="8" w:space="0" w:color="000000"/>
              <w:left w:val="single" w:sz="8" w:space="0" w:color="FFFFFF"/>
              <w:bottom w:val="single" w:sz="8" w:space="0" w:color="000000"/>
              <w:right w:val="single" w:sz="8" w:space="0" w:color="FFFFFF"/>
            </w:tcBorders>
            <w:shd w:val="clear" w:color="auto" w:fill="000000"/>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b/>
                <w:bCs/>
                <w:i/>
                <w:iCs/>
                <w:sz w:val="24"/>
                <w:szCs w:val="24"/>
              </w:rPr>
              <w:t>Pparg/Hprt</w:t>
            </w:r>
          </w:p>
        </w:tc>
        <w:tc>
          <w:tcPr>
            <w:tcW w:w="839" w:type="pct"/>
            <w:tcBorders>
              <w:top w:val="single" w:sz="8" w:space="0" w:color="000000"/>
              <w:left w:val="single" w:sz="8" w:space="0" w:color="FFFFFF"/>
              <w:bottom w:val="single" w:sz="8" w:space="0" w:color="000000"/>
              <w:right w:val="single" w:sz="8" w:space="0" w:color="FFFFFF"/>
            </w:tcBorders>
            <w:shd w:val="clear" w:color="auto" w:fill="000000"/>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b/>
                <w:bCs/>
                <w:i/>
                <w:iCs/>
                <w:sz w:val="24"/>
                <w:szCs w:val="24"/>
              </w:rPr>
              <w:t>Cisd1/Hprt</w:t>
            </w:r>
          </w:p>
        </w:tc>
        <w:tc>
          <w:tcPr>
            <w:tcW w:w="954" w:type="pct"/>
            <w:tcBorders>
              <w:top w:val="single" w:sz="8" w:space="0" w:color="000000"/>
              <w:left w:val="single" w:sz="8" w:space="0" w:color="FFFFFF"/>
              <w:bottom w:val="single" w:sz="8" w:space="0" w:color="000000"/>
              <w:right w:val="single" w:sz="8" w:space="0" w:color="FFFFFF"/>
            </w:tcBorders>
            <w:shd w:val="clear" w:color="auto" w:fill="000000"/>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b/>
                <w:bCs/>
                <w:i/>
                <w:iCs/>
                <w:sz w:val="24"/>
                <w:szCs w:val="24"/>
              </w:rPr>
              <w:t>Ndufa9/Hprt</w:t>
            </w:r>
          </w:p>
        </w:tc>
        <w:tc>
          <w:tcPr>
            <w:tcW w:w="839" w:type="pct"/>
            <w:tcBorders>
              <w:top w:val="single" w:sz="8" w:space="0" w:color="000000"/>
              <w:left w:val="single" w:sz="8" w:space="0" w:color="FFFFFF"/>
              <w:bottom w:val="single" w:sz="8" w:space="0" w:color="000000"/>
              <w:right w:val="single" w:sz="8" w:space="0" w:color="FFFFFF"/>
            </w:tcBorders>
            <w:shd w:val="clear" w:color="auto" w:fill="000000"/>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b/>
                <w:bCs/>
                <w:i/>
                <w:iCs/>
                <w:sz w:val="24"/>
                <w:szCs w:val="24"/>
              </w:rPr>
              <w:t>Ppara/Hprt</w:t>
            </w:r>
          </w:p>
        </w:tc>
      </w:tr>
      <w:tr w:rsidR="001275A9" w:rsidRPr="002421F1" w:rsidTr="00997DA9">
        <w:trPr>
          <w:trHeight w:val="20"/>
        </w:trPr>
        <w:tc>
          <w:tcPr>
            <w:tcW w:w="149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iKspCre-</w:t>
            </w:r>
            <w:r w:rsidRPr="002421F1">
              <w:rPr>
                <w:i/>
                <w:iCs/>
                <w:sz w:val="24"/>
                <w:szCs w:val="24"/>
              </w:rPr>
              <w:t>Pkd1</w:t>
            </w:r>
            <w:r w:rsidRPr="002421F1">
              <w:rPr>
                <w:sz w:val="24"/>
                <w:szCs w:val="24"/>
                <w:vertAlign w:val="superscript"/>
              </w:rPr>
              <w:t>del</w:t>
            </w:r>
            <w:r w:rsidRPr="002421F1">
              <w:rPr>
                <w:sz w:val="24"/>
                <w:szCs w:val="24"/>
              </w:rPr>
              <w:t> </w:t>
            </w:r>
            <w:r w:rsidRPr="002421F1">
              <w:rPr>
                <w:sz w:val="24"/>
                <w:szCs w:val="24"/>
              </w:rPr>
              <w:br/>
              <w:t>wildtype mice (n = 7)</w:t>
            </w:r>
          </w:p>
        </w:tc>
        <w:tc>
          <w:tcPr>
            <w:tcW w:w="874" w:type="pct"/>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0,046</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0,266</w:t>
            </w:r>
          </w:p>
        </w:tc>
        <w:tc>
          <w:tcPr>
            <w:tcW w:w="9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0,865</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0,206</w:t>
            </w:r>
          </w:p>
        </w:tc>
      </w:tr>
      <w:tr w:rsidR="001275A9" w:rsidRPr="002421F1" w:rsidTr="00997DA9">
        <w:trPr>
          <w:trHeight w:val="20"/>
        </w:trPr>
        <w:tc>
          <w:tcPr>
            <w:tcW w:w="149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iKspCre-</w:t>
            </w:r>
            <w:r w:rsidRPr="002421F1">
              <w:rPr>
                <w:i/>
                <w:iCs/>
                <w:sz w:val="24"/>
                <w:szCs w:val="24"/>
              </w:rPr>
              <w:t>Pkd1</w:t>
            </w:r>
            <w:r w:rsidRPr="002421F1">
              <w:rPr>
                <w:sz w:val="24"/>
                <w:szCs w:val="24"/>
                <w:vertAlign w:val="superscript"/>
              </w:rPr>
              <w:t>del</w:t>
            </w:r>
            <w:r w:rsidRPr="002421F1">
              <w:rPr>
                <w:sz w:val="24"/>
                <w:szCs w:val="24"/>
                <w:vertAlign w:val="superscript"/>
              </w:rPr>
              <w:br/>
            </w:r>
            <w:r w:rsidRPr="002421F1">
              <w:rPr>
                <w:sz w:val="24"/>
                <w:szCs w:val="24"/>
              </w:rPr>
              <w:t>knockout mice (n = 12)</w:t>
            </w:r>
          </w:p>
        </w:tc>
        <w:tc>
          <w:tcPr>
            <w:tcW w:w="874" w:type="pct"/>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0,043</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0,171</w:t>
            </w:r>
          </w:p>
        </w:tc>
        <w:tc>
          <w:tcPr>
            <w:tcW w:w="9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0,536</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0,114</w:t>
            </w:r>
          </w:p>
        </w:tc>
      </w:tr>
      <w:tr w:rsidR="001275A9" w:rsidRPr="002421F1" w:rsidTr="00997DA9">
        <w:trPr>
          <w:trHeight w:val="20"/>
        </w:trPr>
        <w:tc>
          <w:tcPr>
            <w:tcW w:w="149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 xml:space="preserve">Sprague-Dawley </w:t>
            </w:r>
            <w:r w:rsidRPr="002421F1">
              <w:rPr>
                <w:sz w:val="24"/>
                <w:szCs w:val="24"/>
              </w:rPr>
              <w:br/>
              <w:t>rats (n = 6)</w:t>
            </w:r>
          </w:p>
        </w:tc>
        <w:tc>
          <w:tcPr>
            <w:tcW w:w="874" w:type="pct"/>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0,061</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29,096</w:t>
            </w:r>
          </w:p>
        </w:tc>
        <w:tc>
          <w:tcPr>
            <w:tcW w:w="9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7,118</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0,080</w:t>
            </w:r>
          </w:p>
        </w:tc>
      </w:tr>
      <w:tr w:rsidR="001275A9" w:rsidRPr="002421F1" w:rsidTr="00997DA9">
        <w:trPr>
          <w:trHeight w:val="20"/>
        </w:trPr>
        <w:tc>
          <w:tcPr>
            <w:tcW w:w="149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PCK rats (n = 6)</w:t>
            </w:r>
          </w:p>
        </w:tc>
        <w:tc>
          <w:tcPr>
            <w:tcW w:w="874" w:type="pct"/>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0,063</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13,174</w:t>
            </w:r>
          </w:p>
        </w:tc>
        <w:tc>
          <w:tcPr>
            <w:tcW w:w="9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3,550</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0,029</w:t>
            </w:r>
          </w:p>
        </w:tc>
      </w:tr>
      <w:tr w:rsidR="001275A9" w:rsidRPr="002421F1" w:rsidTr="00997DA9">
        <w:trPr>
          <w:trHeight w:val="20"/>
        </w:trPr>
        <w:tc>
          <w:tcPr>
            <w:tcW w:w="149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Renal cortical tissue samples (n = 3)</w:t>
            </w:r>
          </w:p>
        </w:tc>
        <w:tc>
          <w:tcPr>
            <w:tcW w:w="874" w:type="pct"/>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0,050</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0,678</w:t>
            </w:r>
          </w:p>
        </w:tc>
        <w:tc>
          <w:tcPr>
            <w:tcW w:w="9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0,830</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0,228</w:t>
            </w:r>
          </w:p>
        </w:tc>
      </w:tr>
      <w:tr w:rsidR="001275A9" w:rsidRPr="002421F1" w:rsidTr="00997DA9">
        <w:trPr>
          <w:trHeight w:val="20"/>
        </w:trPr>
        <w:tc>
          <w:tcPr>
            <w:tcW w:w="149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Minimally cystic</w:t>
            </w:r>
            <w:r w:rsidRPr="002421F1">
              <w:rPr>
                <w:sz w:val="24"/>
                <w:szCs w:val="24"/>
              </w:rPr>
              <w:br/>
              <w:t xml:space="preserve">renal tissue </w:t>
            </w:r>
          </w:p>
          <w:p w:rsidR="001275A9" w:rsidRPr="002421F1" w:rsidRDefault="001275A9" w:rsidP="001275A9">
            <w:pPr>
              <w:spacing w:after="0" w:line="240" w:lineRule="auto"/>
              <w:jc w:val="center"/>
              <w:rPr>
                <w:sz w:val="24"/>
                <w:szCs w:val="24"/>
              </w:rPr>
            </w:pPr>
            <w:r w:rsidRPr="002421F1">
              <w:rPr>
                <w:sz w:val="24"/>
                <w:szCs w:val="24"/>
              </w:rPr>
              <w:t>samples (n = 5)</w:t>
            </w:r>
          </w:p>
        </w:tc>
        <w:tc>
          <w:tcPr>
            <w:tcW w:w="874" w:type="pct"/>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0,053</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0,953</w:t>
            </w:r>
          </w:p>
        </w:tc>
        <w:tc>
          <w:tcPr>
            <w:tcW w:w="9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0,953</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0,264</w:t>
            </w:r>
          </w:p>
        </w:tc>
      </w:tr>
      <w:tr w:rsidR="001275A9" w:rsidRPr="002421F1" w:rsidTr="00997DA9">
        <w:trPr>
          <w:trHeight w:val="20"/>
        </w:trPr>
        <w:tc>
          <w:tcPr>
            <w:tcW w:w="149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275A9" w:rsidRPr="002421F1" w:rsidRDefault="001275A9" w:rsidP="001275A9">
            <w:pPr>
              <w:spacing w:after="0" w:line="240" w:lineRule="auto"/>
              <w:jc w:val="center"/>
              <w:rPr>
                <w:sz w:val="24"/>
                <w:szCs w:val="24"/>
              </w:rPr>
            </w:pPr>
            <w:r w:rsidRPr="002421F1">
              <w:rPr>
                <w:sz w:val="24"/>
                <w:szCs w:val="24"/>
              </w:rPr>
              <w:t>Cystic renal tissue samples (n = 13)</w:t>
            </w:r>
          </w:p>
        </w:tc>
        <w:tc>
          <w:tcPr>
            <w:tcW w:w="87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0,053</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1,320</w:t>
            </w:r>
          </w:p>
        </w:tc>
        <w:tc>
          <w:tcPr>
            <w:tcW w:w="9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1,223</w:t>
            </w:r>
          </w:p>
        </w:tc>
        <w:tc>
          <w:tcPr>
            <w:tcW w:w="8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275A9" w:rsidRPr="002421F1" w:rsidRDefault="001275A9" w:rsidP="001275A9">
            <w:pPr>
              <w:spacing w:after="0" w:line="240" w:lineRule="auto"/>
              <w:jc w:val="center"/>
              <w:rPr>
                <w:sz w:val="24"/>
                <w:szCs w:val="24"/>
              </w:rPr>
            </w:pPr>
            <w:r w:rsidRPr="002421F1">
              <w:rPr>
                <w:sz w:val="24"/>
                <w:szCs w:val="24"/>
              </w:rPr>
              <w:t>0,475</w:t>
            </w:r>
          </w:p>
        </w:tc>
      </w:tr>
    </w:tbl>
    <w:p w:rsidR="00900DF1" w:rsidRPr="002421F1" w:rsidRDefault="00900DF1"/>
    <w:p w:rsidR="00900DF1" w:rsidRPr="002421F1" w:rsidRDefault="00900DF1"/>
    <w:p w:rsidR="00900DF1" w:rsidRPr="002421F1" w:rsidRDefault="00900DF1"/>
    <w:p w:rsidR="00900DF1" w:rsidRPr="002421F1" w:rsidRDefault="00900DF1"/>
    <w:p w:rsidR="00997DA9" w:rsidRDefault="00997DA9" w:rsidP="00997DA9">
      <w:pPr>
        <w:rPr>
          <w:b/>
          <w:bCs/>
          <w:sz w:val="24"/>
        </w:rPr>
      </w:pPr>
    </w:p>
    <w:p w:rsidR="001275A9" w:rsidRPr="002421F1" w:rsidRDefault="001275A9" w:rsidP="00997DA9">
      <w:pPr>
        <w:rPr>
          <w:b/>
          <w:bCs/>
          <w:sz w:val="24"/>
        </w:rPr>
      </w:pPr>
      <w:r w:rsidRPr="002421F1">
        <w:rPr>
          <w:b/>
          <w:bCs/>
          <w:sz w:val="24"/>
        </w:rPr>
        <w:lastRenderedPageBreak/>
        <w:t xml:space="preserve">Supplementary Table 3: </w:t>
      </w:r>
      <w:r w:rsidR="002421F1" w:rsidRPr="002421F1">
        <w:rPr>
          <w:b/>
          <w:bCs/>
          <w:sz w:val="24"/>
        </w:rPr>
        <w:t>Housing and husbandry details for animal experiments</w:t>
      </w:r>
    </w:p>
    <w:tbl>
      <w:tblPr>
        <w:tblW w:w="0" w:type="auto"/>
        <w:tblInd w:w="-108" w:type="dxa"/>
        <w:tblBorders>
          <w:top w:val="nil"/>
          <w:left w:val="nil"/>
          <w:bottom w:val="nil"/>
          <w:right w:val="nil"/>
        </w:tblBorders>
        <w:tblLook w:val="0000" w:firstRow="0" w:lastRow="0" w:firstColumn="0" w:lastColumn="0" w:noHBand="0" w:noVBand="0"/>
      </w:tblPr>
      <w:tblGrid>
        <w:gridCol w:w="1304"/>
        <w:gridCol w:w="1304"/>
        <w:gridCol w:w="1304"/>
        <w:gridCol w:w="1304"/>
        <w:gridCol w:w="1304"/>
        <w:gridCol w:w="1304"/>
        <w:gridCol w:w="1304"/>
        <w:gridCol w:w="6"/>
      </w:tblGrid>
      <w:tr w:rsidR="002421F1" w:rsidRPr="002421F1" w:rsidTr="002421F1">
        <w:trPr>
          <w:trHeight w:val="113"/>
        </w:trPr>
        <w:tc>
          <w:tcPr>
            <w:tcW w:w="9134" w:type="dxa"/>
            <w:gridSpan w:val="8"/>
          </w:tcPr>
          <w:tbl>
            <w:tblPr>
              <w:tblStyle w:val="TableGrid"/>
              <w:tblW w:w="5000" w:type="pct"/>
              <w:tblLook w:val="04A0" w:firstRow="1" w:lastRow="0" w:firstColumn="1" w:lastColumn="0" w:noHBand="0" w:noVBand="1"/>
            </w:tblPr>
            <w:tblGrid>
              <w:gridCol w:w="4454"/>
              <w:gridCol w:w="4454"/>
            </w:tblGrid>
            <w:tr w:rsidR="002421F1" w:rsidRPr="002421F1" w:rsidTr="002421F1">
              <w:tc>
                <w:tcPr>
                  <w:tcW w:w="5000" w:type="pct"/>
                  <w:gridSpan w:val="2"/>
                  <w:shd w:val="clear" w:color="auto" w:fill="000000" w:themeFill="text1"/>
                </w:tcPr>
                <w:p w:rsidR="002421F1" w:rsidRPr="002421F1" w:rsidRDefault="002421F1" w:rsidP="002421F1">
                  <w:pPr>
                    <w:pStyle w:val="Default"/>
                    <w:jc w:val="center"/>
                    <w:rPr>
                      <w:b/>
                      <w:color w:val="FFFFFF" w:themeColor="background1"/>
                      <w:lang w:val="en-GB"/>
                    </w:rPr>
                  </w:pPr>
                  <w:r w:rsidRPr="002421F1">
                    <w:rPr>
                      <w:b/>
                      <w:color w:val="FFFFFF" w:themeColor="background1"/>
                      <w:lang w:val="en-GB"/>
                    </w:rPr>
                    <w:t>Housing details</w:t>
                  </w:r>
                </w:p>
              </w:tc>
            </w:tr>
            <w:tr w:rsidR="002421F1" w:rsidRPr="002421F1" w:rsidTr="002421F1">
              <w:tc>
                <w:tcPr>
                  <w:tcW w:w="2500" w:type="pct"/>
                </w:tcPr>
                <w:p w:rsidR="002421F1" w:rsidRPr="00997DA9" w:rsidRDefault="002421F1" w:rsidP="002421F1">
                  <w:pPr>
                    <w:pStyle w:val="Default"/>
                    <w:jc w:val="both"/>
                    <w:rPr>
                      <w:b/>
                      <w:sz w:val="20"/>
                      <w:lang w:val="en-GB"/>
                    </w:rPr>
                  </w:pPr>
                  <w:r w:rsidRPr="00997DA9">
                    <w:rPr>
                      <w:b/>
                      <w:sz w:val="20"/>
                      <w:lang w:val="en-GB"/>
                    </w:rPr>
                    <w:t>Type of facility</w:t>
                  </w:r>
                </w:p>
              </w:tc>
              <w:tc>
                <w:tcPr>
                  <w:tcW w:w="2500" w:type="pct"/>
                </w:tcPr>
                <w:p w:rsidR="002421F1" w:rsidRPr="00997DA9" w:rsidRDefault="002421F1" w:rsidP="002421F1">
                  <w:pPr>
                    <w:pStyle w:val="Default"/>
                    <w:jc w:val="both"/>
                    <w:rPr>
                      <w:sz w:val="20"/>
                      <w:lang w:val="en-GB"/>
                    </w:rPr>
                  </w:pPr>
                  <w:r w:rsidRPr="00997DA9">
                    <w:rPr>
                      <w:sz w:val="20"/>
                      <w:lang w:val="en-GB"/>
                    </w:rPr>
                    <w:t xml:space="preserve">The central animal facility of the LUMC is a multi-barrier facility consisting of six units, including a barrier breeding unit, a transgenic facility and experimental units at biosafety level D1, DMII and DMIII. The Central Animal Facility should be considered as an SPF facility. The 'FELASA recommendations for the health monitoring of mouse, rat, hamster, guinea pig and rabbit colonies in breeding and experimental units' (M. Mähler, M. Berard et al., Lab. Anim. 48(3):178-192, 2014)' is considered as an exclusion list. </w:t>
                  </w:r>
                </w:p>
              </w:tc>
            </w:tr>
            <w:tr w:rsidR="002421F1" w:rsidRPr="002421F1" w:rsidTr="002421F1">
              <w:tc>
                <w:tcPr>
                  <w:tcW w:w="2500" w:type="pct"/>
                </w:tcPr>
                <w:p w:rsidR="002421F1" w:rsidRPr="00997DA9" w:rsidRDefault="002421F1" w:rsidP="002421F1">
                  <w:pPr>
                    <w:pStyle w:val="Default"/>
                    <w:jc w:val="both"/>
                    <w:rPr>
                      <w:b/>
                      <w:sz w:val="20"/>
                      <w:lang w:val="en-GB"/>
                    </w:rPr>
                  </w:pPr>
                  <w:r w:rsidRPr="00997DA9">
                    <w:rPr>
                      <w:b/>
                      <w:sz w:val="20"/>
                      <w:lang w:val="en-GB"/>
                    </w:rPr>
                    <w:t>Type of cage/housing (mice)</w:t>
                  </w:r>
                </w:p>
              </w:tc>
              <w:tc>
                <w:tcPr>
                  <w:tcW w:w="2500" w:type="pct"/>
                </w:tcPr>
                <w:p w:rsidR="002421F1" w:rsidRPr="00997DA9" w:rsidRDefault="002421F1" w:rsidP="002421F1">
                  <w:pPr>
                    <w:pStyle w:val="Default"/>
                    <w:jc w:val="both"/>
                    <w:rPr>
                      <w:sz w:val="20"/>
                      <w:lang w:val="en-GB"/>
                    </w:rPr>
                  </w:pPr>
                  <w:r w:rsidRPr="00997DA9">
                    <w:rPr>
                      <w:sz w:val="20"/>
                      <w:lang w:val="en-GB"/>
                    </w:rPr>
                    <w:t>Sealsafe® PLUS, green line system (Tecniplast S.p.A.). GM500 cage.</w:t>
                  </w:r>
                </w:p>
              </w:tc>
            </w:tr>
            <w:tr w:rsidR="002421F1" w:rsidRPr="002421F1" w:rsidTr="002421F1">
              <w:tc>
                <w:tcPr>
                  <w:tcW w:w="2500" w:type="pct"/>
                </w:tcPr>
                <w:p w:rsidR="002421F1" w:rsidRPr="00997DA9" w:rsidRDefault="002421F1" w:rsidP="002421F1">
                  <w:pPr>
                    <w:pStyle w:val="Default"/>
                    <w:jc w:val="both"/>
                    <w:rPr>
                      <w:b/>
                      <w:sz w:val="20"/>
                      <w:lang w:val="en-GB"/>
                    </w:rPr>
                  </w:pPr>
                  <w:r w:rsidRPr="00997DA9">
                    <w:rPr>
                      <w:b/>
                      <w:sz w:val="20"/>
                      <w:lang w:val="en-GB"/>
                    </w:rPr>
                    <w:t>Type of cage/housing (rats)</w:t>
                  </w:r>
                </w:p>
              </w:tc>
              <w:tc>
                <w:tcPr>
                  <w:tcW w:w="2500" w:type="pct"/>
                </w:tcPr>
                <w:p w:rsidR="002421F1" w:rsidRPr="00997DA9" w:rsidRDefault="002421F1" w:rsidP="002421F1">
                  <w:pPr>
                    <w:pStyle w:val="Default"/>
                    <w:jc w:val="both"/>
                    <w:rPr>
                      <w:sz w:val="20"/>
                      <w:lang w:val="en-GB"/>
                    </w:rPr>
                  </w:pPr>
                  <w:r w:rsidRPr="00997DA9">
                    <w:rPr>
                      <w:sz w:val="20"/>
                      <w:lang w:val="en-GB"/>
                    </w:rPr>
                    <w:t>Sealsafe® IVC, blue line system</w:t>
                  </w:r>
                  <w:r w:rsidR="00997DA9">
                    <w:rPr>
                      <w:sz w:val="20"/>
                      <w:lang w:val="en-GB"/>
                    </w:rPr>
                    <w:t xml:space="preserve"> </w:t>
                  </w:r>
                  <w:r w:rsidRPr="00997DA9">
                    <w:rPr>
                      <w:sz w:val="20"/>
                      <w:lang w:val="en-GB"/>
                    </w:rPr>
                    <w:t>(Tecniplast S.p.A.), 1291H and 1500U.</w:t>
                  </w:r>
                </w:p>
              </w:tc>
            </w:tr>
            <w:tr w:rsidR="002421F1" w:rsidRPr="002421F1" w:rsidTr="002421F1">
              <w:tc>
                <w:tcPr>
                  <w:tcW w:w="2500" w:type="pct"/>
                </w:tcPr>
                <w:p w:rsidR="002421F1" w:rsidRPr="00997DA9" w:rsidRDefault="002421F1" w:rsidP="002421F1">
                  <w:pPr>
                    <w:pStyle w:val="Default"/>
                    <w:jc w:val="both"/>
                    <w:rPr>
                      <w:b/>
                      <w:sz w:val="20"/>
                      <w:lang w:val="en-GB"/>
                    </w:rPr>
                  </w:pPr>
                  <w:r w:rsidRPr="00997DA9">
                    <w:rPr>
                      <w:b/>
                      <w:sz w:val="20"/>
                      <w:lang w:val="en-GB"/>
                    </w:rPr>
                    <w:t>Air ventilation unit/IVC system</w:t>
                  </w:r>
                </w:p>
              </w:tc>
              <w:tc>
                <w:tcPr>
                  <w:tcW w:w="2500" w:type="pct"/>
                </w:tcPr>
                <w:p w:rsidR="002421F1" w:rsidRPr="00997DA9" w:rsidRDefault="002421F1" w:rsidP="002421F1">
                  <w:pPr>
                    <w:pStyle w:val="Default"/>
                    <w:jc w:val="both"/>
                    <w:rPr>
                      <w:sz w:val="20"/>
                      <w:lang w:val="en-GB"/>
                    </w:rPr>
                  </w:pPr>
                  <w:r w:rsidRPr="00997DA9">
                    <w:rPr>
                      <w:sz w:val="20"/>
                      <w:lang w:val="en-GB"/>
                    </w:rPr>
                    <w:t>+ pressured; 75 ACH (Air changes/hour)'</w:t>
                  </w:r>
                </w:p>
                <w:p w:rsidR="002421F1" w:rsidRPr="00997DA9" w:rsidRDefault="002421F1" w:rsidP="002421F1">
                  <w:pPr>
                    <w:pStyle w:val="Default"/>
                    <w:jc w:val="both"/>
                    <w:rPr>
                      <w:sz w:val="20"/>
                      <w:lang w:val="en-GB"/>
                    </w:rPr>
                  </w:pPr>
                  <w:r w:rsidRPr="00997DA9">
                    <w:rPr>
                      <w:sz w:val="20"/>
                      <w:lang w:val="en-GB"/>
                    </w:rPr>
                    <w:t>- pressure; 75 ACH (Air changes/hour) in case of housing animals exposed to toxic compounds</w:t>
                  </w:r>
                </w:p>
              </w:tc>
            </w:tr>
            <w:tr w:rsidR="002421F1" w:rsidRPr="002421F1" w:rsidTr="002421F1">
              <w:tc>
                <w:tcPr>
                  <w:tcW w:w="2500" w:type="pct"/>
                </w:tcPr>
                <w:p w:rsidR="002421F1" w:rsidRPr="00997DA9" w:rsidRDefault="002421F1" w:rsidP="002421F1">
                  <w:pPr>
                    <w:pStyle w:val="Default"/>
                    <w:jc w:val="both"/>
                    <w:rPr>
                      <w:b/>
                      <w:sz w:val="20"/>
                      <w:lang w:val="en-GB"/>
                    </w:rPr>
                  </w:pPr>
                  <w:r w:rsidRPr="00997DA9">
                    <w:rPr>
                      <w:b/>
                      <w:sz w:val="20"/>
                      <w:lang w:val="en-GB"/>
                    </w:rPr>
                    <w:t>Bedding material</w:t>
                  </w:r>
                </w:p>
              </w:tc>
              <w:tc>
                <w:tcPr>
                  <w:tcW w:w="2500" w:type="pct"/>
                </w:tcPr>
                <w:p w:rsidR="002421F1" w:rsidRPr="00997DA9" w:rsidRDefault="002421F1" w:rsidP="002421F1">
                  <w:pPr>
                    <w:pStyle w:val="Default"/>
                    <w:jc w:val="both"/>
                    <w:rPr>
                      <w:sz w:val="20"/>
                      <w:lang w:val="en-GB"/>
                    </w:rPr>
                  </w:pPr>
                  <w:r w:rsidRPr="00997DA9">
                    <w:rPr>
                      <w:sz w:val="20"/>
                      <w:lang w:val="en-GB"/>
                    </w:rPr>
                    <w:t>LIGNOCEL® BK 8-15 (BK-8-15-00433, JRS) Only autoclaved in case of housing rats</w:t>
                  </w:r>
                </w:p>
              </w:tc>
            </w:tr>
            <w:tr w:rsidR="002421F1" w:rsidRPr="002421F1" w:rsidTr="002421F1">
              <w:tc>
                <w:tcPr>
                  <w:tcW w:w="5000" w:type="pct"/>
                  <w:gridSpan w:val="2"/>
                  <w:shd w:val="clear" w:color="auto" w:fill="000000" w:themeFill="text1"/>
                </w:tcPr>
                <w:p w:rsidR="002421F1" w:rsidRPr="002421F1" w:rsidRDefault="002421F1" w:rsidP="002421F1">
                  <w:pPr>
                    <w:pStyle w:val="Default"/>
                    <w:jc w:val="center"/>
                    <w:rPr>
                      <w:b/>
                      <w:color w:val="FFFFFF" w:themeColor="background1"/>
                      <w:lang w:val="en-GB"/>
                    </w:rPr>
                  </w:pPr>
                  <w:r>
                    <w:rPr>
                      <w:b/>
                      <w:color w:val="FFFFFF" w:themeColor="background1"/>
                      <w:lang w:val="en-GB"/>
                    </w:rPr>
                    <w:t>Husbandry details</w:t>
                  </w:r>
                </w:p>
              </w:tc>
            </w:tr>
            <w:tr w:rsidR="002421F1" w:rsidRPr="002421F1" w:rsidTr="002421F1">
              <w:tc>
                <w:tcPr>
                  <w:tcW w:w="2500" w:type="pct"/>
                </w:tcPr>
                <w:p w:rsidR="002421F1" w:rsidRPr="00997DA9" w:rsidRDefault="002421F1" w:rsidP="002421F1">
                  <w:pPr>
                    <w:pStyle w:val="Default"/>
                    <w:jc w:val="both"/>
                    <w:rPr>
                      <w:b/>
                      <w:sz w:val="20"/>
                      <w:lang w:val="en-GB"/>
                    </w:rPr>
                  </w:pPr>
                  <w:r w:rsidRPr="00997DA9">
                    <w:rPr>
                      <w:b/>
                      <w:sz w:val="20"/>
                      <w:lang w:val="en-GB"/>
                    </w:rPr>
                    <w:t>Breeding programme</w:t>
                  </w:r>
                </w:p>
              </w:tc>
              <w:tc>
                <w:tcPr>
                  <w:tcW w:w="2500" w:type="pct"/>
                </w:tcPr>
                <w:p w:rsidR="002421F1" w:rsidRPr="00997DA9" w:rsidRDefault="002421F1" w:rsidP="002421F1">
                  <w:pPr>
                    <w:pStyle w:val="Default"/>
                    <w:jc w:val="both"/>
                    <w:rPr>
                      <w:sz w:val="20"/>
                      <w:lang w:val="en-GB"/>
                    </w:rPr>
                  </w:pPr>
                  <w:r w:rsidRPr="00997DA9">
                    <w:rPr>
                      <w:sz w:val="20"/>
                      <w:lang w:val="en-GB"/>
                    </w:rPr>
                    <w:t>Standard nucleus breeding consists of at least 3 independent breeding pairs. Each pair is allowed to deliver maximum of four litters. Ideally, animals born from the 3rd litter are used to replace the existing breeding couples.</w:t>
                  </w:r>
                </w:p>
              </w:tc>
            </w:tr>
            <w:tr w:rsidR="002421F1" w:rsidRPr="002421F1" w:rsidTr="002421F1">
              <w:tc>
                <w:tcPr>
                  <w:tcW w:w="2500" w:type="pct"/>
                </w:tcPr>
                <w:p w:rsidR="002421F1" w:rsidRPr="00997DA9" w:rsidRDefault="002421F1" w:rsidP="002421F1">
                  <w:pPr>
                    <w:pStyle w:val="Default"/>
                    <w:jc w:val="both"/>
                    <w:rPr>
                      <w:b/>
                      <w:sz w:val="20"/>
                      <w:lang w:val="en-GB"/>
                    </w:rPr>
                  </w:pPr>
                  <w:r w:rsidRPr="00997DA9">
                    <w:rPr>
                      <w:b/>
                      <w:sz w:val="20"/>
                      <w:lang w:val="en-GB"/>
                    </w:rPr>
                    <w:t>Breeding expansion programme</w:t>
                  </w:r>
                </w:p>
              </w:tc>
              <w:tc>
                <w:tcPr>
                  <w:tcW w:w="2500" w:type="pct"/>
                </w:tcPr>
                <w:p w:rsidR="002421F1" w:rsidRPr="00997DA9" w:rsidRDefault="002421F1" w:rsidP="002421F1">
                  <w:pPr>
                    <w:pStyle w:val="Default"/>
                    <w:jc w:val="both"/>
                    <w:rPr>
                      <w:sz w:val="20"/>
                      <w:lang w:val="en-GB"/>
                    </w:rPr>
                  </w:pPr>
                  <w:r w:rsidRPr="00997DA9">
                    <w:rPr>
                      <w:sz w:val="20"/>
                      <w:lang w:val="en-GB"/>
                    </w:rPr>
                    <w:t>Production breeding pairs are kept in breeding until the female has given birth to a maximum of 6 litters (adjusted according to strain specific phenotypes). Litters will be used for expansion or for experiments.</w:t>
                  </w:r>
                </w:p>
              </w:tc>
            </w:tr>
            <w:tr w:rsidR="002421F1" w:rsidRPr="002421F1" w:rsidTr="002421F1">
              <w:tc>
                <w:tcPr>
                  <w:tcW w:w="2500" w:type="pct"/>
                </w:tcPr>
                <w:p w:rsidR="002421F1" w:rsidRPr="00997DA9" w:rsidRDefault="00997DA9" w:rsidP="002421F1">
                  <w:pPr>
                    <w:pStyle w:val="Default"/>
                    <w:jc w:val="both"/>
                    <w:rPr>
                      <w:b/>
                      <w:sz w:val="20"/>
                      <w:lang w:val="en-GB"/>
                    </w:rPr>
                  </w:pPr>
                  <w:r w:rsidRPr="00997DA9">
                    <w:rPr>
                      <w:b/>
                      <w:sz w:val="20"/>
                      <w:lang w:val="en-GB"/>
                    </w:rPr>
                    <w:t>Light/dark cycle</w:t>
                  </w:r>
                </w:p>
              </w:tc>
              <w:tc>
                <w:tcPr>
                  <w:tcW w:w="2500" w:type="pct"/>
                </w:tcPr>
                <w:p w:rsidR="00997DA9" w:rsidRDefault="00997DA9" w:rsidP="002421F1">
                  <w:pPr>
                    <w:pStyle w:val="Default"/>
                    <w:jc w:val="both"/>
                    <w:rPr>
                      <w:sz w:val="20"/>
                      <w:lang w:val="en-GB"/>
                    </w:rPr>
                  </w:pPr>
                  <w:r w:rsidRPr="00997DA9">
                    <w:rPr>
                      <w:sz w:val="20"/>
                      <w:lang w:val="en-GB"/>
                    </w:rPr>
                    <w:t>06:30 – 07:00h sunrise, 07:00 – 18:00h daytime, 18:00 – 18:30h sunset.</w:t>
                  </w:r>
                </w:p>
                <w:p w:rsidR="002421F1" w:rsidRPr="00997DA9" w:rsidRDefault="00997DA9" w:rsidP="002421F1">
                  <w:pPr>
                    <w:pStyle w:val="Default"/>
                    <w:jc w:val="both"/>
                    <w:rPr>
                      <w:sz w:val="20"/>
                      <w:lang w:val="en-GB"/>
                    </w:rPr>
                  </w:pPr>
                  <w:r w:rsidRPr="00997DA9">
                    <w:rPr>
                      <w:sz w:val="20"/>
                      <w:lang w:val="en-GB"/>
                    </w:rPr>
                    <w:t>Light intensity measured on top of the IVC racks: 40-80 LUX and 10-30 LUX, measured inside bottom and top cage</w:t>
                  </w:r>
                </w:p>
              </w:tc>
            </w:tr>
            <w:tr w:rsidR="002421F1" w:rsidRPr="002421F1" w:rsidTr="002421F1">
              <w:tc>
                <w:tcPr>
                  <w:tcW w:w="2500" w:type="pct"/>
                </w:tcPr>
                <w:p w:rsidR="002421F1" w:rsidRPr="00997DA9" w:rsidRDefault="00997DA9" w:rsidP="002421F1">
                  <w:pPr>
                    <w:pStyle w:val="Default"/>
                    <w:jc w:val="both"/>
                    <w:rPr>
                      <w:b/>
                      <w:sz w:val="20"/>
                      <w:lang w:val="en-GB"/>
                    </w:rPr>
                  </w:pPr>
                  <w:r w:rsidRPr="00997DA9">
                    <w:rPr>
                      <w:b/>
                      <w:sz w:val="20"/>
                      <w:lang w:val="en-GB"/>
                    </w:rPr>
                    <w:t>Air ventilation rate in holding rooms</w:t>
                  </w:r>
                </w:p>
              </w:tc>
              <w:tc>
                <w:tcPr>
                  <w:tcW w:w="2500" w:type="pct"/>
                </w:tcPr>
                <w:p w:rsidR="002421F1" w:rsidRPr="00997DA9" w:rsidRDefault="00997DA9" w:rsidP="002421F1">
                  <w:pPr>
                    <w:pStyle w:val="Default"/>
                    <w:jc w:val="both"/>
                    <w:rPr>
                      <w:sz w:val="20"/>
                      <w:lang w:val="en-GB"/>
                    </w:rPr>
                  </w:pPr>
                  <w:r w:rsidRPr="00997DA9">
                    <w:rPr>
                      <w:sz w:val="20"/>
                      <w:lang w:val="en-GB"/>
                    </w:rPr>
                    <w:t>15</w:t>
                  </w:r>
                </w:p>
              </w:tc>
            </w:tr>
            <w:tr w:rsidR="002421F1" w:rsidRPr="002421F1" w:rsidTr="002421F1">
              <w:tc>
                <w:tcPr>
                  <w:tcW w:w="2500" w:type="pct"/>
                </w:tcPr>
                <w:p w:rsidR="002421F1" w:rsidRPr="00997DA9" w:rsidRDefault="00997DA9" w:rsidP="002421F1">
                  <w:pPr>
                    <w:pStyle w:val="Default"/>
                    <w:jc w:val="both"/>
                    <w:rPr>
                      <w:b/>
                      <w:sz w:val="20"/>
                      <w:lang w:val="en-GB"/>
                    </w:rPr>
                  </w:pPr>
                  <w:r w:rsidRPr="00997DA9">
                    <w:rPr>
                      <w:b/>
                      <w:sz w:val="20"/>
                      <w:lang w:val="en-GB"/>
                    </w:rPr>
                    <w:t>Animal holding room temperature</w:t>
                  </w:r>
                </w:p>
              </w:tc>
              <w:tc>
                <w:tcPr>
                  <w:tcW w:w="2500" w:type="pct"/>
                </w:tcPr>
                <w:p w:rsidR="002421F1" w:rsidRPr="00997DA9" w:rsidRDefault="00997DA9" w:rsidP="002421F1">
                  <w:pPr>
                    <w:pStyle w:val="Default"/>
                    <w:jc w:val="both"/>
                    <w:rPr>
                      <w:sz w:val="20"/>
                      <w:lang w:val="en-GB"/>
                    </w:rPr>
                  </w:pPr>
                  <w:r w:rsidRPr="00997DA9">
                    <w:rPr>
                      <w:sz w:val="20"/>
                      <w:lang w:val="en-GB"/>
                    </w:rPr>
                    <w:t>20 °C – 22 °C</w:t>
                  </w:r>
                </w:p>
              </w:tc>
            </w:tr>
            <w:tr w:rsidR="002421F1" w:rsidRPr="002421F1" w:rsidTr="002421F1">
              <w:tc>
                <w:tcPr>
                  <w:tcW w:w="2500" w:type="pct"/>
                </w:tcPr>
                <w:p w:rsidR="002421F1" w:rsidRPr="00997DA9" w:rsidRDefault="00997DA9" w:rsidP="002421F1">
                  <w:pPr>
                    <w:pStyle w:val="Default"/>
                    <w:jc w:val="both"/>
                    <w:rPr>
                      <w:b/>
                      <w:sz w:val="20"/>
                      <w:lang w:val="en-GB"/>
                    </w:rPr>
                  </w:pPr>
                  <w:r w:rsidRPr="00997DA9">
                    <w:rPr>
                      <w:b/>
                      <w:sz w:val="20"/>
                      <w:lang w:val="en-GB"/>
                    </w:rPr>
                    <w:t>Quality of water</w:t>
                  </w:r>
                </w:p>
              </w:tc>
              <w:tc>
                <w:tcPr>
                  <w:tcW w:w="2500" w:type="pct"/>
                </w:tcPr>
                <w:p w:rsidR="002421F1" w:rsidRPr="00997DA9" w:rsidRDefault="00997DA9" w:rsidP="002421F1">
                  <w:pPr>
                    <w:pStyle w:val="Default"/>
                    <w:jc w:val="both"/>
                    <w:rPr>
                      <w:sz w:val="20"/>
                      <w:lang w:val="en-GB"/>
                    </w:rPr>
                  </w:pPr>
                  <w:r w:rsidRPr="00997DA9">
                    <w:rPr>
                      <w:sz w:val="20"/>
                      <w:lang w:val="en-GB"/>
                    </w:rPr>
                    <w:t>Bottled tap water, provided in plastic drinking bottles (Tecniplast S.p.A.). Drinking bottles are refreshed weekly.</w:t>
                  </w:r>
                </w:p>
              </w:tc>
            </w:tr>
            <w:tr w:rsidR="00997DA9" w:rsidRPr="002421F1" w:rsidTr="002421F1">
              <w:tc>
                <w:tcPr>
                  <w:tcW w:w="2500" w:type="pct"/>
                </w:tcPr>
                <w:p w:rsidR="00997DA9" w:rsidRPr="00997DA9" w:rsidRDefault="00997DA9" w:rsidP="002421F1">
                  <w:pPr>
                    <w:pStyle w:val="Default"/>
                    <w:jc w:val="both"/>
                    <w:rPr>
                      <w:b/>
                      <w:sz w:val="20"/>
                      <w:lang w:val="en-GB"/>
                    </w:rPr>
                  </w:pPr>
                  <w:r w:rsidRPr="00997DA9">
                    <w:rPr>
                      <w:b/>
                      <w:sz w:val="20"/>
                      <w:lang w:val="en-GB"/>
                    </w:rPr>
                    <w:t>Type of food</w:t>
                  </w:r>
                </w:p>
              </w:tc>
              <w:tc>
                <w:tcPr>
                  <w:tcW w:w="2500" w:type="pct"/>
                </w:tcPr>
                <w:p w:rsidR="00997DA9" w:rsidRPr="00997DA9" w:rsidRDefault="00997DA9" w:rsidP="002421F1">
                  <w:pPr>
                    <w:pStyle w:val="Default"/>
                    <w:jc w:val="both"/>
                    <w:rPr>
                      <w:sz w:val="20"/>
                      <w:lang w:val="en-GB"/>
                    </w:rPr>
                  </w:pPr>
                  <w:r w:rsidRPr="00997DA9">
                    <w:rPr>
                      <w:sz w:val="20"/>
                      <w:lang w:val="en-GB"/>
                    </w:rPr>
                    <w:t>RM3 diet, pelleted, irradiated 9kGy (801203, SDS diets). Treatment groups received similarly prepared food pellets supplemented with drugs (see Material &amp; Methods)</w:t>
                  </w:r>
                </w:p>
              </w:tc>
            </w:tr>
            <w:tr w:rsidR="00997DA9" w:rsidRPr="002421F1" w:rsidTr="002421F1">
              <w:tc>
                <w:tcPr>
                  <w:tcW w:w="2500" w:type="pct"/>
                </w:tcPr>
                <w:p w:rsidR="00997DA9" w:rsidRPr="00997DA9" w:rsidRDefault="00997DA9" w:rsidP="002421F1">
                  <w:pPr>
                    <w:pStyle w:val="Default"/>
                    <w:jc w:val="both"/>
                    <w:rPr>
                      <w:b/>
                      <w:sz w:val="20"/>
                      <w:lang w:val="en-GB"/>
                    </w:rPr>
                  </w:pPr>
                  <w:r w:rsidRPr="00997DA9">
                    <w:rPr>
                      <w:b/>
                      <w:sz w:val="20"/>
                      <w:lang w:val="en-GB"/>
                    </w:rPr>
                    <w:t>Access to food and water</w:t>
                  </w:r>
                </w:p>
              </w:tc>
              <w:tc>
                <w:tcPr>
                  <w:tcW w:w="2500" w:type="pct"/>
                </w:tcPr>
                <w:p w:rsidR="00997DA9" w:rsidRPr="00997DA9" w:rsidRDefault="00997DA9" w:rsidP="002421F1">
                  <w:pPr>
                    <w:pStyle w:val="Default"/>
                    <w:jc w:val="both"/>
                    <w:rPr>
                      <w:sz w:val="20"/>
                      <w:lang w:val="en-GB"/>
                    </w:rPr>
                  </w:pPr>
                  <w:r w:rsidRPr="00997DA9">
                    <w:rPr>
                      <w:sz w:val="20"/>
                      <w:lang w:val="en-GB"/>
                    </w:rPr>
                    <w:t>Ad libitum</w:t>
                  </w:r>
                </w:p>
              </w:tc>
            </w:tr>
            <w:tr w:rsidR="00997DA9" w:rsidRPr="002421F1" w:rsidTr="002421F1">
              <w:tc>
                <w:tcPr>
                  <w:tcW w:w="2500" w:type="pct"/>
                </w:tcPr>
                <w:p w:rsidR="00997DA9" w:rsidRPr="00997DA9" w:rsidRDefault="00997DA9" w:rsidP="002421F1">
                  <w:pPr>
                    <w:pStyle w:val="Default"/>
                    <w:jc w:val="both"/>
                    <w:rPr>
                      <w:b/>
                      <w:sz w:val="20"/>
                      <w:lang w:val="en-GB"/>
                    </w:rPr>
                  </w:pPr>
                  <w:r w:rsidRPr="00997DA9">
                    <w:rPr>
                      <w:b/>
                      <w:sz w:val="20"/>
                      <w:lang w:val="en-GB"/>
                    </w:rPr>
                    <w:t>Environmental enrichment</w:t>
                  </w:r>
                </w:p>
              </w:tc>
              <w:tc>
                <w:tcPr>
                  <w:tcW w:w="2500" w:type="pct"/>
                </w:tcPr>
                <w:p w:rsidR="00997DA9" w:rsidRPr="00997DA9" w:rsidRDefault="00997DA9" w:rsidP="00997DA9">
                  <w:pPr>
                    <w:pStyle w:val="Default"/>
                    <w:numPr>
                      <w:ilvl w:val="0"/>
                      <w:numId w:val="2"/>
                    </w:numPr>
                    <w:ind w:left="261" w:hanging="261"/>
                    <w:jc w:val="both"/>
                    <w:rPr>
                      <w:sz w:val="20"/>
                      <w:lang w:val="en-GB"/>
                    </w:rPr>
                  </w:pPr>
                  <w:r w:rsidRPr="00997DA9">
                    <w:rPr>
                      <w:sz w:val="20"/>
                      <w:lang w:val="en-GB"/>
                    </w:rPr>
                    <w:t>Bed-r’Nest® (BRN8SR, The Andersons), irradiated 15kGy</w:t>
                  </w:r>
                </w:p>
                <w:p w:rsidR="00997DA9" w:rsidRPr="00997DA9" w:rsidRDefault="00997DA9" w:rsidP="00997DA9">
                  <w:pPr>
                    <w:pStyle w:val="Default"/>
                    <w:numPr>
                      <w:ilvl w:val="0"/>
                      <w:numId w:val="2"/>
                    </w:numPr>
                    <w:ind w:left="261" w:hanging="261"/>
                    <w:jc w:val="both"/>
                    <w:rPr>
                      <w:sz w:val="20"/>
                      <w:lang w:val="en-GB"/>
                    </w:rPr>
                  </w:pPr>
                  <w:r w:rsidRPr="00997DA9">
                    <w:rPr>
                      <w:sz w:val="20"/>
                      <w:lang w:val="en-GB"/>
                    </w:rPr>
                    <w:t xml:space="preserve">GLP fun tunnels (mini 1022006, LBS Biotech). </w:t>
                  </w:r>
                </w:p>
                <w:p w:rsidR="00997DA9" w:rsidRPr="00997DA9" w:rsidRDefault="00997DA9" w:rsidP="00997DA9">
                  <w:pPr>
                    <w:pStyle w:val="Default"/>
                    <w:numPr>
                      <w:ilvl w:val="0"/>
                      <w:numId w:val="1"/>
                    </w:numPr>
                    <w:ind w:left="261" w:hanging="261"/>
                    <w:jc w:val="both"/>
                    <w:rPr>
                      <w:sz w:val="20"/>
                      <w:lang w:val="en-GB"/>
                    </w:rPr>
                  </w:pPr>
                  <w:r w:rsidRPr="00997DA9">
                    <w:rPr>
                      <w:sz w:val="20"/>
                      <w:lang w:val="en-GB"/>
                    </w:rPr>
                    <w:t xml:space="preserve">Gnawing sticks (NGS E-021, Abedd). </w:t>
                  </w:r>
                </w:p>
              </w:tc>
            </w:tr>
          </w:tbl>
          <w:p w:rsidR="002421F1" w:rsidRPr="002421F1" w:rsidRDefault="002421F1">
            <w:pPr>
              <w:pStyle w:val="Default"/>
              <w:rPr>
                <w:sz w:val="22"/>
                <w:szCs w:val="22"/>
                <w:lang w:val="en-GB"/>
              </w:rPr>
            </w:pPr>
          </w:p>
        </w:tc>
      </w:tr>
      <w:tr w:rsidR="002421F1" w:rsidRPr="002421F1" w:rsidTr="002421F1">
        <w:trPr>
          <w:gridAfter w:val="1"/>
          <w:wAfter w:w="6" w:type="dxa"/>
          <w:trHeight w:val="140"/>
        </w:trPr>
        <w:tc>
          <w:tcPr>
            <w:tcW w:w="1304" w:type="dxa"/>
          </w:tcPr>
          <w:p w:rsidR="002421F1" w:rsidRPr="002421F1" w:rsidRDefault="002421F1">
            <w:pPr>
              <w:pStyle w:val="Default"/>
              <w:rPr>
                <w:rFonts w:ascii="Arial" w:hAnsi="Arial" w:cs="Arial"/>
                <w:sz w:val="12"/>
                <w:szCs w:val="12"/>
                <w:lang w:val="en-GB"/>
              </w:rPr>
            </w:pPr>
          </w:p>
        </w:tc>
        <w:tc>
          <w:tcPr>
            <w:tcW w:w="1304" w:type="dxa"/>
          </w:tcPr>
          <w:p w:rsidR="002421F1" w:rsidRPr="002421F1" w:rsidRDefault="002421F1">
            <w:pPr>
              <w:pStyle w:val="Default"/>
              <w:rPr>
                <w:rFonts w:ascii="Arial" w:hAnsi="Arial" w:cs="Arial"/>
                <w:sz w:val="12"/>
                <w:szCs w:val="12"/>
                <w:lang w:val="en-GB"/>
              </w:rPr>
            </w:pPr>
          </w:p>
        </w:tc>
        <w:tc>
          <w:tcPr>
            <w:tcW w:w="1304" w:type="dxa"/>
          </w:tcPr>
          <w:p w:rsidR="002421F1" w:rsidRPr="002421F1" w:rsidRDefault="002421F1">
            <w:pPr>
              <w:pStyle w:val="Default"/>
              <w:rPr>
                <w:rFonts w:ascii="Arial" w:hAnsi="Arial" w:cs="Arial"/>
                <w:sz w:val="12"/>
                <w:szCs w:val="12"/>
                <w:lang w:val="en-GB"/>
              </w:rPr>
            </w:pPr>
          </w:p>
        </w:tc>
        <w:tc>
          <w:tcPr>
            <w:tcW w:w="1304" w:type="dxa"/>
          </w:tcPr>
          <w:p w:rsidR="002421F1" w:rsidRPr="002421F1" w:rsidRDefault="002421F1">
            <w:pPr>
              <w:pStyle w:val="Default"/>
              <w:rPr>
                <w:rFonts w:ascii="Arial" w:hAnsi="Arial" w:cs="Arial"/>
                <w:sz w:val="12"/>
                <w:szCs w:val="12"/>
                <w:lang w:val="en-GB"/>
              </w:rPr>
            </w:pPr>
          </w:p>
        </w:tc>
        <w:tc>
          <w:tcPr>
            <w:tcW w:w="1304" w:type="dxa"/>
          </w:tcPr>
          <w:p w:rsidR="002421F1" w:rsidRPr="002421F1" w:rsidRDefault="002421F1">
            <w:pPr>
              <w:pStyle w:val="Default"/>
              <w:rPr>
                <w:rFonts w:ascii="Arial" w:hAnsi="Arial" w:cs="Arial"/>
                <w:sz w:val="12"/>
                <w:szCs w:val="12"/>
                <w:lang w:val="en-GB"/>
              </w:rPr>
            </w:pPr>
          </w:p>
        </w:tc>
        <w:tc>
          <w:tcPr>
            <w:tcW w:w="1304" w:type="dxa"/>
          </w:tcPr>
          <w:p w:rsidR="002421F1" w:rsidRPr="002421F1" w:rsidRDefault="002421F1">
            <w:pPr>
              <w:pStyle w:val="Default"/>
              <w:rPr>
                <w:rFonts w:ascii="Arial" w:hAnsi="Arial" w:cs="Arial"/>
                <w:sz w:val="12"/>
                <w:szCs w:val="12"/>
                <w:lang w:val="en-GB"/>
              </w:rPr>
            </w:pPr>
          </w:p>
        </w:tc>
        <w:tc>
          <w:tcPr>
            <w:tcW w:w="1304" w:type="dxa"/>
          </w:tcPr>
          <w:p w:rsidR="002421F1" w:rsidRPr="002421F1" w:rsidRDefault="002421F1">
            <w:pPr>
              <w:pStyle w:val="Default"/>
              <w:rPr>
                <w:rFonts w:ascii="Arial" w:hAnsi="Arial" w:cs="Arial"/>
                <w:sz w:val="12"/>
                <w:szCs w:val="12"/>
                <w:lang w:val="en-GB"/>
              </w:rPr>
            </w:pPr>
          </w:p>
        </w:tc>
      </w:tr>
      <w:tr w:rsidR="002421F1" w:rsidRPr="002421F1" w:rsidTr="002421F1">
        <w:trPr>
          <w:trHeight w:val="59"/>
        </w:trPr>
        <w:tc>
          <w:tcPr>
            <w:tcW w:w="9134" w:type="dxa"/>
            <w:gridSpan w:val="8"/>
          </w:tcPr>
          <w:p w:rsidR="002421F1" w:rsidRPr="002421F1" w:rsidRDefault="002421F1">
            <w:pPr>
              <w:pStyle w:val="Default"/>
              <w:rPr>
                <w:rFonts w:ascii="Arial" w:hAnsi="Arial" w:cs="Arial"/>
                <w:sz w:val="12"/>
                <w:szCs w:val="12"/>
                <w:lang w:val="en-GB"/>
              </w:rPr>
            </w:pPr>
          </w:p>
        </w:tc>
      </w:tr>
      <w:tr w:rsidR="002421F1" w:rsidRPr="002421F1" w:rsidTr="002421F1">
        <w:trPr>
          <w:trHeight w:val="59"/>
        </w:trPr>
        <w:tc>
          <w:tcPr>
            <w:tcW w:w="9134" w:type="dxa"/>
            <w:gridSpan w:val="8"/>
          </w:tcPr>
          <w:p w:rsidR="002421F1" w:rsidRPr="002421F1" w:rsidRDefault="002421F1">
            <w:pPr>
              <w:pStyle w:val="Default"/>
              <w:rPr>
                <w:rFonts w:ascii="Arial" w:hAnsi="Arial" w:cs="Arial"/>
                <w:sz w:val="12"/>
                <w:szCs w:val="12"/>
                <w:lang w:val="en-GB"/>
              </w:rPr>
            </w:pPr>
          </w:p>
        </w:tc>
      </w:tr>
    </w:tbl>
    <w:p w:rsidR="00997DA9" w:rsidRDefault="00997DA9" w:rsidP="002421F1">
      <w:pPr>
        <w:rPr>
          <w:b/>
          <w:bCs/>
          <w:sz w:val="24"/>
        </w:rPr>
      </w:pPr>
    </w:p>
    <w:p w:rsidR="002421F1" w:rsidRPr="002421F1" w:rsidRDefault="002421F1" w:rsidP="002421F1">
      <w:pPr>
        <w:rPr>
          <w:sz w:val="24"/>
        </w:rPr>
      </w:pPr>
      <w:r w:rsidRPr="002421F1">
        <w:rPr>
          <w:b/>
          <w:bCs/>
          <w:sz w:val="24"/>
        </w:rPr>
        <w:lastRenderedPageBreak/>
        <w:t>Supplementary Table 4: Primer sequences used for described qPCR experiments</w:t>
      </w:r>
    </w:p>
    <w:tbl>
      <w:tblPr>
        <w:tblW w:w="5000" w:type="pct"/>
        <w:tblCellMar>
          <w:left w:w="0" w:type="dxa"/>
          <w:right w:w="0" w:type="dxa"/>
        </w:tblCellMar>
        <w:tblLook w:val="0420" w:firstRow="1" w:lastRow="0" w:firstColumn="0" w:lastColumn="0" w:noHBand="0" w:noVBand="1"/>
      </w:tblPr>
      <w:tblGrid>
        <w:gridCol w:w="1563"/>
        <w:gridCol w:w="3797"/>
        <w:gridCol w:w="3646"/>
      </w:tblGrid>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FFFFFF"/>
            </w:tcBorders>
            <w:shd w:val="clear" w:color="auto" w:fill="000000"/>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sz w:val="24"/>
              </w:rPr>
              <w:t>Gene name</w:t>
            </w:r>
          </w:p>
        </w:tc>
        <w:tc>
          <w:tcPr>
            <w:tcW w:w="2108" w:type="pct"/>
            <w:tcBorders>
              <w:top w:val="single" w:sz="8" w:space="0" w:color="000000"/>
              <w:left w:val="single" w:sz="8" w:space="0" w:color="FFFFFF"/>
              <w:bottom w:val="single" w:sz="8" w:space="0" w:color="000000"/>
              <w:right w:val="single" w:sz="8" w:space="0" w:color="FFFFFF"/>
            </w:tcBorders>
            <w:shd w:val="clear" w:color="auto" w:fill="000000"/>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sz w:val="24"/>
              </w:rPr>
              <w:t>Forward primer sequence</w:t>
            </w:r>
          </w:p>
        </w:tc>
        <w:tc>
          <w:tcPr>
            <w:tcW w:w="2024" w:type="pct"/>
            <w:tcBorders>
              <w:top w:val="single" w:sz="8" w:space="0" w:color="000000"/>
              <w:left w:val="single" w:sz="8" w:space="0" w:color="FFFFFF"/>
              <w:bottom w:val="single" w:sz="8" w:space="0" w:color="000000"/>
              <w:right w:val="single" w:sz="8" w:space="0" w:color="FFFFFF"/>
            </w:tcBorders>
            <w:shd w:val="clear" w:color="auto" w:fill="000000"/>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sz w:val="24"/>
              </w:rPr>
              <w:t>Reverse primer sequence</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Acox1</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CCGCCACCTTCAATCCAGAG</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CAAGTTCTCGATTTCTCGACGG</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Cd36</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ATGGGCTGTGATCGGAACTG</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TTTGCCACGTCATCTGGGTTT</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Cisd1</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TAGAATGGCACCCAACCCAC</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GGCCGATGCCATGGATATGA</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Col1a1</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TGACTGGAAGAGCGGAGAGT</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AGACGGCTGAGTAGGGAACA</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Cpt1a</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CACCAGTGATGATGCCATTCT</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CTCCGCCTGAGCCATGAAG</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Fn1</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AATCCAGTCCACAGCCATTCC</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CCTGTCTTCTCTTTCGGGTTCA</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Hprt</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caps/>
                <w:sz w:val="24"/>
              </w:rPr>
            </w:pPr>
            <w:r w:rsidRPr="002421F1">
              <w:rPr>
                <w:caps/>
                <w:sz w:val="24"/>
              </w:rPr>
              <w:t>ggctataagttctttgctgacctg</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caps/>
                <w:sz w:val="24"/>
              </w:rPr>
            </w:pPr>
            <w:r w:rsidRPr="002421F1">
              <w:rPr>
                <w:caps/>
                <w:sz w:val="24"/>
              </w:rPr>
              <w:t>aacttttatgtcccccgttga</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Ndufa9</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GGACAAGGTGGAGCGGATAC</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GACAGCCATCGGTAGGTACG</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Pai1</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GCCAACAAGAGCCAATCAC</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ACCCTTTCCCAGAGACCAG</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Ppara</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CCTCAAAGTCTGAGCGGTCT</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CTAACCTTGGGCCACACCT</w:t>
            </w:r>
          </w:p>
        </w:tc>
      </w:tr>
      <w:tr w:rsidR="002421F1" w:rsidRPr="002421F1" w:rsidTr="00997DA9">
        <w:trPr>
          <w:trHeight w:val="283"/>
        </w:trPr>
        <w:tc>
          <w:tcPr>
            <w:tcW w:w="8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b/>
                <w:bCs/>
                <w:i/>
                <w:iCs/>
                <w:sz w:val="24"/>
              </w:rPr>
              <w:t>Pparg</w:t>
            </w:r>
          </w:p>
        </w:tc>
        <w:tc>
          <w:tcPr>
            <w:tcW w:w="21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GACCGAGTGTGACGACAAGATT</w:t>
            </w:r>
          </w:p>
        </w:tc>
        <w:tc>
          <w:tcPr>
            <w:tcW w:w="202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421F1" w:rsidRPr="002421F1" w:rsidRDefault="002421F1" w:rsidP="00997DA9">
            <w:pPr>
              <w:spacing w:after="0" w:line="240" w:lineRule="auto"/>
              <w:jc w:val="center"/>
              <w:rPr>
                <w:sz w:val="24"/>
              </w:rPr>
            </w:pPr>
            <w:r w:rsidRPr="002421F1">
              <w:rPr>
                <w:sz w:val="24"/>
              </w:rPr>
              <w:t>AGAGCTGATTCCGAAGTTGGTG</w:t>
            </w:r>
          </w:p>
        </w:tc>
      </w:tr>
    </w:tbl>
    <w:p w:rsidR="002421F1" w:rsidRPr="002421F1" w:rsidRDefault="002421F1"/>
    <w:p w:rsidR="00900DF1" w:rsidRPr="002421F1" w:rsidRDefault="00900DF1"/>
    <w:p w:rsidR="00900DF1" w:rsidRPr="002421F1" w:rsidRDefault="00900DF1"/>
    <w:p w:rsidR="00900DF1" w:rsidRPr="002421F1" w:rsidRDefault="00900DF1"/>
    <w:p w:rsidR="00900DF1" w:rsidRPr="002421F1" w:rsidRDefault="00900DF1"/>
    <w:p w:rsidR="00900DF1" w:rsidRPr="002421F1" w:rsidRDefault="00900DF1"/>
    <w:p w:rsidR="00900DF1" w:rsidRPr="002421F1" w:rsidRDefault="00900DF1"/>
    <w:p w:rsidR="00900DF1" w:rsidRPr="002421F1" w:rsidRDefault="00900DF1"/>
    <w:sectPr w:rsidR="00900DF1" w:rsidRPr="002421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4377"/>
    <w:multiLevelType w:val="hybridMultilevel"/>
    <w:tmpl w:val="D08C3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8D2C7C"/>
    <w:multiLevelType w:val="hybridMultilevel"/>
    <w:tmpl w:val="368CEE18"/>
    <w:lvl w:ilvl="0" w:tplc="A5902FCE">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F1"/>
    <w:rsid w:val="001275A9"/>
    <w:rsid w:val="00187A5C"/>
    <w:rsid w:val="002421F1"/>
    <w:rsid w:val="00607D69"/>
    <w:rsid w:val="00650937"/>
    <w:rsid w:val="006623EC"/>
    <w:rsid w:val="0069003A"/>
    <w:rsid w:val="00822CDB"/>
    <w:rsid w:val="00900DF1"/>
    <w:rsid w:val="009746DE"/>
    <w:rsid w:val="00997DA9"/>
    <w:rsid w:val="00B03424"/>
    <w:rsid w:val="00B75972"/>
    <w:rsid w:val="00C32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97DED"/>
  <w15:chartTrackingRefBased/>
  <w15:docId w15:val="{E52EF135-4196-43E7-ABE2-7C363728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DF1"/>
    <w:pPr>
      <w:spacing w:before="100" w:beforeAutospacing="1" w:after="100" w:afterAutospacing="1" w:line="240" w:lineRule="auto"/>
    </w:pPr>
    <w:rPr>
      <w:rFonts w:ascii="Times New Roman" w:eastAsiaTheme="minorEastAsia" w:hAnsi="Times New Roman" w:cs="Times New Roman"/>
      <w:sz w:val="24"/>
      <w:szCs w:val="24"/>
      <w:lang w:val="nl-NL" w:eastAsia="nl-NL"/>
    </w:rPr>
  </w:style>
  <w:style w:type="table" w:styleId="TableGrid">
    <w:name w:val="Table Grid"/>
    <w:basedOn w:val="TableNormal"/>
    <w:uiPriority w:val="59"/>
    <w:rsid w:val="00900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5972"/>
    <w:rPr>
      <w:color w:val="0000FF" w:themeColor="hyperlink"/>
      <w:u w:val="single"/>
    </w:rPr>
  </w:style>
  <w:style w:type="paragraph" w:customStyle="1" w:styleId="Default">
    <w:name w:val="Default"/>
    <w:rsid w:val="002421F1"/>
    <w:pPr>
      <w:autoSpaceDE w:val="0"/>
      <w:autoSpaceDN w:val="0"/>
      <w:adjustRightInd w:val="0"/>
      <w:spacing w:after="0" w:line="240" w:lineRule="auto"/>
    </w:pPr>
    <w:rPr>
      <w:rFonts w:ascii="Calibri" w:hAnsi="Calibri" w:cs="Calibri"/>
      <w:color w:val="000000"/>
      <w:sz w:val="24"/>
      <w:szCs w:val="24"/>
      <w:lang w:val="nl-NL"/>
    </w:rPr>
  </w:style>
  <w:style w:type="paragraph" w:styleId="BalloonText">
    <w:name w:val="Balloon Text"/>
    <w:basedOn w:val="Normal"/>
    <w:link w:val="BalloonTextChar"/>
    <w:uiPriority w:val="99"/>
    <w:semiHidden/>
    <w:unhideWhenUsed/>
    <w:rsid w:val="00242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1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039">
      <w:bodyDiv w:val="1"/>
      <w:marLeft w:val="0"/>
      <w:marRight w:val="0"/>
      <w:marTop w:val="0"/>
      <w:marBottom w:val="0"/>
      <w:divBdr>
        <w:top w:val="none" w:sz="0" w:space="0" w:color="auto"/>
        <w:left w:val="none" w:sz="0" w:space="0" w:color="auto"/>
        <w:bottom w:val="none" w:sz="0" w:space="0" w:color="auto"/>
        <w:right w:val="none" w:sz="0" w:space="0" w:color="auto"/>
      </w:divBdr>
    </w:div>
    <w:div w:id="96647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j.m.peters@lumc.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1CB6EDDE</Template>
  <TotalTime>1</TotalTime>
  <Pages>4</Pages>
  <Words>807</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Kanhai, A.A. (HG)</dc:creator>
  <cp:keywords/>
  <dc:description/>
  <cp:lastModifiedBy>Kanhai, A.A. (HG)</cp:lastModifiedBy>
  <cp:revision>4</cp:revision>
  <dcterms:created xsi:type="dcterms:W3CDTF">2019-12-12T14:44:00Z</dcterms:created>
  <dcterms:modified xsi:type="dcterms:W3CDTF">2019-12-23T16:02:00Z</dcterms:modified>
</cp:coreProperties>
</file>