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24175" cy="8859520"/>
            <wp:effectExtent l="0" t="0" r="9525" b="1778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8859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b/>
          <w:color w:val="000000"/>
        </w:rPr>
        <w:t>Supplementary Figure 1.</w:t>
      </w:r>
      <w:r>
        <w:rPr>
          <w:color w:val="000000"/>
        </w:rPr>
        <w:t xml:space="preserve"> Comparison of 1-year MACE-free or total event-free survival rates between patients with l</w:t>
      </w:r>
      <w:bookmarkStart w:id="2" w:name="_GoBack"/>
      <w:bookmarkEnd w:id="2"/>
      <w:r>
        <w:rPr>
          <w:color w:val="000000"/>
        </w:rPr>
        <w:t xml:space="preserve">ow and high abundance of (A) </w:t>
      </w:r>
      <w:bookmarkStart w:id="0" w:name="_Hlk1398072"/>
      <w:r>
        <w:rPr>
          <w:i/>
          <w:color w:val="000000"/>
        </w:rPr>
        <w:t>Aerococcaceae</w:t>
      </w:r>
      <w:bookmarkEnd w:id="0"/>
      <w:r>
        <w:rPr>
          <w:color w:val="000000"/>
        </w:rPr>
        <w:t xml:space="preserve">, (B) </w:t>
      </w:r>
      <w:bookmarkStart w:id="1" w:name="_Hlk1398083"/>
      <w:r>
        <w:rPr>
          <w:i/>
          <w:color w:val="000000"/>
        </w:rPr>
        <w:t>Eubacterium_fissicatena</w:t>
      </w:r>
      <w:bookmarkEnd w:id="1"/>
      <w:r>
        <w:rPr>
          <w:color w:val="000000"/>
        </w:rPr>
        <w:t xml:space="preserve">, and (C) </w:t>
      </w:r>
      <w:r>
        <w:rPr>
          <w:i/>
          <w:color w:val="000000"/>
        </w:rPr>
        <w:t>Lachnospiraceae_FCS020</w:t>
      </w:r>
      <w:r>
        <w:rPr>
          <w:color w:val="000000"/>
        </w:rPr>
        <w:t>. Patients were stratified according to the mean abundance of microbes = 0.29×10</w:t>
      </w:r>
      <w:r>
        <w:rPr>
          <w:color w:val="000000"/>
          <w:vertAlign w:val="superscript"/>
        </w:rPr>
        <w:t>-5</w:t>
      </w:r>
      <w:r>
        <w:rPr>
          <w:color w:val="000000"/>
        </w:rPr>
        <w:t xml:space="preserve"> for </w:t>
      </w:r>
      <w:r>
        <w:rPr>
          <w:i/>
          <w:color w:val="000000"/>
        </w:rPr>
        <w:t>Aerococcaceae</w:t>
      </w:r>
      <w:r>
        <w:rPr>
          <w:color w:val="000000"/>
        </w:rPr>
        <w:t>, mean value = 1.86×10</w:t>
      </w:r>
      <w:r>
        <w:rPr>
          <w:color w:val="000000"/>
          <w:vertAlign w:val="superscript"/>
        </w:rPr>
        <w:t>-5</w:t>
      </w:r>
      <w:r>
        <w:rPr>
          <w:color w:val="000000"/>
        </w:rPr>
        <w:t xml:space="preserve"> for </w:t>
      </w:r>
      <w:r>
        <w:rPr>
          <w:i/>
          <w:color w:val="000000"/>
        </w:rPr>
        <w:t>Eubacterium_fissicatena</w:t>
      </w:r>
      <w:r>
        <w:rPr>
          <w:color w:val="000000"/>
        </w:rPr>
        <w:t>, and median abundance of microbes = 0.12×10</w:t>
      </w:r>
      <w:r>
        <w:rPr>
          <w:color w:val="000000"/>
          <w:vertAlign w:val="superscript"/>
        </w:rPr>
        <w:t>-3</w:t>
      </w:r>
      <w:r>
        <w:rPr>
          <w:color w:val="000000"/>
        </w:rPr>
        <w:t xml:space="preserve"> for </w:t>
      </w:r>
      <w:r>
        <w:rPr>
          <w:i/>
          <w:color w:val="000000"/>
        </w:rPr>
        <w:t>Lachnospiraceae_FCS020</w:t>
      </w:r>
      <w:r>
        <w:rPr>
          <w:color w:val="000000"/>
        </w:rPr>
        <w:t xml:space="preserve"> in controls. n indicates MACE, N indicates total number of patients. No significant differences were found between microbes.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263D2B"/>
    <w:rsid w:val="782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sh-05</dc:creator>
  <cp:lastModifiedBy>sh-05</cp:lastModifiedBy>
  <dcterms:modified xsi:type="dcterms:W3CDTF">2020-02-04T09:14:35Z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