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3DAD0" w14:textId="77777777" w:rsidR="006516D1" w:rsidRPr="00A550D8" w:rsidRDefault="006516D1" w:rsidP="006516D1">
      <w:pPr>
        <w:rPr>
          <w:rFonts w:ascii="Arial" w:hAnsi="Arial" w:cs="Arial"/>
          <w:b/>
          <w:sz w:val="24"/>
          <w:szCs w:val="24"/>
        </w:rPr>
      </w:pPr>
      <w:r w:rsidRPr="00A550D8">
        <w:rPr>
          <w:rFonts w:ascii="Arial" w:hAnsi="Arial" w:cs="Arial"/>
          <w:b/>
          <w:sz w:val="24"/>
          <w:szCs w:val="24"/>
        </w:rPr>
        <w:t>RNA cargos in extracellular vesicles derived from blood serum in pancreas associated conditions</w:t>
      </w:r>
    </w:p>
    <w:p w14:paraId="116E389B" w14:textId="43A2ABA2" w:rsidR="006516D1" w:rsidRPr="00B36302" w:rsidRDefault="006516D1" w:rsidP="006516D1">
      <w:pPr>
        <w:rPr>
          <w:rFonts w:ascii="Arial" w:hAnsi="Arial" w:cs="Arial"/>
          <w:sz w:val="24"/>
          <w:szCs w:val="24"/>
          <w:vertAlign w:val="superscript"/>
        </w:rPr>
      </w:pPr>
      <w:r w:rsidRPr="00A550D8">
        <w:rPr>
          <w:rFonts w:ascii="Arial" w:hAnsi="Arial" w:cs="Arial"/>
          <w:sz w:val="24"/>
          <w:szCs w:val="24"/>
        </w:rPr>
        <w:t xml:space="preserve">Senthil R. Kumar </w:t>
      </w:r>
      <w:r w:rsidRPr="00A550D8">
        <w:rPr>
          <w:rFonts w:ascii="Arial" w:hAnsi="Arial" w:cs="Arial"/>
          <w:sz w:val="24"/>
          <w:szCs w:val="24"/>
          <w:vertAlign w:val="superscript"/>
        </w:rPr>
        <w:t>1,2,3*</w:t>
      </w:r>
      <w:r w:rsidRPr="00A550D8">
        <w:rPr>
          <w:rFonts w:ascii="Arial" w:hAnsi="Arial" w:cs="Arial"/>
          <w:sz w:val="24"/>
          <w:szCs w:val="24"/>
        </w:rPr>
        <w:t>, Eric T. Kimchi</w:t>
      </w:r>
      <w:r w:rsidRPr="00A550D8">
        <w:rPr>
          <w:rFonts w:ascii="Arial" w:hAnsi="Arial" w:cs="Arial"/>
          <w:sz w:val="24"/>
          <w:szCs w:val="24"/>
          <w:vertAlign w:val="superscript"/>
        </w:rPr>
        <w:t>2,3</w:t>
      </w:r>
      <w:r w:rsidRPr="00A550D8">
        <w:rPr>
          <w:rFonts w:ascii="Arial" w:hAnsi="Arial" w:cs="Arial"/>
          <w:sz w:val="24"/>
          <w:szCs w:val="24"/>
        </w:rPr>
        <w:t xml:space="preserve">, </w:t>
      </w:r>
      <w:proofErr w:type="spellStart"/>
      <w:r w:rsidRPr="00A550D8">
        <w:rPr>
          <w:rFonts w:ascii="Arial" w:hAnsi="Arial" w:cs="Arial"/>
          <w:sz w:val="24"/>
          <w:szCs w:val="24"/>
        </w:rPr>
        <w:t>Yariswamy</w:t>
      </w:r>
      <w:proofErr w:type="spellEnd"/>
      <w:r w:rsidRPr="00A550D8">
        <w:rPr>
          <w:rFonts w:ascii="Arial" w:hAnsi="Arial" w:cs="Arial"/>
          <w:sz w:val="24"/>
          <w:szCs w:val="24"/>
        </w:rPr>
        <w:t xml:space="preserve"> Manjunath</w:t>
      </w:r>
      <w:r w:rsidRPr="00A550D8">
        <w:rPr>
          <w:rFonts w:ascii="Arial" w:hAnsi="Arial" w:cs="Arial"/>
          <w:sz w:val="24"/>
          <w:szCs w:val="24"/>
          <w:vertAlign w:val="superscript"/>
        </w:rPr>
        <w:t>2,3</w:t>
      </w:r>
      <w:r w:rsidRPr="00A550D8">
        <w:rPr>
          <w:rFonts w:ascii="Arial" w:hAnsi="Arial" w:cs="Arial"/>
          <w:sz w:val="24"/>
          <w:szCs w:val="24"/>
        </w:rPr>
        <w:t xml:space="preserve">, </w:t>
      </w:r>
      <w:proofErr w:type="spellStart"/>
      <w:r w:rsidRPr="00A550D8">
        <w:rPr>
          <w:rFonts w:ascii="Arial" w:hAnsi="Arial" w:cs="Arial"/>
          <w:sz w:val="24"/>
          <w:szCs w:val="24"/>
        </w:rPr>
        <w:t>Saivaroon</w:t>
      </w:r>
      <w:proofErr w:type="spellEnd"/>
      <w:r w:rsidRPr="00A550D8">
        <w:rPr>
          <w:rFonts w:ascii="Arial" w:hAnsi="Arial" w:cs="Arial"/>
          <w:sz w:val="24"/>
          <w:szCs w:val="24"/>
        </w:rPr>
        <w:t xml:space="preserve"> Gajagowni</w:t>
      </w:r>
      <w:r w:rsidRPr="00A550D8">
        <w:rPr>
          <w:rFonts w:ascii="Arial" w:hAnsi="Arial" w:cs="Arial"/>
          <w:sz w:val="24"/>
          <w:szCs w:val="24"/>
          <w:vertAlign w:val="superscript"/>
        </w:rPr>
        <w:t>1</w:t>
      </w:r>
      <w:r w:rsidR="006303C1">
        <w:rPr>
          <w:rFonts w:ascii="Arial" w:hAnsi="Arial" w:cs="Arial"/>
          <w:sz w:val="24"/>
          <w:szCs w:val="24"/>
        </w:rPr>
        <w:t>, Alexei J.</w:t>
      </w:r>
      <w:r w:rsidR="00CC545A">
        <w:rPr>
          <w:rFonts w:ascii="Arial" w:hAnsi="Arial" w:cs="Arial"/>
          <w:sz w:val="24"/>
          <w:szCs w:val="24"/>
        </w:rPr>
        <w:t xml:space="preserve"> Stuckel</w:t>
      </w:r>
      <w:r w:rsidRPr="00A550D8">
        <w:rPr>
          <w:rFonts w:ascii="Arial" w:hAnsi="Arial" w:cs="Arial"/>
          <w:sz w:val="24"/>
          <w:szCs w:val="24"/>
          <w:vertAlign w:val="superscript"/>
        </w:rPr>
        <w:t>3</w:t>
      </w:r>
      <w:r w:rsidR="00AD7EF3">
        <w:rPr>
          <w:rFonts w:ascii="Arial" w:hAnsi="Arial" w:cs="Arial"/>
          <w:sz w:val="24"/>
          <w:szCs w:val="24"/>
          <w:vertAlign w:val="superscript"/>
        </w:rPr>
        <w:t>,4</w:t>
      </w:r>
      <w:r w:rsidR="00B36302">
        <w:rPr>
          <w:rFonts w:ascii="Arial" w:hAnsi="Arial" w:cs="Arial"/>
          <w:sz w:val="24"/>
          <w:szCs w:val="24"/>
        </w:rPr>
        <w:t xml:space="preserve">, </w:t>
      </w:r>
      <w:proofErr w:type="spellStart"/>
      <w:r w:rsidR="00B36302">
        <w:rPr>
          <w:rFonts w:ascii="Arial" w:hAnsi="Arial" w:cs="Arial"/>
          <w:sz w:val="24"/>
          <w:szCs w:val="24"/>
        </w:rPr>
        <w:t>Jussuf</w:t>
      </w:r>
      <w:proofErr w:type="spellEnd"/>
      <w:r w:rsidR="00B36302">
        <w:rPr>
          <w:rFonts w:ascii="Arial" w:hAnsi="Arial" w:cs="Arial"/>
          <w:sz w:val="24"/>
          <w:szCs w:val="24"/>
        </w:rPr>
        <w:t xml:space="preserve"> T. </w:t>
      </w:r>
      <w:proofErr w:type="spellStart"/>
      <w:r w:rsidR="00B36302">
        <w:rPr>
          <w:rFonts w:ascii="Arial" w:hAnsi="Arial" w:cs="Arial"/>
          <w:sz w:val="24"/>
          <w:szCs w:val="24"/>
        </w:rPr>
        <w:t>Kaifi</w:t>
      </w:r>
      <w:proofErr w:type="spellEnd"/>
      <w:r w:rsidR="00B36302">
        <w:rPr>
          <w:rFonts w:ascii="Arial" w:hAnsi="Arial" w:cs="Arial"/>
          <w:sz w:val="24"/>
          <w:szCs w:val="24"/>
        </w:rPr>
        <w:t xml:space="preserve"> </w:t>
      </w:r>
      <w:r w:rsidR="00B36302">
        <w:rPr>
          <w:rFonts w:ascii="Arial" w:hAnsi="Arial" w:cs="Arial"/>
          <w:sz w:val="24"/>
          <w:szCs w:val="24"/>
          <w:vertAlign w:val="superscript"/>
        </w:rPr>
        <w:t>2,3</w:t>
      </w:r>
    </w:p>
    <w:p w14:paraId="4C7E3A05" w14:textId="36DEEA0E" w:rsidR="006516D1" w:rsidRPr="00A550D8" w:rsidRDefault="00BF4F08" w:rsidP="006516D1">
      <w:pPr>
        <w:rPr>
          <w:rFonts w:ascii="Arial" w:hAnsi="Arial" w:cs="Arial"/>
          <w:sz w:val="24"/>
          <w:szCs w:val="24"/>
        </w:rPr>
      </w:pPr>
      <w:r>
        <w:rPr>
          <w:rFonts w:ascii="Arial" w:hAnsi="Arial" w:cs="Arial"/>
          <w:sz w:val="24"/>
          <w:szCs w:val="24"/>
          <w:vertAlign w:val="superscript"/>
        </w:rPr>
        <w:t>1</w:t>
      </w:r>
      <w:r w:rsidR="006516D1" w:rsidRPr="00A550D8">
        <w:rPr>
          <w:rFonts w:ascii="Arial" w:hAnsi="Arial" w:cs="Arial"/>
          <w:sz w:val="24"/>
          <w:szCs w:val="24"/>
        </w:rPr>
        <w:t>Veterinary Medicine &amp; Surgery, College of Veterinary Medicine, University of Missouri, Columbia, MO 65211</w:t>
      </w:r>
      <w:r w:rsidR="00EE48C5">
        <w:rPr>
          <w:rFonts w:ascii="Arial" w:hAnsi="Arial" w:cs="Arial"/>
          <w:sz w:val="24"/>
          <w:szCs w:val="24"/>
        </w:rPr>
        <w:t>, USA</w:t>
      </w:r>
      <w:r w:rsidR="006516D1" w:rsidRPr="00A550D8">
        <w:rPr>
          <w:rFonts w:ascii="Arial" w:hAnsi="Arial" w:cs="Arial"/>
          <w:sz w:val="24"/>
          <w:szCs w:val="24"/>
        </w:rPr>
        <w:t xml:space="preserve">; </w:t>
      </w:r>
      <w:r>
        <w:rPr>
          <w:rFonts w:ascii="Arial" w:hAnsi="Arial" w:cs="Arial"/>
          <w:sz w:val="24"/>
          <w:szCs w:val="24"/>
          <w:vertAlign w:val="superscript"/>
        </w:rPr>
        <w:t xml:space="preserve">2 </w:t>
      </w:r>
      <w:r w:rsidR="006516D1" w:rsidRPr="00A550D8">
        <w:rPr>
          <w:rFonts w:ascii="Arial" w:hAnsi="Arial" w:cs="Arial"/>
          <w:sz w:val="24"/>
          <w:szCs w:val="24"/>
        </w:rPr>
        <w:t>Department of Surgery, School of Medicine, University of Missouri, Columbia, MO 65212</w:t>
      </w:r>
      <w:r w:rsidR="00EE48C5">
        <w:rPr>
          <w:rFonts w:ascii="Arial" w:hAnsi="Arial" w:cs="Arial"/>
          <w:sz w:val="24"/>
          <w:szCs w:val="24"/>
        </w:rPr>
        <w:t>, USA</w:t>
      </w:r>
      <w:r w:rsidR="006516D1" w:rsidRPr="00A550D8">
        <w:rPr>
          <w:rFonts w:ascii="Arial" w:hAnsi="Arial" w:cs="Arial"/>
          <w:sz w:val="24"/>
          <w:szCs w:val="24"/>
        </w:rPr>
        <w:t xml:space="preserve">; </w:t>
      </w:r>
      <w:r>
        <w:rPr>
          <w:rFonts w:ascii="Arial" w:hAnsi="Arial" w:cs="Arial"/>
          <w:sz w:val="24"/>
          <w:szCs w:val="24"/>
          <w:vertAlign w:val="superscript"/>
        </w:rPr>
        <w:t>3</w:t>
      </w:r>
      <w:r w:rsidR="006516D1" w:rsidRPr="00A550D8">
        <w:rPr>
          <w:rFonts w:ascii="Arial" w:hAnsi="Arial" w:cs="Arial"/>
          <w:sz w:val="24"/>
          <w:szCs w:val="24"/>
        </w:rPr>
        <w:t>Harry S. Truman Veterans Hospital, 800 Hospital Drive, Columbia, MO 652</w:t>
      </w:r>
      <w:r w:rsidR="00262645">
        <w:rPr>
          <w:rFonts w:ascii="Arial" w:hAnsi="Arial" w:cs="Arial"/>
          <w:sz w:val="24"/>
          <w:szCs w:val="24"/>
        </w:rPr>
        <w:t>12</w:t>
      </w:r>
      <w:r w:rsidR="00EE48C5">
        <w:rPr>
          <w:rFonts w:ascii="Arial" w:hAnsi="Arial" w:cs="Arial"/>
          <w:sz w:val="24"/>
          <w:szCs w:val="24"/>
        </w:rPr>
        <w:t>, USA</w:t>
      </w:r>
      <w:r w:rsidR="00AD7EF3">
        <w:rPr>
          <w:rFonts w:ascii="Arial" w:hAnsi="Arial" w:cs="Arial"/>
          <w:sz w:val="24"/>
          <w:szCs w:val="24"/>
        </w:rPr>
        <w:t xml:space="preserve">; </w:t>
      </w:r>
      <w:r>
        <w:rPr>
          <w:rFonts w:ascii="Arial" w:hAnsi="Arial" w:cs="Arial"/>
          <w:sz w:val="24"/>
          <w:szCs w:val="24"/>
          <w:vertAlign w:val="superscript"/>
        </w:rPr>
        <w:t>4</w:t>
      </w:r>
      <w:r w:rsidR="00AD7EF3" w:rsidRPr="00AD7EF3">
        <w:rPr>
          <w:rFonts w:ascii="Arial" w:hAnsi="Arial" w:cs="Arial"/>
          <w:sz w:val="24"/>
          <w:szCs w:val="24"/>
        </w:rPr>
        <w:t xml:space="preserve">Department of Medicine, Division of Gastroenterology and </w:t>
      </w:r>
      <w:proofErr w:type="spellStart"/>
      <w:r w:rsidR="00AD7EF3" w:rsidRPr="00AD7EF3">
        <w:rPr>
          <w:rFonts w:ascii="Arial" w:hAnsi="Arial" w:cs="Arial"/>
          <w:sz w:val="24"/>
          <w:szCs w:val="24"/>
        </w:rPr>
        <w:t>Hepatology</w:t>
      </w:r>
      <w:proofErr w:type="spellEnd"/>
      <w:r w:rsidR="00AD7EF3" w:rsidRPr="00AD7EF3">
        <w:rPr>
          <w:rFonts w:ascii="Arial" w:hAnsi="Arial" w:cs="Arial"/>
          <w:sz w:val="24"/>
          <w:szCs w:val="24"/>
        </w:rPr>
        <w:t xml:space="preserve">; University of Missouri, Columbia, </w:t>
      </w:r>
      <w:r w:rsidR="00A216CD">
        <w:rPr>
          <w:rFonts w:ascii="Arial" w:hAnsi="Arial" w:cs="Arial"/>
          <w:sz w:val="24"/>
          <w:szCs w:val="24"/>
        </w:rPr>
        <w:t>MO</w:t>
      </w:r>
      <w:bookmarkStart w:id="0" w:name="_GoBack"/>
      <w:bookmarkEnd w:id="0"/>
      <w:r w:rsidR="00AD7EF3" w:rsidRPr="00AD7EF3">
        <w:rPr>
          <w:rFonts w:ascii="Arial" w:hAnsi="Arial" w:cs="Arial"/>
          <w:sz w:val="24"/>
          <w:szCs w:val="24"/>
        </w:rPr>
        <w:t xml:space="preserve"> 65212</w:t>
      </w:r>
      <w:r w:rsidR="00EE48C5">
        <w:rPr>
          <w:rFonts w:ascii="Arial" w:hAnsi="Arial" w:cs="Arial"/>
          <w:sz w:val="24"/>
          <w:szCs w:val="24"/>
        </w:rPr>
        <w:t>, USA.</w:t>
      </w:r>
    </w:p>
    <w:p w14:paraId="2184B5FF" w14:textId="77777777" w:rsidR="006516D1" w:rsidRPr="00A550D8" w:rsidRDefault="006516D1" w:rsidP="006516D1">
      <w:pPr>
        <w:rPr>
          <w:rFonts w:ascii="Arial" w:hAnsi="Arial" w:cs="Arial"/>
          <w:sz w:val="24"/>
          <w:szCs w:val="24"/>
        </w:rPr>
      </w:pPr>
    </w:p>
    <w:p w14:paraId="2B7614D6" w14:textId="66354B8A" w:rsidR="00095CEC" w:rsidRDefault="00095CEC" w:rsidP="006516D1"/>
    <w:p w14:paraId="259FD5E2" w14:textId="7FDD1664" w:rsidR="00921E57" w:rsidRDefault="00921E57" w:rsidP="006516D1"/>
    <w:p w14:paraId="5FB0EB9E" w14:textId="214BFED1" w:rsidR="00921E57" w:rsidRDefault="00921E57" w:rsidP="006516D1"/>
    <w:p w14:paraId="7B7B5969" w14:textId="462207E8" w:rsidR="00921E57" w:rsidRDefault="00921E57" w:rsidP="006516D1"/>
    <w:p w14:paraId="22962560" w14:textId="7524A266" w:rsidR="00921E57" w:rsidRDefault="00921E57" w:rsidP="006516D1"/>
    <w:p w14:paraId="19770AAF" w14:textId="06E19725" w:rsidR="00921E57" w:rsidRDefault="00921E57" w:rsidP="006516D1"/>
    <w:p w14:paraId="1770296E" w14:textId="44F22346" w:rsidR="00921E57" w:rsidRDefault="00921E57" w:rsidP="006516D1"/>
    <w:p w14:paraId="184004C1" w14:textId="6B032F29" w:rsidR="00921E57" w:rsidRDefault="00921E57" w:rsidP="006516D1"/>
    <w:p w14:paraId="743529EF" w14:textId="3696A159" w:rsidR="00921E57" w:rsidRDefault="00921E57" w:rsidP="006516D1"/>
    <w:p w14:paraId="4BB89FFC" w14:textId="04DE596C" w:rsidR="00921E57" w:rsidRDefault="00921E57" w:rsidP="006516D1"/>
    <w:p w14:paraId="611933AA" w14:textId="1EDFD9C6" w:rsidR="00921E57" w:rsidRDefault="00921E57" w:rsidP="006516D1"/>
    <w:p w14:paraId="0CB252AE" w14:textId="301A9735" w:rsidR="00921E57" w:rsidRDefault="00921E57" w:rsidP="006516D1"/>
    <w:p w14:paraId="0727965D" w14:textId="14C0138D" w:rsidR="00921E57" w:rsidRDefault="00921E57" w:rsidP="006516D1"/>
    <w:p w14:paraId="27BAD0AE" w14:textId="44E46F7D" w:rsidR="00921E57" w:rsidRDefault="00921E57" w:rsidP="006516D1"/>
    <w:p w14:paraId="0A95E4CE" w14:textId="337776DF" w:rsidR="00921E57" w:rsidRDefault="00921E57" w:rsidP="006516D1"/>
    <w:p w14:paraId="09182028" w14:textId="7D965B85" w:rsidR="00921E57" w:rsidRDefault="00921E57" w:rsidP="006516D1"/>
    <w:p w14:paraId="0C41F7FA" w14:textId="59D2F2A2" w:rsidR="00921E57" w:rsidRDefault="00921E57" w:rsidP="006516D1"/>
    <w:p w14:paraId="0CB30F44" w14:textId="4C5D5215" w:rsidR="00921E57" w:rsidRDefault="00921E57" w:rsidP="006516D1"/>
    <w:p w14:paraId="3322DA2E" w14:textId="5B18D56D" w:rsidR="00921E57" w:rsidRDefault="00921E57" w:rsidP="006516D1"/>
    <w:p w14:paraId="62C091B5" w14:textId="10A2C82A" w:rsidR="00921E57" w:rsidRDefault="00921E57" w:rsidP="006516D1"/>
    <w:p w14:paraId="4FE5ACF4" w14:textId="3928E13C" w:rsidR="00921E57" w:rsidRDefault="00921E57" w:rsidP="006516D1"/>
    <w:p w14:paraId="041A0884" w14:textId="5A0C2056"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2E98BAC0" w14:textId="1E951F6E" w:rsidR="004B3880" w:rsidRDefault="007A41C9" w:rsidP="00921E57">
      <w:pPr>
        <w:pStyle w:val="mb-0"/>
        <w:spacing w:before="0" w:beforeAutospacing="0" w:after="160" w:afterAutospacing="0" w:line="360" w:lineRule="auto"/>
        <w:contextualSpacing/>
        <w:rPr>
          <w:rFonts w:ascii="Arial" w:eastAsiaTheme="minorHAnsi" w:hAnsi="Arial" w:cs="Arial"/>
          <w:b/>
        </w:rPr>
      </w:pPr>
      <w:r>
        <w:rPr>
          <w:rFonts w:ascii="Arial" w:eastAsiaTheme="minorHAnsi" w:hAnsi="Arial" w:cs="Arial"/>
          <w:b/>
          <w:noProof/>
          <w:lang w:val="en-GB" w:eastAsia="en-GB"/>
        </w:rPr>
        <w:drawing>
          <wp:anchor distT="0" distB="0" distL="114300" distR="114300" simplePos="0" relativeHeight="251676672" behindDoc="0" locked="0" layoutInCell="1" allowOverlap="1" wp14:anchorId="5F1351CE" wp14:editId="09223C67">
            <wp:simplePos x="0" y="0"/>
            <wp:positionH relativeFrom="column">
              <wp:posOffset>927100</wp:posOffset>
            </wp:positionH>
            <wp:positionV relativeFrom="paragraph">
              <wp:posOffset>232410</wp:posOffset>
            </wp:positionV>
            <wp:extent cx="3638550" cy="2640965"/>
            <wp:effectExtent l="19050" t="19050" r="19050" b="260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38550" cy="264096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406969F2" w14:textId="6864B3C4"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03DF690C" w14:textId="26AB2124"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66BE087C" w14:textId="04D3CAF0"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10014905" w14:textId="3ACE7CC3"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67843778" w14:textId="77777777"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7997931C" w14:textId="77777777"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06C3727E" w14:textId="77777777"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4EF5A44B" w14:textId="77777777"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3929B3D0" w14:textId="77777777"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3BFBAEBC" w14:textId="77777777"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4A4DB81E" w14:textId="03C51033" w:rsidR="004B3880" w:rsidRDefault="00A0329E" w:rsidP="00921E57">
      <w:pPr>
        <w:pStyle w:val="mb-0"/>
        <w:spacing w:before="0" w:beforeAutospacing="0" w:after="160" w:afterAutospacing="0" w:line="360" w:lineRule="auto"/>
        <w:contextualSpacing/>
        <w:rPr>
          <w:rFonts w:ascii="Arial" w:eastAsiaTheme="minorHAnsi" w:hAnsi="Arial" w:cs="Arial"/>
          <w:b/>
        </w:rPr>
      </w:pPr>
      <w:r>
        <w:rPr>
          <w:noProof/>
          <w:lang w:val="en-GB" w:eastAsia="en-GB"/>
        </w:rPr>
        <mc:AlternateContent>
          <mc:Choice Requires="wps">
            <w:drawing>
              <wp:anchor distT="0" distB="0" distL="114300" distR="114300" simplePos="0" relativeHeight="251675648" behindDoc="0" locked="0" layoutInCell="1" allowOverlap="1" wp14:anchorId="70A07D8A" wp14:editId="3A0B199E">
                <wp:simplePos x="0" y="0"/>
                <wp:positionH relativeFrom="margin">
                  <wp:align>right</wp:align>
                </wp:positionH>
                <wp:positionV relativeFrom="paragraph">
                  <wp:posOffset>156210</wp:posOffset>
                </wp:positionV>
                <wp:extent cx="6096000" cy="783869"/>
                <wp:effectExtent l="0" t="0" r="0" b="0"/>
                <wp:wrapNone/>
                <wp:docPr id="22" name="Rectangle 21"/>
                <wp:cNvGraphicFramePr/>
                <a:graphic xmlns:a="http://schemas.openxmlformats.org/drawingml/2006/main">
                  <a:graphicData uri="http://schemas.microsoft.com/office/word/2010/wordprocessingShape">
                    <wps:wsp>
                      <wps:cNvSpPr/>
                      <wps:spPr>
                        <a:xfrm>
                          <a:off x="0" y="0"/>
                          <a:ext cx="6096000" cy="783869"/>
                        </a:xfrm>
                        <a:prstGeom prst="rect">
                          <a:avLst/>
                        </a:prstGeom>
                      </wps:spPr>
                      <wps:txbx>
                        <w:txbxContent>
                          <w:p w14:paraId="3D736796" w14:textId="162B298F" w:rsidR="002E31F6" w:rsidRDefault="002E31F6" w:rsidP="002E31F6">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 xml:space="preserve">Figure S1. </w:t>
                            </w:r>
                            <w:r>
                              <w:rPr>
                                <w:rFonts w:ascii="Arial" w:eastAsia="Calibri" w:hAnsi="Arial" w:cstheme="minorBidi"/>
                                <w:color w:val="000000" w:themeColor="text1"/>
                                <w:kern w:val="24"/>
                                <w:sz w:val="28"/>
                                <w:szCs w:val="28"/>
                              </w:rPr>
                              <w:t>Immunoblots for exosome marker proteins.</w:t>
                            </w:r>
                            <w:r>
                              <w:rPr>
                                <w:rFonts w:ascii="Arial" w:eastAsia="Calibri" w:hAnsi="Arial" w:cstheme="minorBidi"/>
                                <w:b/>
                                <w:bCs/>
                                <w:color w:val="000000" w:themeColor="text1"/>
                                <w:kern w:val="24"/>
                                <w:sz w:val="28"/>
                                <w:szCs w:val="28"/>
                              </w:rPr>
                              <w:t xml:space="preserve">  </w:t>
                            </w:r>
                            <w:r>
                              <w:rPr>
                                <w:rFonts w:ascii="Arial" w:eastAsia="Calibri" w:hAnsi="Arial" w:cstheme="minorBidi"/>
                                <w:color w:val="000000" w:themeColor="text1"/>
                                <w:kern w:val="24"/>
                                <w:sz w:val="28"/>
                                <w:szCs w:val="28"/>
                              </w:rPr>
                              <w:t xml:space="preserve">Exosome markers CD63 and CD9 proteins were detected using respective antibodies in different serum. CD63 ~95 </w:t>
                            </w:r>
                            <w:proofErr w:type="spellStart"/>
                            <w:r>
                              <w:rPr>
                                <w:rFonts w:ascii="Arial" w:eastAsia="Calibri" w:hAnsi="Arial" w:cstheme="minorBidi"/>
                                <w:color w:val="000000" w:themeColor="text1"/>
                                <w:kern w:val="24"/>
                                <w:sz w:val="28"/>
                                <w:szCs w:val="28"/>
                              </w:rPr>
                              <w:t>kDa</w:t>
                            </w:r>
                            <w:proofErr w:type="spellEnd"/>
                            <w:r>
                              <w:rPr>
                                <w:rFonts w:ascii="Arial" w:eastAsia="Calibri" w:hAnsi="Arial" w:cstheme="minorBidi"/>
                                <w:color w:val="000000" w:themeColor="text1"/>
                                <w:kern w:val="24"/>
                                <w:sz w:val="28"/>
                                <w:szCs w:val="28"/>
                              </w:rPr>
                              <w:t xml:space="preserve">, CD9 ~ 24 </w:t>
                            </w:r>
                            <w:proofErr w:type="spellStart"/>
                            <w:r>
                              <w:rPr>
                                <w:rFonts w:ascii="Arial" w:eastAsia="Calibri" w:hAnsi="Arial" w:cstheme="minorBidi"/>
                                <w:color w:val="000000" w:themeColor="text1"/>
                                <w:kern w:val="24"/>
                                <w:sz w:val="28"/>
                                <w:szCs w:val="28"/>
                              </w:rPr>
                              <w:t>kDa</w:t>
                            </w:r>
                            <w:proofErr w:type="spellEnd"/>
                            <w:r>
                              <w:rPr>
                                <w:rFonts w:ascii="Arial" w:eastAsia="Calibri" w:hAnsi="Arial" w:cstheme="minorBidi"/>
                                <w:color w:val="000000" w:themeColor="text1"/>
                                <w:kern w:val="24"/>
                                <w:sz w:val="28"/>
                                <w:szCs w:val="28"/>
                              </w:rPr>
                              <w:t>.</w:t>
                            </w:r>
                          </w:p>
                        </w:txbxContent>
                      </wps:txbx>
                      <wps:bodyPr>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A07D8A" id="Rectangle 21" o:spid="_x0000_s1026" style="position:absolute;margin-left:428.8pt;margin-top:12.3pt;width:480pt;height:61.7pt;z-index:2516756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" filled="f" stroked="f">
                <v:textbox style="mso-fit-shape-to-text:t">
                  <w:txbxContent>
                    <w:p w14:paraId="3D736796" w14:textId="162B298F" w:rsidR="002E31F6" w:rsidRDefault="002E31F6" w:rsidP="002E31F6">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 xml:space="preserve">Figure S1. </w:t>
                      </w:r>
                      <w:r>
                        <w:rPr>
                          <w:rFonts w:ascii="Arial" w:eastAsia="Calibri" w:hAnsi="Arial" w:cstheme="minorBidi"/>
                          <w:color w:val="000000" w:themeColor="text1"/>
                          <w:kern w:val="24"/>
                          <w:sz w:val="28"/>
                          <w:szCs w:val="28"/>
                        </w:rPr>
                        <w:t>Immunoblots for exosome marker proteins.</w:t>
                      </w:r>
                      <w:r>
                        <w:rPr>
                          <w:rFonts w:ascii="Arial" w:eastAsia="Calibri" w:hAnsi="Arial" w:cstheme="minorBidi"/>
                          <w:b/>
                          <w:bCs/>
                          <w:color w:val="000000" w:themeColor="text1"/>
                          <w:kern w:val="24"/>
                          <w:sz w:val="28"/>
                          <w:szCs w:val="28"/>
                        </w:rPr>
                        <w:t xml:space="preserve">  </w:t>
                      </w:r>
                      <w:r>
                        <w:rPr>
                          <w:rFonts w:ascii="Arial" w:eastAsia="Calibri" w:hAnsi="Arial" w:cstheme="minorBidi"/>
                          <w:color w:val="000000" w:themeColor="text1"/>
                          <w:kern w:val="24"/>
                          <w:sz w:val="28"/>
                          <w:szCs w:val="28"/>
                        </w:rPr>
                        <w:t>Exosome markers CD63 and CD9 proteins were detected using respective antibodies in different serum. CD63 ~95 kDa, CD9 ~ 24 kDa.</w:t>
                      </w:r>
                    </w:p>
                  </w:txbxContent>
                </v:textbox>
                <w10:wrap anchorx="margin"/>
              </v:rect>
            </w:pict>
          </mc:Fallback>
        </mc:AlternateContent>
      </w:r>
    </w:p>
    <w:p w14:paraId="05F016FB" w14:textId="7C7085AC"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45C4F552" w14:textId="493DBEB6" w:rsidR="004B3880" w:rsidRDefault="004B3880" w:rsidP="00921E57">
      <w:pPr>
        <w:pStyle w:val="mb-0"/>
        <w:spacing w:before="0" w:beforeAutospacing="0" w:after="160" w:afterAutospacing="0" w:line="360" w:lineRule="auto"/>
        <w:contextualSpacing/>
        <w:rPr>
          <w:rFonts w:ascii="Arial" w:eastAsiaTheme="minorHAnsi" w:hAnsi="Arial" w:cs="Arial"/>
          <w:b/>
        </w:rPr>
      </w:pPr>
    </w:p>
    <w:p w14:paraId="3373BD9C" w14:textId="661A99E8" w:rsidR="00921E57" w:rsidRPr="00A550D8" w:rsidRDefault="00921E57" w:rsidP="00921E57">
      <w:pPr>
        <w:pStyle w:val="mb-0"/>
        <w:spacing w:before="0" w:beforeAutospacing="0" w:after="160" w:afterAutospacing="0" w:line="360" w:lineRule="auto"/>
        <w:contextualSpacing/>
        <w:rPr>
          <w:rFonts w:ascii="Arial" w:eastAsiaTheme="minorHAnsi" w:hAnsi="Arial" w:cs="Arial"/>
          <w:b/>
        </w:rPr>
      </w:pPr>
    </w:p>
    <w:p w14:paraId="70559768" w14:textId="258F45B4" w:rsidR="00921E57" w:rsidRDefault="00A225FD" w:rsidP="006516D1">
      <w:r w:rsidRPr="00CA5F5C">
        <w:rPr>
          <w:noProof/>
          <w:lang w:val="en-GB" w:eastAsia="en-GB"/>
        </w:rPr>
        <w:lastRenderedPageBreak/>
        <w:drawing>
          <wp:anchor distT="0" distB="0" distL="114300" distR="114300" simplePos="0" relativeHeight="251659264" behindDoc="0" locked="0" layoutInCell="1" allowOverlap="1" wp14:anchorId="7CEEC973" wp14:editId="03E7E038">
            <wp:simplePos x="0" y="0"/>
            <wp:positionH relativeFrom="column">
              <wp:posOffset>444500</wp:posOffset>
            </wp:positionH>
            <wp:positionV relativeFrom="paragraph">
              <wp:posOffset>98425</wp:posOffset>
            </wp:positionV>
            <wp:extent cx="4585335" cy="4481830"/>
            <wp:effectExtent l="19050" t="19050" r="24765" b="139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85335" cy="44818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C55C235" w14:textId="6E88948D" w:rsidR="00CA5F5C" w:rsidRDefault="00CA5F5C" w:rsidP="006516D1"/>
    <w:p w14:paraId="1309001A" w14:textId="7A7CFC43" w:rsidR="00CA5F5C" w:rsidRDefault="00CA5F5C" w:rsidP="00CA5F5C">
      <w:pPr>
        <w:pStyle w:val="Header"/>
        <w:tabs>
          <w:tab w:val="clear" w:pos="4680"/>
          <w:tab w:val="clear" w:pos="9360"/>
        </w:tabs>
        <w:spacing w:after="160" w:line="259" w:lineRule="auto"/>
      </w:pPr>
    </w:p>
    <w:p w14:paraId="0090081D" w14:textId="649E3C93" w:rsidR="00CA5F5C" w:rsidRDefault="00CA5F5C" w:rsidP="006516D1"/>
    <w:p w14:paraId="36F96948" w14:textId="3ABC7B5C" w:rsidR="00CA5F5C" w:rsidRDefault="00CA5F5C" w:rsidP="006516D1"/>
    <w:p w14:paraId="16B45309" w14:textId="2EB1A0FA" w:rsidR="00CA5F5C" w:rsidRDefault="00CA5F5C" w:rsidP="006516D1"/>
    <w:p w14:paraId="6A5D5039" w14:textId="4ABA07BE" w:rsidR="00CA5F5C" w:rsidRDefault="00CA5F5C" w:rsidP="006516D1"/>
    <w:p w14:paraId="3B42F4C9" w14:textId="1F7277A3" w:rsidR="00CA5F5C" w:rsidRDefault="00CA5F5C" w:rsidP="006516D1"/>
    <w:p w14:paraId="58A0A003" w14:textId="6A23E0A2" w:rsidR="00CA5F5C" w:rsidRDefault="00CA5F5C" w:rsidP="006516D1"/>
    <w:p w14:paraId="3C8CE5E2" w14:textId="2F62B7F2" w:rsidR="00921E57" w:rsidRDefault="00921E57" w:rsidP="00CA5F5C">
      <w:pPr>
        <w:pStyle w:val="Header"/>
        <w:tabs>
          <w:tab w:val="clear" w:pos="4680"/>
          <w:tab w:val="clear" w:pos="9360"/>
        </w:tabs>
        <w:spacing w:after="160" w:line="259" w:lineRule="auto"/>
      </w:pPr>
    </w:p>
    <w:p w14:paraId="7C136EA3" w14:textId="1D0F3A4D" w:rsidR="00CA5F5C" w:rsidRDefault="00CA5F5C" w:rsidP="00CA5F5C">
      <w:pPr>
        <w:pStyle w:val="Header"/>
        <w:tabs>
          <w:tab w:val="clear" w:pos="4680"/>
          <w:tab w:val="clear" w:pos="9360"/>
        </w:tabs>
        <w:spacing w:after="160" w:line="259" w:lineRule="auto"/>
      </w:pPr>
    </w:p>
    <w:p w14:paraId="5B6EF0C9" w14:textId="385D67AC" w:rsidR="00CA5F5C" w:rsidRDefault="00CA5F5C" w:rsidP="00CA5F5C">
      <w:pPr>
        <w:pStyle w:val="Header"/>
        <w:tabs>
          <w:tab w:val="clear" w:pos="4680"/>
          <w:tab w:val="clear" w:pos="9360"/>
        </w:tabs>
        <w:spacing w:after="160" w:line="259" w:lineRule="auto"/>
      </w:pPr>
    </w:p>
    <w:p w14:paraId="1F56C9E5" w14:textId="5F8C0A0A" w:rsidR="00CA5F5C" w:rsidRDefault="00CA5F5C" w:rsidP="00CA5F5C">
      <w:pPr>
        <w:pStyle w:val="Header"/>
        <w:tabs>
          <w:tab w:val="clear" w:pos="4680"/>
          <w:tab w:val="clear" w:pos="9360"/>
        </w:tabs>
        <w:spacing w:after="160" w:line="259" w:lineRule="auto"/>
      </w:pPr>
    </w:p>
    <w:p w14:paraId="1A6A1626" w14:textId="2E1167C1" w:rsidR="00CA5F5C" w:rsidRDefault="00CA5F5C" w:rsidP="00CA5F5C">
      <w:pPr>
        <w:pStyle w:val="Header"/>
        <w:tabs>
          <w:tab w:val="clear" w:pos="4680"/>
          <w:tab w:val="clear" w:pos="9360"/>
        </w:tabs>
        <w:spacing w:after="160" w:line="259" w:lineRule="auto"/>
      </w:pPr>
    </w:p>
    <w:p w14:paraId="27E594F5" w14:textId="629573ED" w:rsidR="00CA5F5C" w:rsidRDefault="00CA5F5C" w:rsidP="00CA5F5C">
      <w:pPr>
        <w:pStyle w:val="Header"/>
        <w:tabs>
          <w:tab w:val="clear" w:pos="4680"/>
          <w:tab w:val="clear" w:pos="9360"/>
        </w:tabs>
        <w:spacing w:after="160" w:line="259" w:lineRule="auto"/>
      </w:pPr>
    </w:p>
    <w:p w14:paraId="1056AAB8" w14:textId="69497D92" w:rsidR="00CA5F5C" w:rsidRDefault="00CA5F5C" w:rsidP="00CA5F5C">
      <w:pPr>
        <w:pStyle w:val="Header"/>
        <w:tabs>
          <w:tab w:val="clear" w:pos="4680"/>
          <w:tab w:val="clear" w:pos="9360"/>
        </w:tabs>
        <w:spacing w:after="160" w:line="259" w:lineRule="auto"/>
      </w:pPr>
    </w:p>
    <w:p w14:paraId="1A836E41" w14:textId="43632EF8" w:rsidR="00CA5F5C" w:rsidRDefault="00A225FD" w:rsidP="00CA5F5C">
      <w:pPr>
        <w:pStyle w:val="Header"/>
        <w:tabs>
          <w:tab w:val="clear" w:pos="4680"/>
          <w:tab w:val="clear" w:pos="9360"/>
        </w:tabs>
        <w:spacing w:after="160" w:line="259" w:lineRule="auto"/>
      </w:pPr>
      <w:r>
        <w:rPr>
          <w:noProof/>
          <w:lang w:val="en-GB" w:eastAsia="en-GB"/>
        </w:rPr>
        <mc:AlternateContent>
          <mc:Choice Requires="wps">
            <w:drawing>
              <wp:anchor distT="0" distB="0" distL="114300" distR="114300" simplePos="0" relativeHeight="251664384" behindDoc="0" locked="0" layoutInCell="1" allowOverlap="1" wp14:anchorId="53EC49FA" wp14:editId="59DB0234">
                <wp:simplePos x="0" y="0"/>
                <wp:positionH relativeFrom="margin">
                  <wp:align>left</wp:align>
                </wp:positionH>
                <wp:positionV relativeFrom="paragraph">
                  <wp:posOffset>199390</wp:posOffset>
                </wp:positionV>
                <wp:extent cx="6096000" cy="783869"/>
                <wp:effectExtent l="0" t="0" r="0" b="0"/>
                <wp:wrapSquare wrapText="bothSides"/>
                <wp:docPr id="11" name="Rectangle 10"/>
                <wp:cNvGraphicFramePr/>
                <a:graphic xmlns:a="http://schemas.openxmlformats.org/drawingml/2006/main">
                  <a:graphicData uri="http://schemas.microsoft.com/office/word/2010/wordprocessingShape">
                    <wps:wsp>
                      <wps:cNvSpPr/>
                      <wps:spPr>
                        <a:xfrm>
                          <a:off x="0" y="0"/>
                          <a:ext cx="6096000" cy="783869"/>
                        </a:xfrm>
                        <a:prstGeom prst="rect">
                          <a:avLst/>
                        </a:prstGeom>
                      </wps:spPr>
                      <wps:txbx>
                        <w:txbxContent>
                          <w:p w14:paraId="0D80E547" w14:textId="77777777" w:rsidR="007077E3" w:rsidRDefault="007077E3" w:rsidP="007077E3">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Figure S2</w:t>
                            </w:r>
                            <w:r>
                              <w:rPr>
                                <w:rFonts w:ascii="Arial" w:eastAsia="Calibri" w:hAnsi="Arial" w:cstheme="minorBidi"/>
                                <w:color w:val="000000" w:themeColor="text1"/>
                                <w:kern w:val="24"/>
                                <w:sz w:val="28"/>
                                <w:szCs w:val="28"/>
                              </w:rPr>
                              <w:t xml:space="preserve">. RNA analysis by </w:t>
                            </w:r>
                            <w:proofErr w:type="spellStart"/>
                            <w:r>
                              <w:rPr>
                                <w:rFonts w:ascii="Arial" w:eastAsia="Calibri" w:hAnsi="Arial" w:cstheme="minorBidi"/>
                                <w:color w:val="000000" w:themeColor="text1"/>
                                <w:kern w:val="24"/>
                                <w:sz w:val="28"/>
                                <w:szCs w:val="28"/>
                              </w:rPr>
                              <w:t>Bioanalyzer</w:t>
                            </w:r>
                            <w:proofErr w:type="spellEnd"/>
                            <w:r>
                              <w:rPr>
                                <w:rFonts w:ascii="Arial" w:eastAsia="Calibri" w:hAnsi="Arial" w:cstheme="minorBidi"/>
                                <w:color w:val="000000" w:themeColor="text1"/>
                                <w:kern w:val="24"/>
                                <w:sz w:val="28"/>
                                <w:szCs w:val="28"/>
                              </w:rPr>
                              <w:t xml:space="preserve">. Total RNA was isolated from the exosomes and RNA (6-150 nucleotides) was analyzed with </w:t>
                            </w:r>
                            <w:proofErr w:type="spellStart"/>
                            <w:r>
                              <w:rPr>
                                <w:rFonts w:ascii="Arial" w:eastAsia="Calibri" w:hAnsi="Arial" w:cstheme="minorBidi"/>
                                <w:color w:val="000000" w:themeColor="text1"/>
                                <w:kern w:val="24"/>
                                <w:sz w:val="28"/>
                                <w:szCs w:val="28"/>
                              </w:rPr>
                              <w:t>PicoChip</w:t>
                            </w:r>
                            <w:proofErr w:type="spellEnd"/>
                            <w:r>
                              <w:rPr>
                                <w:rFonts w:ascii="Arial" w:eastAsia="Calibri" w:hAnsi="Arial" w:cstheme="minorBidi"/>
                                <w:color w:val="000000" w:themeColor="text1"/>
                                <w:kern w:val="24"/>
                                <w:sz w:val="28"/>
                                <w:szCs w:val="28"/>
                              </w:rPr>
                              <w:t xml:space="preserve"> using Agilent 2100 </w:t>
                            </w:r>
                            <w:proofErr w:type="spellStart"/>
                            <w:r>
                              <w:rPr>
                                <w:rFonts w:ascii="Arial" w:eastAsia="Calibri" w:hAnsi="Arial" w:cstheme="minorBidi"/>
                                <w:color w:val="000000" w:themeColor="text1"/>
                                <w:kern w:val="24"/>
                                <w:sz w:val="28"/>
                                <w:szCs w:val="28"/>
                              </w:rPr>
                              <w:t>Bioanalyzer</w:t>
                            </w:r>
                            <w:proofErr w:type="spellEnd"/>
                            <w:r>
                              <w:rPr>
                                <w:rFonts w:ascii="Arial" w:eastAsia="Calibri" w:hAnsi="Arial" w:cstheme="minorBidi"/>
                                <w:color w:val="000000" w:themeColor="text1"/>
                                <w:kern w:val="24"/>
                                <w:sz w:val="28"/>
                                <w:szCs w:val="28"/>
                              </w:rPr>
                              <w:t xml:space="preserve">; a) Healthy, b) IPMN, c) PDAC.  </w:t>
                            </w:r>
                          </w:p>
                        </w:txbxContent>
                      </wps:txbx>
                      <wps:bodyPr>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EC49FA" id="Rectangle 10" o:spid="_x0000_s1027" style="position:absolute;margin-left:0;margin-top:15.7pt;width:480pt;height:61.7pt;z-index:2516643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" filled="f" stroked="f">
                <v:textbox style="mso-fit-shape-to-text:t">
                  <w:txbxContent>
                    <w:p w14:paraId="0D80E547" w14:textId="77777777" w:rsidR="007077E3" w:rsidRDefault="007077E3" w:rsidP="007077E3">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Figure S2</w:t>
                      </w:r>
                      <w:r>
                        <w:rPr>
                          <w:rFonts w:ascii="Arial" w:eastAsia="Calibri" w:hAnsi="Arial" w:cstheme="minorBidi"/>
                          <w:color w:val="000000" w:themeColor="text1"/>
                          <w:kern w:val="24"/>
                          <w:sz w:val="28"/>
                          <w:szCs w:val="28"/>
                        </w:rPr>
                        <w:t xml:space="preserve">. RNA analysis by Bioanalyzer. Total RNA was isolated from the exosomes and RNA (6-150 nucleotides) was analyzed with </w:t>
                      </w:r>
                      <w:r>
                        <w:rPr>
                          <w:rFonts w:ascii="Arial" w:eastAsia="Calibri" w:hAnsi="Arial" w:cstheme="minorBidi"/>
                          <w:color w:val="000000" w:themeColor="text1"/>
                          <w:kern w:val="24"/>
                          <w:sz w:val="28"/>
                          <w:szCs w:val="28"/>
                        </w:rPr>
                        <w:t xml:space="preserve">PicoChip using Agilent 2100 Bioanalyzer; a) Healthy, b) IPMN, c) PDAC.  </w:t>
                      </w:r>
                    </w:p>
                  </w:txbxContent>
                </v:textbox>
                <w10:wrap type="square" anchorx="margin"/>
              </v:rect>
            </w:pict>
          </mc:Fallback>
        </mc:AlternateContent>
      </w:r>
    </w:p>
    <w:p w14:paraId="2049F5C4" w14:textId="0CFCF359" w:rsidR="00CA5F5C" w:rsidRDefault="00CA5F5C" w:rsidP="00CA5F5C">
      <w:pPr>
        <w:pStyle w:val="BodyText"/>
        <w:rPr>
          <w:b/>
        </w:rPr>
      </w:pPr>
    </w:p>
    <w:p w14:paraId="78809B32" w14:textId="5DF4CF49" w:rsidR="00CA5F5C" w:rsidRDefault="00CA5F5C" w:rsidP="00CA5F5C">
      <w:pPr>
        <w:pStyle w:val="BodyText"/>
        <w:rPr>
          <w:b/>
        </w:rPr>
      </w:pPr>
    </w:p>
    <w:p w14:paraId="3169F84E" w14:textId="77777777" w:rsidR="00CA5F5C" w:rsidRDefault="00CA5F5C" w:rsidP="00CA5F5C">
      <w:pPr>
        <w:pStyle w:val="BodyText"/>
        <w:rPr>
          <w:b/>
        </w:rPr>
      </w:pPr>
    </w:p>
    <w:p w14:paraId="28AB5FAD" w14:textId="77777777" w:rsidR="00CA5F5C" w:rsidRDefault="00CA5F5C" w:rsidP="00CA5F5C">
      <w:pPr>
        <w:pStyle w:val="BodyText"/>
        <w:rPr>
          <w:b/>
        </w:rPr>
      </w:pPr>
    </w:p>
    <w:p w14:paraId="0AD69EB4" w14:textId="77777777" w:rsidR="00CA5F5C" w:rsidRDefault="00CA5F5C" w:rsidP="00CA5F5C">
      <w:pPr>
        <w:pStyle w:val="BodyText"/>
        <w:rPr>
          <w:b/>
        </w:rPr>
      </w:pPr>
    </w:p>
    <w:p w14:paraId="34F10D2E" w14:textId="77777777" w:rsidR="00CA5F5C" w:rsidRDefault="00CA5F5C" w:rsidP="00CA5F5C">
      <w:pPr>
        <w:pStyle w:val="BodyText"/>
        <w:rPr>
          <w:b/>
        </w:rPr>
      </w:pPr>
    </w:p>
    <w:p w14:paraId="1AE267F3" w14:textId="77777777" w:rsidR="00CA5F5C" w:rsidRDefault="00CA5F5C" w:rsidP="00CA5F5C">
      <w:pPr>
        <w:pStyle w:val="BodyText"/>
        <w:rPr>
          <w:b/>
        </w:rPr>
      </w:pPr>
    </w:p>
    <w:p w14:paraId="616222AE" w14:textId="2DD137D3" w:rsidR="00CA5F5C" w:rsidRDefault="00A225FD" w:rsidP="00CA5F5C">
      <w:pPr>
        <w:pStyle w:val="BodyText"/>
        <w:rPr>
          <w:b/>
        </w:rPr>
      </w:pPr>
      <w:r w:rsidRPr="007077E3">
        <w:rPr>
          <w:b/>
          <w:noProof/>
          <w:lang w:val="en-GB" w:eastAsia="en-GB"/>
        </w:rPr>
        <w:lastRenderedPageBreak/>
        <mc:AlternateContent>
          <mc:Choice Requires="wps">
            <w:drawing>
              <wp:anchor distT="0" distB="0" distL="114300" distR="114300" simplePos="0" relativeHeight="251666432" behindDoc="0" locked="0" layoutInCell="1" allowOverlap="1" wp14:anchorId="17BE5FB5" wp14:editId="1745CE38">
                <wp:simplePos x="0" y="0"/>
                <wp:positionH relativeFrom="column">
                  <wp:posOffset>-114300</wp:posOffset>
                </wp:positionH>
                <wp:positionV relativeFrom="paragraph">
                  <wp:posOffset>3187700</wp:posOffset>
                </wp:positionV>
                <wp:extent cx="6096000" cy="783869"/>
                <wp:effectExtent l="0" t="0" r="0" b="0"/>
                <wp:wrapSquare wrapText="bothSides"/>
                <wp:docPr id="6" name="Rectangle 4"/>
                <wp:cNvGraphicFramePr/>
                <a:graphic xmlns:a="http://schemas.openxmlformats.org/drawingml/2006/main">
                  <a:graphicData uri="http://schemas.microsoft.com/office/word/2010/wordprocessingShape">
                    <wps:wsp>
                      <wps:cNvSpPr/>
                      <wps:spPr>
                        <a:xfrm>
                          <a:off x="0" y="0"/>
                          <a:ext cx="6096000" cy="783869"/>
                        </a:xfrm>
                        <a:prstGeom prst="rect">
                          <a:avLst/>
                        </a:prstGeom>
                      </wps:spPr>
                      <wps:txbx>
                        <w:txbxContent>
                          <w:p w14:paraId="3DD1BB17" w14:textId="77777777" w:rsidR="007077E3" w:rsidRDefault="007077E3" w:rsidP="007077E3">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 xml:space="preserve">Figure S3. </w:t>
                            </w:r>
                            <w:r>
                              <w:rPr>
                                <w:rFonts w:ascii="Arial" w:eastAsia="Calibri" w:hAnsi="Arial" w:cstheme="minorBidi"/>
                                <w:color w:val="000000" w:themeColor="text1"/>
                                <w:kern w:val="24"/>
                                <w:sz w:val="28"/>
                                <w:szCs w:val="28"/>
                              </w:rPr>
                              <w:t>Sequence reads for quality. Number of reads before and after quality assessment and filtering in different samples and indicated by color codes.</w:t>
                            </w:r>
                          </w:p>
                        </w:txbxContent>
                      </wps:txbx>
                      <wps:bodyPr>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BE5FB5" id="Rectangle 4" o:spid="_x0000_s1028" style="position:absolute;margin-left:-9pt;margin-top:251pt;width:480pt;height:61.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" filled="f" stroked="f">
                <v:textbox style="mso-fit-shape-to-text:t">
                  <w:txbxContent>
                    <w:p w14:paraId="3DD1BB17" w14:textId="77777777" w:rsidR="007077E3" w:rsidRDefault="007077E3" w:rsidP="007077E3">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 xml:space="preserve">Figure S3. </w:t>
                      </w:r>
                      <w:r>
                        <w:rPr>
                          <w:rFonts w:ascii="Arial" w:eastAsia="Calibri" w:hAnsi="Arial" w:cstheme="minorBidi"/>
                          <w:color w:val="000000" w:themeColor="text1"/>
                          <w:kern w:val="24"/>
                          <w:sz w:val="28"/>
                          <w:szCs w:val="28"/>
                        </w:rPr>
                        <w:t>Sequence reads for quality. Number of reads before and after quality assessment and filtering in different samples and indicated by color codes.</w:t>
                      </w:r>
                    </w:p>
                  </w:txbxContent>
                </v:textbox>
                <w10:wrap type="square"/>
              </v:rect>
            </w:pict>
          </mc:Fallback>
        </mc:AlternateContent>
      </w:r>
      <w:r w:rsidR="00811EF3" w:rsidRPr="00CA5F5C">
        <w:rPr>
          <w:b/>
          <w:noProof/>
          <w:lang w:val="en-GB" w:eastAsia="en-GB"/>
        </w:rPr>
        <w:drawing>
          <wp:inline distT="0" distB="0" distL="0" distR="0" wp14:anchorId="44C085B6" wp14:editId="269E5602">
            <wp:extent cx="5943600" cy="2985770"/>
            <wp:effectExtent l="19050" t="19050" r="19050" b="241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985770"/>
                    </a:xfrm>
                    <a:prstGeom prst="rect">
                      <a:avLst/>
                    </a:prstGeom>
                    <a:ln>
                      <a:solidFill>
                        <a:schemeClr val="tx1"/>
                      </a:solidFill>
                    </a:ln>
                  </pic:spPr>
                </pic:pic>
              </a:graphicData>
            </a:graphic>
          </wp:inline>
        </w:drawing>
      </w:r>
    </w:p>
    <w:p w14:paraId="08E8F3FB" w14:textId="6D5063DE" w:rsidR="00CA5F5C" w:rsidRDefault="00CA5F5C" w:rsidP="00CA5F5C">
      <w:pPr>
        <w:pStyle w:val="BodyText"/>
        <w:rPr>
          <w:b/>
        </w:rPr>
      </w:pPr>
    </w:p>
    <w:p w14:paraId="6E169E6E" w14:textId="3F2A76DA" w:rsidR="00CA5F5C" w:rsidRDefault="00CA5F5C" w:rsidP="00CA5F5C">
      <w:pPr>
        <w:pStyle w:val="BodyText"/>
        <w:rPr>
          <w:b/>
        </w:rPr>
      </w:pPr>
    </w:p>
    <w:p w14:paraId="58996297" w14:textId="07233971" w:rsidR="00CA5F5C" w:rsidRDefault="00CA5F5C" w:rsidP="00CA5F5C">
      <w:pPr>
        <w:pStyle w:val="BodyText"/>
        <w:rPr>
          <w:b/>
        </w:rPr>
      </w:pPr>
    </w:p>
    <w:p w14:paraId="26704807" w14:textId="77777777" w:rsidR="00CA5F5C" w:rsidRDefault="00CA5F5C" w:rsidP="00CA5F5C">
      <w:pPr>
        <w:pStyle w:val="BodyText"/>
        <w:rPr>
          <w:b/>
        </w:rPr>
      </w:pPr>
    </w:p>
    <w:p w14:paraId="48F8EA28" w14:textId="77777777" w:rsidR="00CA5F5C" w:rsidRDefault="00CA5F5C" w:rsidP="00CA5F5C">
      <w:pPr>
        <w:pStyle w:val="BodyText"/>
        <w:rPr>
          <w:b/>
        </w:rPr>
      </w:pPr>
    </w:p>
    <w:p w14:paraId="615255E9" w14:textId="77777777" w:rsidR="00CA5F5C" w:rsidRDefault="00CA5F5C" w:rsidP="00CA5F5C">
      <w:pPr>
        <w:pStyle w:val="BodyText"/>
        <w:rPr>
          <w:b/>
        </w:rPr>
      </w:pPr>
    </w:p>
    <w:p w14:paraId="302B1564" w14:textId="77777777" w:rsidR="00CA5F5C" w:rsidRDefault="00CA5F5C" w:rsidP="00CA5F5C">
      <w:pPr>
        <w:pStyle w:val="BodyText"/>
        <w:rPr>
          <w:b/>
        </w:rPr>
      </w:pPr>
    </w:p>
    <w:p w14:paraId="6198FAAC" w14:textId="77777777" w:rsidR="00CA5F5C" w:rsidRDefault="00CA5F5C" w:rsidP="00CA5F5C">
      <w:pPr>
        <w:pStyle w:val="BodyText"/>
        <w:rPr>
          <w:b/>
        </w:rPr>
      </w:pPr>
    </w:p>
    <w:p w14:paraId="4B78ACDC" w14:textId="77777777" w:rsidR="00CA5F5C" w:rsidRDefault="00CA5F5C" w:rsidP="00CA5F5C">
      <w:pPr>
        <w:pStyle w:val="BodyText"/>
        <w:rPr>
          <w:b/>
        </w:rPr>
      </w:pPr>
    </w:p>
    <w:p w14:paraId="73AFCD99" w14:textId="77777777" w:rsidR="00CA5F5C" w:rsidRDefault="00CA5F5C" w:rsidP="00CA5F5C">
      <w:pPr>
        <w:pStyle w:val="BodyText"/>
        <w:rPr>
          <w:b/>
        </w:rPr>
      </w:pPr>
    </w:p>
    <w:p w14:paraId="5B23A8AB" w14:textId="77777777" w:rsidR="00CA5F5C" w:rsidRDefault="00CA5F5C" w:rsidP="00CA5F5C">
      <w:pPr>
        <w:pStyle w:val="BodyText"/>
        <w:rPr>
          <w:b/>
        </w:rPr>
      </w:pPr>
    </w:p>
    <w:p w14:paraId="68032DB8" w14:textId="77777777" w:rsidR="00CA5F5C" w:rsidRDefault="00CA5F5C" w:rsidP="00CA5F5C">
      <w:pPr>
        <w:pStyle w:val="BodyText"/>
        <w:rPr>
          <w:b/>
        </w:rPr>
      </w:pPr>
    </w:p>
    <w:p w14:paraId="10CBF9C6" w14:textId="77777777" w:rsidR="00CA5F5C" w:rsidRDefault="00CA5F5C" w:rsidP="00CA5F5C">
      <w:pPr>
        <w:pStyle w:val="BodyText"/>
        <w:rPr>
          <w:b/>
        </w:rPr>
      </w:pPr>
    </w:p>
    <w:p w14:paraId="54FA8465" w14:textId="77777777" w:rsidR="00CA5F5C" w:rsidRDefault="00CA5F5C" w:rsidP="00CA5F5C">
      <w:pPr>
        <w:pStyle w:val="BodyText"/>
        <w:rPr>
          <w:b/>
        </w:rPr>
      </w:pPr>
    </w:p>
    <w:p w14:paraId="46FE3EDE" w14:textId="77777777" w:rsidR="00CA5F5C" w:rsidRDefault="00CA5F5C" w:rsidP="00CA5F5C">
      <w:pPr>
        <w:pStyle w:val="BodyText"/>
        <w:rPr>
          <w:b/>
        </w:rPr>
      </w:pPr>
    </w:p>
    <w:p w14:paraId="0634E709" w14:textId="5B921D3E" w:rsidR="00CA5F5C" w:rsidRDefault="006D35B6" w:rsidP="00CA5F5C">
      <w:pPr>
        <w:pStyle w:val="BodyText"/>
        <w:rPr>
          <w:b/>
        </w:rPr>
      </w:pPr>
      <w:r w:rsidRPr="007077E3">
        <w:rPr>
          <w:b/>
          <w:noProof/>
          <w:lang w:val="en-GB" w:eastAsia="en-GB"/>
        </w:rPr>
        <mc:AlternateContent>
          <mc:Choice Requires="wps">
            <w:drawing>
              <wp:anchor distT="0" distB="0" distL="114300" distR="114300" simplePos="0" relativeHeight="251668480" behindDoc="0" locked="0" layoutInCell="1" allowOverlap="1" wp14:anchorId="67C36CE2" wp14:editId="0F78BBC1">
                <wp:simplePos x="0" y="0"/>
                <wp:positionH relativeFrom="margin">
                  <wp:align>left</wp:align>
                </wp:positionH>
                <wp:positionV relativeFrom="paragraph">
                  <wp:posOffset>3590290</wp:posOffset>
                </wp:positionV>
                <wp:extent cx="6096000" cy="1014380"/>
                <wp:effectExtent l="0" t="0" r="0" b="0"/>
                <wp:wrapSquare wrapText="bothSides"/>
                <wp:docPr id="7" name="Rectangle 4"/>
                <wp:cNvGraphicFramePr/>
                <a:graphic xmlns:a="http://schemas.openxmlformats.org/drawingml/2006/main">
                  <a:graphicData uri="http://schemas.microsoft.com/office/word/2010/wordprocessingShape">
                    <wps:wsp>
                      <wps:cNvSpPr/>
                      <wps:spPr>
                        <a:xfrm>
                          <a:off x="0" y="0"/>
                          <a:ext cx="6096000" cy="1014380"/>
                        </a:xfrm>
                        <a:prstGeom prst="rect">
                          <a:avLst/>
                        </a:prstGeom>
                      </wps:spPr>
                      <wps:txbx>
                        <w:txbxContent>
                          <w:p w14:paraId="4734E45F" w14:textId="77777777" w:rsidR="007077E3" w:rsidRDefault="007077E3" w:rsidP="007077E3">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 xml:space="preserve">Figure S4. </w:t>
                            </w:r>
                            <w:r>
                              <w:rPr>
                                <w:rFonts w:ascii="Arial" w:eastAsia="Calibri" w:hAnsi="Arial" w:cstheme="minorBidi"/>
                                <w:color w:val="000000" w:themeColor="text1"/>
                                <w:kern w:val="24"/>
                                <w:sz w:val="28"/>
                                <w:szCs w:val="28"/>
                              </w:rPr>
                              <w:t>Sequence read quality assessment. Quality assessment (QA) results are shown. Reads retained after QA are shown in blue. Reads that were discarded after adapter trimming or due to poor quality are shown in green and orange, respectively.</w:t>
                            </w:r>
                          </w:p>
                        </w:txbxContent>
                      </wps:txbx>
                      <wps:bodyPr>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C36CE2" id="_x0000_s1029" style="position:absolute;margin-left:0;margin-top:282.7pt;width:480pt;height:79.85pt;z-index:2516684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" filled="f" stroked="f">
                <v:textbox style="mso-fit-shape-to-text:t">
                  <w:txbxContent>
                    <w:p w14:paraId="4734E45F" w14:textId="77777777" w:rsidR="007077E3" w:rsidRDefault="007077E3" w:rsidP="007077E3">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 xml:space="preserve">Figure S4. </w:t>
                      </w:r>
                      <w:r>
                        <w:rPr>
                          <w:rFonts w:ascii="Arial" w:eastAsia="Calibri" w:hAnsi="Arial" w:cstheme="minorBidi"/>
                          <w:color w:val="000000" w:themeColor="text1"/>
                          <w:kern w:val="24"/>
                          <w:sz w:val="28"/>
                          <w:szCs w:val="28"/>
                        </w:rPr>
                        <w:t>Sequence read quality assessment. Quality assessment (QA) results are shown. Reads retained after QA are shown in blue. Reads that were discarded after adapter trimming or due to poor quality are shown in green and orange, respectively.</w:t>
                      </w:r>
                    </w:p>
                  </w:txbxContent>
                </v:textbox>
                <w10:wrap type="square" anchorx="margin"/>
              </v:rect>
            </w:pict>
          </mc:Fallback>
        </mc:AlternateContent>
      </w:r>
      <w:r w:rsidR="00811EF3" w:rsidRPr="00CA5F5C">
        <w:rPr>
          <w:b/>
          <w:noProof/>
          <w:lang w:val="en-GB" w:eastAsia="en-GB"/>
        </w:rPr>
        <w:drawing>
          <wp:anchor distT="0" distB="0" distL="114300" distR="114300" simplePos="0" relativeHeight="251682816" behindDoc="0" locked="0" layoutInCell="1" allowOverlap="1" wp14:anchorId="40AFD299" wp14:editId="342F0E5A">
            <wp:simplePos x="0" y="0"/>
            <wp:positionH relativeFrom="column">
              <wp:posOffset>0</wp:posOffset>
            </wp:positionH>
            <wp:positionV relativeFrom="paragraph">
              <wp:posOffset>310515</wp:posOffset>
            </wp:positionV>
            <wp:extent cx="5943600" cy="3128645"/>
            <wp:effectExtent l="19050" t="19050" r="19050" b="146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128645"/>
                    </a:xfrm>
                    <a:prstGeom prst="rect">
                      <a:avLst/>
                    </a:prstGeom>
                    <a:ln>
                      <a:solidFill>
                        <a:schemeClr val="tx1"/>
                      </a:solidFill>
                    </a:ln>
                  </pic:spPr>
                </pic:pic>
              </a:graphicData>
            </a:graphic>
          </wp:anchor>
        </w:drawing>
      </w:r>
    </w:p>
    <w:p w14:paraId="6A854A28" w14:textId="1D1B6A35" w:rsidR="00CA5F5C" w:rsidRDefault="00CA5F5C" w:rsidP="00CA5F5C">
      <w:pPr>
        <w:pStyle w:val="BodyText"/>
        <w:rPr>
          <w:b/>
        </w:rPr>
      </w:pPr>
    </w:p>
    <w:p w14:paraId="6C154FE9" w14:textId="7F3CD3B1" w:rsidR="007077E3" w:rsidRDefault="007077E3" w:rsidP="00CA5F5C">
      <w:pPr>
        <w:pStyle w:val="BodyText"/>
        <w:rPr>
          <w:b/>
        </w:rPr>
      </w:pPr>
    </w:p>
    <w:p w14:paraId="7FC7E399" w14:textId="77777777" w:rsidR="00CA5F5C" w:rsidRDefault="00CA5F5C" w:rsidP="00CA5F5C">
      <w:pPr>
        <w:pStyle w:val="BodyText"/>
        <w:rPr>
          <w:b/>
        </w:rPr>
      </w:pPr>
    </w:p>
    <w:p w14:paraId="115B546C" w14:textId="77777777" w:rsidR="00CA5F5C" w:rsidRDefault="00CA5F5C" w:rsidP="00CA5F5C">
      <w:pPr>
        <w:pStyle w:val="BodyText"/>
        <w:rPr>
          <w:b/>
        </w:rPr>
      </w:pPr>
    </w:p>
    <w:p w14:paraId="763ED90E" w14:textId="66097F17" w:rsidR="00CA5F5C" w:rsidRDefault="00CA5F5C" w:rsidP="00CA5F5C">
      <w:pPr>
        <w:pStyle w:val="BodyText"/>
        <w:rPr>
          <w:b/>
        </w:rPr>
      </w:pPr>
    </w:p>
    <w:p w14:paraId="51D19EE3" w14:textId="77777777" w:rsidR="00CA5F5C" w:rsidRDefault="00CA5F5C" w:rsidP="00CA5F5C">
      <w:pPr>
        <w:pStyle w:val="BodyText"/>
        <w:rPr>
          <w:b/>
        </w:rPr>
      </w:pPr>
    </w:p>
    <w:p w14:paraId="53847C88" w14:textId="77777777" w:rsidR="00CA5F5C" w:rsidRDefault="00CA5F5C" w:rsidP="00CA5F5C">
      <w:pPr>
        <w:pStyle w:val="BodyText"/>
        <w:rPr>
          <w:b/>
        </w:rPr>
      </w:pPr>
    </w:p>
    <w:p w14:paraId="4A7F18F0" w14:textId="77777777" w:rsidR="00CA5F5C" w:rsidRDefault="00CA5F5C" w:rsidP="00CA5F5C">
      <w:pPr>
        <w:pStyle w:val="BodyText"/>
        <w:rPr>
          <w:b/>
        </w:rPr>
      </w:pPr>
    </w:p>
    <w:p w14:paraId="77DB45FC" w14:textId="77777777" w:rsidR="00CA5F5C" w:rsidRDefault="00CA5F5C" w:rsidP="00CA5F5C">
      <w:pPr>
        <w:pStyle w:val="BodyText"/>
        <w:rPr>
          <w:b/>
        </w:rPr>
      </w:pPr>
    </w:p>
    <w:p w14:paraId="7BFD2EA2" w14:textId="77777777" w:rsidR="00CA5F5C" w:rsidRDefault="00CA5F5C" w:rsidP="00CA5F5C">
      <w:pPr>
        <w:pStyle w:val="BodyText"/>
        <w:rPr>
          <w:b/>
        </w:rPr>
      </w:pPr>
    </w:p>
    <w:p w14:paraId="17476F62" w14:textId="77777777" w:rsidR="00CA5F5C" w:rsidRDefault="00CA5F5C" w:rsidP="00CA5F5C">
      <w:pPr>
        <w:pStyle w:val="BodyText"/>
        <w:rPr>
          <w:b/>
        </w:rPr>
      </w:pPr>
    </w:p>
    <w:p w14:paraId="00401E63" w14:textId="349EA18D" w:rsidR="001020DE" w:rsidRDefault="001020DE" w:rsidP="00CA5F5C">
      <w:pPr>
        <w:pStyle w:val="BodyText"/>
        <w:rPr>
          <w:b/>
        </w:rPr>
      </w:pPr>
    </w:p>
    <w:p w14:paraId="74EC53FB" w14:textId="01CE9386" w:rsidR="001020DE" w:rsidRDefault="003A7AA3" w:rsidP="00CA5F5C">
      <w:pPr>
        <w:pStyle w:val="BodyText"/>
        <w:rPr>
          <w:b/>
        </w:rPr>
      </w:pPr>
      <w:r>
        <w:rPr>
          <w:b/>
          <w:noProof/>
          <w:lang w:val="en-GB" w:eastAsia="en-GB"/>
        </w:rPr>
        <w:drawing>
          <wp:anchor distT="0" distB="0" distL="114300" distR="114300" simplePos="0" relativeHeight="251680768" behindDoc="0" locked="0" layoutInCell="1" allowOverlap="1" wp14:anchorId="00BE2E60" wp14:editId="482A8A3D">
            <wp:simplePos x="0" y="0"/>
            <wp:positionH relativeFrom="column">
              <wp:posOffset>806450</wp:posOffset>
            </wp:positionH>
            <wp:positionV relativeFrom="paragraph">
              <wp:posOffset>7620</wp:posOffset>
            </wp:positionV>
            <wp:extent cx="4114800" cy="3534410"/>
            <wp:effectExtent l="19050" t="19050" r="19050" b="2794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53441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3133F7A6" w14:textId="7E9A3F5C" w:rsidR="001020DE" w:rsidRDefault="001020DE" w:rsidP="00CA5F5C">
      <w:pPr>
        <w:pStyle w:val="BodyText"/>
        <w:rPr>
          <w:b/>
        </w:rPr>
      </w:pPr>
    </w:p>
    <w:p w14:paraId="55F027A0" w14:textId="30A50158" w:rsidR="001020DE" w:rsidRDefault="001020DE" w:rsidP="00CA5F5C">
      <w:pPr>
        <w:pStyle w:val="BodyText"/>
        <w:rPr>
          <w:b/>
        </w:rPr>
      </w:pPr>
    </w:p>
    <w:p w14:paraId="50F2DC3C" w14:textId="5B4ED14A" w:rsidR="001020DE" w:rsidRDefault="001020DE" w:rsidP="00CA5F5C">
      <w:pPr>
        <w:pStyle w:val="BodyText"/>
        <w:rPr>
          <w:b/>
        </w:rPr>
      </w:pPr>
    </w:p>
    <w:p w14:paraId="2FAE8F2A" w14:textId="4CBCCB42" w:rsidR="001020DE" w:rsidRDefault="001020DE" w:rsidP="00CA5F5C">
      <w:pPr>
        <w:pStyle w:val="BodyText"/>
        <w:rPr>
          <w:b/>
        </w:rPr>
      </w:pPr>
    </w:p>
    <w:p w14:paraId="45B4B054" w14:textId="46EC3F1B" w:rsidR="001020DE" w:rsidRDefault="001020DE" w:rsidP="00CA5F5C">
      <w:pPr>
        <w:pStyle w:val="BodyText"/>
        <w:rPr>
          <w:b/>
        </w:rPr>
      </w:pPr>
    </w:p>
    <w:p w14:paraId="29F75E0B" w14:textId="77777777" w:rsidR="001020DE" w:rsidRDefault="001020DE" w:rsidP="00CA5F5C">
      <w:pPr>
        <w:pStyle w:val="BodyText"/>
        <w:rPr>
          <w:b/>
        </w:rPr>
      </w:pPr>
    </w:p>
    <w:p w14:paraId="4A51A6C7" w14:textId="77777777" w:rsidR="001020DE" w:rsidRDefault="001020DE" w:rsidP="00CA5F5C">
      <w:pPr>
        <w:pStyle w:val="BodyText"/>
        <w:rPr>
          <w:b/>
        </w:rPr>
      </w:pPr>
    </w:p>
    <w:p w14:paraId="4C282BFD" w14:textId="77777777" w:rsidR="001020DE" w:rsidRDefault="001020DE" w:rsidP="00CA5F5C">
      <w:pPr>
        <w:pStyle w:val="BodyText"/>
        <w:rPr>
          <w:b/>
        </w:rPr>
      </w:pPr>
    </w:p>
    <w:p w14:paraId="0BEC8769" w14:textId="77777777" w:rsidR="001020DE" w:rsidRDefault="001020DE" w:rsidP="00CA5F5C">
      <w:pPr>
        <w:pStyle w:val="BodyText"/>
        <w:rPr>
          <w:b/>
        </w:rPr>
      </w:pPr>
    </w:p>
    <w:p w14:paraId="63C3E6E1" w14:textId="77777777" w:rsidR="001020DE" w:rsidRDefault="001020DE" w:rsidP="00CA5F5C">
      <w:pPr>
        <w:pStyle w:val="BodyText"/>
        <w:rPr>
          <w:b/>
        </w:rPr>
      </w:pPr>
    </w:p>
    <w:p w14:paraId="758FF2A8" w14:textId="77777777" w:rsidR="001020DE" w:rsidRDefault="001020DE" w:rsidP="00CA5F5C">
      <w:pPr>
        <w:pStyle w:val="BodyText"/>
        <w:rPr>
          <w:b/>
        </w:rPr>
      </w:pPr>
    </w:p>
    <w:p w14:paraId="43A4B24E" w14:textId="6674DD98" w:rsidR="001020DE" w:rsidRDefault="001020DE" w:rsidP="00CA5F5C">
      <w:pPr>
        <w:pStyle w:val="BodyText"/>
        <w:rPr>
          <w:b/>
        </w:rPr>
      </w:pPr>
      <w:r w:rsidRPr="007077E3">
        <w:rPr>
          <w:b/>
          <w:noProof/>
          <w:lang w:val="en-GB" w:eastAsia="en-GB"/>
        </w:rPr>
        <mc:AlternateContent>
          <mc:Choice Requires="wps">
            <w:drawing>
              <wp:anchor distT="0" distB="0" distL="114300" distR="114300" simplePos="0" relativeHeight="251679744" behindDoc="0" locked="0" layoutInCell="1" allowOverlap="1" wp14:anchorId="49E8DD0E" wp14:editId="7DBDA754">
                <wp:simplePos x="0" y="0"/>
                <wp:positionH relativeFrom="column">
                  <wp:posOffset>127000</wp:posOffset>
                </wp:positionH>
                <wp:positionV relativeFrom="paragraph">
                  <wp:posOffset>287655</wp:posOffset>
                </wp:positionV>
                <wp:extent cx="6096000" cy="1014095"/>
                <wp:effectExtent l="0" t="0" r="0" b="0"/>
                <wp:wrapSquare wrapText="bothSides"/>
                <wp:docPr id="13" name="Rectangle 4"/>
                <wp:cNvGraphicFramePr/>
                <a:graphic xmlns:a="http://schemas.openxmlformats.org/drawingml/2006/main">
                  <a:graphicData uri="http://schemas.microsoft.com/office/word/2010/wordprocessingShape">
                    <wps:wsp>
                      <wps:cNvSpPr/>
                      <wps:spPr>
                        <a:xfrm>
                          <a:off x="0" y="0"/>
                          <a:ext cx="6096000" cy="1014095"/>
                        </a:xfrm>
                        <a:prstGeom prst="rect">
                          <a:avLst/>
                        </a:prstGeom>
                      </wps:spPr>
                      <wps:txbx>
                        <w:txbxContent>
                          <w:p w14:paraId="4B043CF2" w14:textId="3E6D0521" w:rsidR="001020DE" w:rsidRPr="001020DE" w:rsidRDefault="001020DE" w:rsidP="001020DE">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 xml:space="preserve">Figure S5. </w:t>
                            </w:r>
                            <w:r>
                              <w:rPr>
                                <w:rFonts w:ascii="Arial" w:eastAsia="Calibri" w:hAnsi="Arial" w:cstheme="minorBidi"/>
                                <w:bCs/>
                                <w:color w:val="000000" w:themeColor="text1"/>
                                <w:kern w:val="24"/>
                                <w:sz w:val="28"/>
                                <w:szCs w:val="28"/>
                              </w:rPr>
                              <w:t xml:space="preserve">Pie charts depicting </w:t>
                            </w:r>
                            <w:r w:rsidR="00BD09C8">
                              <w:rPr>
                                <w:rFonts w:ascii="Arial" w:eastAsia="Calibri" w:hAnsi="Arial" w:cstheme="minorBidi"/>
                                <w:bCs/>
                                <w:color w:val="000000" w:themeColor="text1"/>
                                <w:kern w:val="24"/>
                                <w:sz w:val="28"/>
                                <w:szCs w:val="28"/>
                              </w:rPr>
                              <w:t>various annotation types in</w:t>
                            </w:r>
                            <w:r>
                              <w:rPr>
                                <w:rFonts w:ascii="Arial" w:eastAsia="Calibri" w:hAnsi="Arial" w:cstheme="minorBidi"/>
                                <w:bCs/>
                                <w:color w:val="000000" w:themeColor="text1"/>
                                <w:kern w:val="24"/>
                                <w:sz w:val="28"/>
                                <w:szCs w:val="28"/>
                              </w:rPr>
                              <w:t xml:space="preserve"> serum exosomes. </w:t>
                            </w:r>
                            <w:r w:rsidRPr="001020DE">
                              <w:rPr>
                                <w:rFonts w:ascii="Arial" w:eastAsia="Calibri" w:hAnsi="Arial" w:cstheme="minorBidi"/>
                                <w:bCs/>
                                <w:color w:val="000000" w:themeColor="text1"/>
                                <w:kern w:val="24"/>
                                <w:sz w:val="28"/>
                                <w:szCs w:val="28"/>
                              </w:rPr>
                              <w:t xml:space="preserve"> The p</w:t>
                            </w:r>
                            <w:r w:rsidR="00AF78CF">
                              <w:rPr>
                                <w:rFonts w:ascii="Arial" w:eastAsia="Calibri" w:hAnsi="Arial" w:cstheme="minorBidi"/>
                                <w:bCs/>
                                <w:color w:val="000000" w:themeColor="text1"/>
                                <w:kern w:val="24"/>
                                <w:sz w:val="28"/>
                                <w:szCs w:val="28"/>
                              </w:rPr>
                              <w:t>ie chart is a representative of reads derived from different RNAs and other annotation categories in serum exosomes. IPMN (a), PDAC (b), Healthy (c).</w:t>
                            </w:r>
                          </w:p>
                        </w:txbxContent>
                      </wps:txbx>
                      <wps:bodyPr>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E8DD0E" id="_x0000_s1030" style="position:absolute;margin-left:10pt;margin-top:22.65pt;width:480pt;height:79.8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" filled="f" stroked="f">
                <v:textbox style="mso-fit-shape-to-text:t">
                  <w:txbxContent>
                    <w:p w14:paraId="4B043CF2" w14:textId="3E6D0521" w:rsidR="001020DE" w:rsidRPr="001020DE" w:rsidRDefault="001020DE" w:rsidP="001020DE">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 xml:space="preserve">Figure S5. </w:t>
                      </w:r>
                      <w:r>
                        <w:rPr>
                          <w:rFonts w:ascii="Arial" w:eastAsia="Calibri" w:hAnsi="Arial" w:cstheme="minorBidi"/>
                          <w:bCs/>
                          <w:color w:val="000000" w:themeColor="text1"/>
                          <w:kern w:val="24"/>
                          <w:sz w:val="28"/>
                          <w:szCs w:val="28"/>
                        </w:rPr>
                        <w:t xml:space="preserve">Pie charts depicting </w:t>
                      </w:r>
                      <w:r w:rsidR="00BD09C8">
                        <w:rPr>
                          <w:rFonts w:ascii="Arial" w:eastAsia="Calibri" w:hAnsi="Arial" w:cstheme="minorBidi"/>
                          <w:bCs/>
                          <w:color w:val="000000" w:themeColor="text1"/>
                          <w:kern w:val="24"/>
                          <w:sz w:val="28"/>
                          <w:szCs w:val="28"/>
                        </w:rPr>
                        <w:t>various annotation types in</w:t>
                      </w:r>
                      <w:r>
                        <w:rPr>
                          <w:rFonts w:ascii="Arial" w:eastAsia="Calibri" w:hAnsi="Arial" w:cstheme="minorBidi"/>
                          <w:bCs/>
                          <w:color w:val="000000" w:themeColor="text1"/>
                          <w:kern w:val="24"/>
                          <w:sz w:val="28"/>
                          <w:szCs w:val="28"/>
                        </w:rPr>
                        <w:t xml:space="preserve"> serum exosomes. </w:t>
                      </w:r>
                      <w:r w:rsidRPr="001020DE">
                        <w:rPr>
                          <w:rFonts w:ascii="Arial" w:eastAsia="Calibri" w:hAnsi="Arial" w:cstheme="minorBidi"/>
                          <w:bCs/>
                          <w:color w:val="000000" w:themeColor="text1"/>
                          <w:kern w:val="24"/>
                          <w:sz w:val="28"/>
                          <w:szCs w:val="28"/>
                        </w:rPr>
                        <w:t xml:space="preserve"> The p</w:t>
                      </w:r>
                      <w:r w:rsidR="00AF78CF">
                        <w:rPr>
                          <w:rFonts w:ascii="Arial" w:eastAsia="Calibri" w:hAnsi="Arial" w:cstheme="minorBidi"/>
                          <w:bCs/>
                          <w:color w:val="000000" w:themeColor="text1"/>
                          <w:kern w:val="24"/>
                          <w:sz w:val="28"/>
                          <w:szCs w:val="28"/>
                        </w:rPr>
                        <w:t>ie chart is a representative of reads derived from different RNAs and other annotation categories in serum exosomes. IPMN (a), PDAC (b), Healthy (c).</w:t>
                      </w:r>
                    </w:p>
                  </w:txbxContent>
                </v:textbox>
                <w10:wrap type="square"/>
              </v:rect>
            </w:pict>
          </mc:Fallback>
        </mc:AlternateContent>
      </w:r>
    </w:p>
    <w:p w14:paraId="16FD2D80" w14:textId="77044FE9" w:rsidR="001020DE" w:rsidRDefault="001020DE" w:rsidP="00CA5F5C">
      <w:pPr>
        <w:pStyle w:val="BodyText"/>
        <w:rPr>
          <w:b/>
        </w:rPr>
      </w:pPr>
    </w:p>
    <w:p w14:paraId="3C0BB089" w14:textId="040CACED" w:rsidR="001020DE" w:rsidRDefault="001020DE" w:rsidP="00CA5F5C">
      <w:pPr>
        <w:pStyle w:val="BodyText"/>
        <w:rPr>
          <w:b/>
        </w:rPr>
      </w:pPr>
    </w:p>
    <w:p w14:paraId="7F26D218" w14:textId="2C5F7E16" w:rsidR="001020DE" w:rsidRDefault="001020DE" w:rsidP="00CA5F5C">
      <w:pPr>
        <w:pStyle w:val="BodyText"/>
        <w:rPr>
          <w:b/>
        </w:rPr>
      </w:pPr>
    </w:p>
    <w:p w14:paraId="10CB4640" w14:textId="77777777" w:rsidR="001020DE" w:rsidRDefault="001020DE" w:rsidP="00CA5F5C">
      <w:pPr>
        <w:pStyle w:val="BodyText"/>
        <w:rPr>
          <w:b/>
        </w:rPr>
      </w:pPr>
    </w:p>
    <w:p w14:paraId="3D322CFE" w14:textId="77777777" w:rsidR="001020DE" w:rsidRDefault="001020DE" w:rsidP="00CA5F5C">
      <w:pPr>
        <w:pStyle w:val="BodyText"/>
        <w:rPr>
          <w:b/>
        </w:rPr>
      </w:pPr>
    </w:p>
    <w:p w14:paraId="76C5115A" w14:textId="77777777" w:rsidR="001020DE" w:rsidRDefault="001020DE" w:rsidP="00CA5F5C">
      <w:pPr>
        <w:pStyle w:val="BodyText"/>
        <w:rPr>
          <w:b/>
        </w:rPr>
      </w:pPr>
    </w:p>
    <w:p w14:paraId="4B6FFD10" w14:textId="77777777" w:rsidR="001020DE" w:rsidRDefault="001020DE" w:rsidP="00CA5F5C">
      <w:pPr>
        <w:pStyle w:val="BodyText"/>
        <w:rPr>
          <w:b/>
        </w:rPr>
      </w:pPr>
    </w:p>
    <w:p w14:paraId="5F810323" w14:textId="77777777" w:rsidR="001020DE" w:rsidRDefault="001020DE" w:rsidP="00CA5F5C">
      <w:pPr>
        <w:pStyle w:val="BodyText"/>
        <w:rPr>
          <w:b/>
        </w:rPr>
      </w:pPr>
    </w:p>
    <w:p w14:paraId="1C1FC5B9" w14:textId="77777777" w:rsidR="001020DE" w:rsidRDefault="001020DE" w:rsidP="00CA5F5C">
      <w:pPr>
        <w:pStyle w:val="BodyText"/>
        <w:rPr>
          <w:b/>
        </w:rPr>
      </w:pPr>
    </w:p>
    <w:p w14:paraId="7D1E75CB" w14:textId="77777777" w:rsidR="001020DE" w:rsidRDefault="001020DE" w:rsidP="00CA5F5C">
      <w:pPr>
        <w:pStyle w:val="BodyText"/>
        <w:rPr>
          <w:b/>
        </w:rPr>
      </w:pPr>
    </w:p>
    <w:p w14:paraId="71BC25A8" w14:textId="77777777" w:rsidR="001020DE" w:rsidRDefault="001020DE" w:rsidP="00CA5F5C">
      <w:pPr>
        <w:pStyle w:val="BodyText"/>
        <w:rPr>
          <w:b/>
        </w:rPr>
      </w:pPr>
    </w:p>
    <w:p w14:paraId="71309B07" w14:textId="77777777" w:rsidR="001020DE" w:rsidRDefault="001020DE" w:rsidP="00CA5F5C">
      <w:pPr>
        <w:pStyle w:val="BodyText"/>
        <w:rPr>
          <w:b/>
        </w:rPr>
      </w:pPr>
    </w:p>
    <w:p w14:paraId="6962BA33" w14:textId="77777777" w:rsidR="001020DE" w:rsidRDefault="001020DE" w:rsidP="00CA5F5C">
      <w:pPr>
        <w:pStyle w:val="BodyText"/>
        <w:rPr>
          <w:b/>
        </w:rPr>
      </w:pPr>
    </w:p>
    <w:p w14:paraId="5D24E7C0" w14:textId="70B84CAF" w:rsidR="00CA5F5C" w:rsidRDefault="007077E3" w:rsidP="00CA5F5C">
      <w:pPr>
        <w:pStyle w:val="BodyText"/>
        <w:rPr>
          <w:b/>
        </w:rPr>
      </w:pPr>
      <w:r w:rsidRPr="00CA5F5C">
        <w:rPr>
          <w:b/>
          <w:noProof/>
          <w:lang w:val="en-GB" w:eastAsia="en-GB"/>
        </w:rPr>
        <w:drawing>
          <wp:anchor distT="0" distB="0" distL="114300" distR="114300" simplePos="0" relativeHeight="251661312" behindDoc="0" locked="0" layoutInCell="1" allowOverlap="1" wp14:anchorId="3090514D" wp14:editId="6E008531">
            <wp:simplePos x="0" y="0"/>
            <wp:positionH relativeFrom="column">
              <wp:posOffset>0</wp:posOffset>
            </wp:positionH>
            <wp:positionV relativeFrom="paragraph">
              <wp:posOffset>371475</wp:posOffset>
            </wp:positionV>
            <wp:extent cx="5943600" cy="3955415"/>
            <wp:effectExtent l="19050" t="19050" r="19050" b="260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55415"/>
                    </a:xfrm>
                    <a:prstGeom prst="rect">
                      <a:avLst/>
                    </a:prstGeom>
                    <a:ln>
                      <a:solidFill>
                        <a:schemeClr val="tx1"/>
                      </a:solidFill>
                    </a:ln>
                  </pic:spPr>
                </pic:pic>
              </a:graphicData>
            </a:graphic>
          </wp:anchor>
        </w:drawing>
      </w:r>
    </w:p>
    <w:p w14:paraId="62E7576D" w14:textId="24E2B025" w:rsidR="00CA5F5C" w:rsidRDefault="007077E3" w:rsidP="00CA5F5C">
      <w:pPr>
        <w:pStyle w:val="BodyText"/>
        <w:rPr>
          <w:b/>
        </w:rPr>
      </w:pPr>
      <w:r>
        <w:rPr>
          <w:noProof/>
          <w:lang w:val="en-GB" w:eastAsia="en-GB"/>
        </w:rPr>
        <mc:AlternateContent>
          <mc:Choice Requires="wps">
            <w:drawing>
              <wp:anchor distT="0" distB="0" distL="114300" distR="114300" simplePos="0" relativeHeight="251670528" behindDoc="0" locked="0" layoutInCell="1" allowOverlap="1" wp14:anchorId="0E795209" wp14:editId="09A982BD">
                <wp:simplePos x="0" y="0"/>
                <wp:positionH relativeFrom="column">
                  <wp:posOffset>-63500</wp:posOffset>
                </wp:positionH>
                <wp:positionV relativeFrom="paragraph">
                  <wp:posOffset>4323080</wp:posOffset>
                </wp:positionV>
                <wp:extent cx="6096000" cy="997645"/>
                <wp:effectExtent l="0" t="0" r="0" b="0"/>
                <wp:wrapNone/>
                <wp:docPr id="8" name="Rectangle 3"/>
                <wp:cNvGraphicFramePr/>
                <a:graphic xmlns:a="http://schemas.openxmlformats.org/drawingml/2006/main">
                  <a:graphicData uri="http://schemas.microsoft.com/office/word/2010/wordprocessingShape">
                    <wps:wsp>
                      <wps:cNvSpPr/>
                      <wps:spPr>
                        <a:xfrm>
                          <a:off x="0" y="0"/>
                          <a:ext cx="6096000" cy="997645"/>
                        </a:xfrm>
                        <a:prstGeom prst="rect">
                          <a:avLst/>
                        </a:prstGeom>
                      </wps:spPr>
                      <wps:txbx>
                        <w:txbxContent>
                          <w:p w14:paraId="13F18B41" w14:textId="0C49E4F8" w:rsidR="007077E3" w:rsidRDefault="001020DE" w:rsidP="007077E3">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Figure S6</w:t>
                            </w:r>
                            <w:r w:rsidR="007077E3">
                              <w:rPr>
                                <w:rFonts w:ascii="Arial" w:eastAsia="Calibri" w:hAnsi="Arial" w:cstheme="minorBidi"/>
                                <w:b/>
                                <w:bCs/>
                                <w:color w:val="000000" w:themeColor="text1"/>
                                <w:kern w:val="24"/>
                                <w:sz w:val="28"/>
                                <w:szCs w:val="28"/>
                              </w:rPr>
                              <w:t xml:space="preserve">. </w:t>
                            </w:r>
                            <w:r w:rsidR="007077E3">
                              <w:rPr>
                                <w:rFonts w:ascii="Arial" w:eastAsia="Calibri" w:hAnsi="Arial" w:cstheme="minorBidi"/>
                                <w:color w:val="000000" w:themeColor="text1"/>
                                <w:kern w:val="24"/>
                                <w:sz w:val="28"/>
                                <w:szCs w:val="28"/>
                              </w:rPr>
                              <w:t>Volcano plots depicting gene fold changes in serum exosomes.</w:t>
                            </w:r>
                            <w:r w:rsidR="007077E3">
                              <w:rPr>
                                <w:rFonts w:ascii="Arial" w:eastAsia="Calibri" w:hAnsi="Arial" w:cstheme="minorBidi"/>
                                <w:b/>
                                <w:bCs/>
                                <w:color w:val="000000" w:themeColor="text1"/>
                                <w:kern w:val="24"/>
                                <w:sz w:val="28"/>
                                <w:szCs w:val="28"/>
                              </w:rPr>
                              <w:t xml:space="preserve">  </w:t>
                            </w:r>
                            <w:r w:rsidR="007077E3">
                              <w:rPr>
                                <w:rFonts w:ascii="Arial" w:eastAsia="Calibri" w:hAnsi="Arial" w:cstheme="minorBidi"/>
                                <w:color w:val="000000" w:themeColor="text1"/>
                                <w:kern w:val="24"/>
                                <w:sz w:val="28"/>
                                <w:szCs w:val="28"/>
                              </w:rPr>
                              <w:t>Fold-change (log2) versus significance (-log10 p-value) for each gene is shown between serum samples. a. Normal vs normal serum; b. Normal vs IPMN; c. Normal vs PDAC. Significant genes (FDR &lt; 0.05) are in blue.</w:t>
                            </w:r>
                          </w:p>
                        </w:txbxContent>
                      </wps:txbx>
                      <wps:bodyPr>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795209" id="Rectangle 3" o:spid="_x0000_s1031" style="position:absolute;margin-left:-5pt;margin-top:340.4pt;width:480pt;height:78.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" filled="f" stroked="f">
                <v:textbox style="mso-fit-shape-to-text:t">
                  <w:txbxContent>
                    <w:p w14:paraId="13F18B41" w14:textId="0C49E4F8" w:rsidR="007077E3" w:rsidRDefault="001020DE" w:rsidP="007077E3">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Figure S6</w:t>
                      </w:r>
                      <w:r w:rsidR="007077E3">
                        <w:rPr>
                          <w:rFonts w:ascii="Arial" w:eastAsia="Calibri" w:hAnsi="Arial" w:cstheme="minorBidi"/>
                          <w:b/>
                          <w:bCs/>
                          <w:color w:val="000000" w:themeColor="text1"/>
                          <w:kern w:val="24"/>
                          <w:sz w:val="28"/>
                          <w:szCs w:val="28"/>
                        </w:rPr>
                        <w:t xml:space="preserve">. </w:t>
                      </w:r>
                      <w:r w:rsidR="007077E3">
                        <w:rPr>
                          <w:rFonts w:ascii="Arial" w:eastAsia="Calibri" w:hAnsi="Arial" w:cstheme="minorBidi"/>
                          <w:color w:val="000000" w:themeColor="text1"/>
                          <w:kern w:val="24"/>
                          <w:sz w:val="28"/>
                          <w:szCs w:val="28"/>
                        </w:rPr>
                        <w:t>Volcano plots depicting gene fold changes in serum exosomes.</w:t>
                      </w:r>
                      <w:r w:rsidR="007077E3">
                        <w:rPr>
                          <w:rFonts w:ascii="Arial" w:eastAsia="Calibri" w:hAnsi="Arial" w:cstheme="minorBidi"/>
                          <w:b/>
                          <w:bCs/>
                          <w:color w:val="000000" w:themeColor="text1"/>
                          <w:kern w:val="24"/>
                          <w:sz w:val="28"/>
                          <w:szCs w:val="28"/>
                        </w:rPr>
                        <w:t xml:space="preserve">  </w:t>
                      </w:r>
                      <w:r w:rsidR="007077E3">
                        <w:rPr>
                          <w:rFonts w:ascii="Arial" w:eastAsia="Calibri" w:hAnsi="Arial" w:cstheme="minorBidi"/>
                          <w:color w:val="000000" w:themeColor="text1"/>
                          <w:kern w:val="24"/>
                          <w:sz w:val="28"/>
                          <w:szCs w:val="28"/>
                        </w:rPr>
                        <w:t>Fold-change (log2) versus significance (-log10 p-value) for each gene is shown between serum samples. a. Normal vs normal serum; b. Normal vs IPMN; c. Normal vs PDAC. Significant genes (FDR &lt; 0.05) are in blue.</w:t>
                      </w:r>
                    </w:p>
                  </w:txbxContent>
                </v:textbox>
              </v:rect>
            </w:pict>
          </mc:Fallback>
        </mc:AlternateContent>
      </w:r>
    </w:p>
    <w:p w14:paraId="2A47460B" w14:textId="69B94886" w:rsidR="00CA5F5C" w:rsidRDefault="00CA5F5C" w:rsidP="00CA5F5C">
      <w:pPr>
        <w:pStyle w:val="BodyText"/>
        <w:rPr>
          <w:b/>
        </w:rPr>
      </w:pPr>
    </w:p>
    <w:p w14:paraId="203144F4" w14:textId="058D66A4" w:rsidR="00CA5F5C" w:rsidRDefault="00CA5F5C" w:rsidP="00CA5F5C">
      <w:pPr>
        <w:pStyle w:val="BodyText"/>
        <w:rPr>
          <w:b/>
        </w:rPr>
      </w:pPr>
    </w:p>
    <w:p w14:paraId="2E646366" w14:textId="0A9D949D" w:rsidR="00CA5F5C" w:rsidRDefault="00CA5F5C" w:rsidP="00CA5F5C">
      <w:pPr>
        <w:pStyle w:val="BodyText"/>
        <w:rPr>
          <w:b/>
        </w:rPr>
      </w:pPr>
    </w:p>
    <w:p w14:paraId="3B465313" w14:textId="62279DEE" w:rsidR="00CA5F5C" w:rsidRDefault="00CA5F5C" w:rsidP="00CA5F5C">
      <w:pPr>
        <w:pStyle w:val="BodyText"/>
        <w:rPr>
          <w:b/>
        </w:rPr>
      </w:pPr>
    </w:p>
    <w:p w14:paraId="231E09DC" w14:textId="72507273" w:rsidR="00CA5F5C" w:rsidRDefault="00CA5F5C" w:rsidP="00CA5F5C">
      <w:pPr>
        <w:pStyle w:val="BodyText"/>
        <w:rPr>
          <w:b/>
        </w:rPr>
      </w:pPr>
    </w:p>
    <w:p w14:paraId="53EDC031" w14:textId="77777777" w:rsidR="00CA5F5C" w:rsidRDefault="00CA5F5C" w:rsidP="00CA5F5C">
      <w:pPr>
        <w:pStyle w:val="BodyText"/>
        <w:rPr>
          <w:b/>
        </w:rPr>
      </w:pPr>
    </w:p>
    <w:p w14:paraId="206E8CBF" w14:textId="77777777" w:rsidR="00CA5F5C" w:rsidRDefault="00CA5F5C" w:rsidP="00CA5F5C">
      <w:pPr>
        <w:pStyle w:val="BodyText"/>
        <w:rPr>
          <w:b/>
        </w:rPr>
      </w:pPr>
    </w:p>
    <w:p w14:paraId="2852EE9B" w14:textId="77777777" w:rsidR="00CA5F5C" w:rsidRDefault="00CA5F5C" w:rsidP="00CA5F5C">
      <w:pPr>
        <w:pStyle w:val="BodyText"/>
        <w:rPr>
          <w:b/>
        </w:rPr>
      </w:pPr>
    </w:p>
    <w:p w14:paraId="4709E4B3" w14:textId="77777777" w:rsidR="00CA5F5C" w:rsidRDefault="00CA5F5C" w:rsidP="00CA5F5C">
      <w:pPr>
        <w:pStyle w:val="BodyText"/>
        <w:rPr>
          <w:b/>
        </w:rPr>
      </w:pPr>
    </w:p>
    <w:p w14:paraId="4BC215A3" w14:textId="6FC4FAC9" w:rsidR="004B2EE8" w:rsidRDefault="004B2EE8" w:rsidP="00CA5F5C">
      <w:pPr>
        <w:pStyle w:val="BodyText"/>
        <w:rPr>
          <w:b/>
        </w:rPr>
      </w:pPr>
    </w:p>
    <w:p w14:paraId="72D5D26C" w14:textId="77777777" w:rsidR="004B2EE8" w:rsidRDefault="004B2EE8" w:rsidP="00CA5F5C">
      <w:pPr>
        <w:pStyle w:val="BodyText"/>
        <w:rPr>
          <w:b/>
        </w:rPr>
      </w:pPr>
    </w:p>
    <w:p w14:paraId="02DB0538" w14:textId="105B37EB" w:rsidR="00CA5F5C" w:rsidRDefault="007077E3" w:rsidP="00CA5F5C">
      <w:pPr>
        <w:pStyle w:val="BodyText"/>
        <w:rPr>
          <w:b/>
        </w:rPr>
      </w:pPr>
      <w:r>
        <w:rPr>
          <w:noProof/>
          <w:lang w:val="en-GB" w:eastAsia="en-GB"/>
        </w:rPr>
        <mc:AlternateContent>
          <mc:Choice Requires="wps">
            <w:drawing>
              <wp:anchor distT="0" distB="0" distL="114300" distR="114300" simplePos="0" relativeHeight="251672576" behindDoc="0" locked="0" layoutInCell="1" allowOverlap="1" wp14:anchorId="27EFFBD8" wp14:editId="30578F5A">
                <wp:simplePos x="0" y="0"/>
                <wp:positionH relativeFrom="column">
                  <wp:posOffset>12700</wp:posOffset>
                </wp:positionH>
                <wp:positionV relativeFrom="paragraph">
                  <wp:posOffset>3683000</wp:posOffset>
                </wp:positionV>
                <wp:extent cx="6096000" cy="1244893"/>
                <wp:effectExtent l="0" t="0" r="0" b="0"/>
                <wp:wrapSquare wrapText="bothSides"/>
                <wp:docPr id="9" name="Rectangle 4"/>
                <wp:cNvGraphicFramePr/>
                <a:graphic xmlns:a="http://schemas.openxmlformats.org/drawingml/2006/main">
                  <a:graphicData uri="http://schemas.microsoft.com/office/word/2010/wordprocessingShape">
                    <wps:wsp>
                      <wps:cNvSpPr/>
                      <wps:spPr>
                        <a:xfrm>
                          <a:off x="0" y="0"/>
                          <a:ext cx="6096000" cy="1244893"/>
                        </a:xfrm>
                        <a:prstGeom prst="rect">
                          <a:avLst/>
                        </a:prstGeom>
                      </wps:spPr>
                      <wps:txbx>
                        <w:txbxContent>
                          <w:p w14:paraId="3525019E" w14:textId="2DE25A13" w:rsidR="007077E3" w:rsidRDefault="001020DE" w:rsidP="007077E3">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Figure S7</w:t>
                            </w:r>
                            <w:r w:rsidR="007077E3">
                              <w:rPr>
                                <w:rFonts w:ascii="Arial" w:eastAsia="Calibri" w:hAnsi="Arial" w:cstheme="minorBidi"/>
                                <w:b/>
                                <w:bCs/>
                                <w:color w:val="000000" w:themeColor="text1"/>
                                <w:kern w:val="24"/>
                                <w:sz w:val="28"/>
                                <w:szCs w:val="28"/>
                              </w:rPr>
                              <w:t xml:space="preserve">.  </w:t>
                            </w:r>
                            <w:proofErr w:type="spellStart"/>
                            <w:r w:rsidR="007077E3">
                              <w:rPr>
                                <w:rFonts w:ascii="Arial" w:eastAsia="Calibri" w:hAnsi="Arial" w:cstheme="minorBidi"/>
                                <w:color w:val="000000" w:themeColor="text1"/>
                                <w:kern w:val="24"/>
                                <w:sz w:val="28"/>
                                <w:szCs w:val="28"/>
                              </w:rPr>
                              <w:t>Heatmaps</w:t>
                            </w:r>
                            <w:proofErr w:type="spellEnd"/>
                            <w:r w:rsidR="007077E3">
                              <w:rPr>
                                <w:rFonts w:ascii="Arial" w:eastAsia="Calibri" w:hAnsi="Arial" w:cstheme="minorBidi"/>
                                <w:color w:val="000000" w:themeColor="text1"/>
                                <w:kern w:val="24"/>
                                <w:sz w:val="28"/>
                                <w:szCs w:val="28"/>
                              </w:rPr>
                              <w:t xml:space="preserve"> of differentially expressed genes. Differences in the expression of mRNA, </w:t>
                            </w:r>
                            <w:proofErr w:type="spellStart"/>
                            <w:r w:rsidR="007077E3">
                              <w:rPr>
                                <w:rFonts w:ascii="Arial" w:eastAsia="Calibri" w:hAnsi="Arial" w:cstheme="minorBidi"/>
                                <w:color w:val="000000" w:themeColor="text1"/>
                                <w:kern w:val="24"/>
                                <w:sz w:val="28"/>
                                <w:szCs w:val="28"/>
                              </w:rPr>
                              <w:t>piRNA</w:t>
                            </w:r>
                            <w:proofErr w:type="spellEnd"/>
                            <w:r w:rsidR="007077E3">
                              <w:rPr>
                                <w:rFonts w:ascii="Arial" w:eastAsia="Calibri" w:hAnsi="Arial" w:cstheme="minorBidi"/>
                                <w:color w:val="000000" w:themeColor="text1"/>
                                <w:kern w:val="24"/>
                                <w:sz w:val="28"/>
                                <w:szCs w:val="28"/>
                              </w:rPr>
                              <w:t xml:space="preserve"> and </w:t>
                            </w:r>
                            <w:proofErr w:type="spellStart"/>
                            <w:r w:rsidR="007077E3">
                              <w:rPr>
                                <w:rFonts w:ascii="Arial" w:eastAsia="Calibri" w:hAnsi="Arial" w:cstheme="minorBidi"/>
                                <w:color w:val="000000" w:themeColor="text1"/>
                                <w:kern w:val="24"/>
                                <w:sz w:val="28"/>
                                <w:szCs w:val="28"/>
                              </w:rPr>
                              <w:t>tRNA</w:t>
                            </w:r>
                            <w:proofErr w:type="spellEnd"/>
                            <w:r w:rsidR="007077E3">
                              <w:rPr>
                                <w:rFonts w:ascii="Arial" w:eastAsia="Calibri" w:hAnsi="Arial" w:cstheme="minorBidi"/>
                                <w:color w:val="000000" w:themeColor="text1"/>
                                <w:kern w:val="24"/>
                                <w:sz w:val="28"/>
                                <w:szCs w:val="28"/>
                              </w:rPr>
                              <w:t xml:space="preserve"> between samples are calculated using </w:t>
                            </w:r>
                            <w:proofErr w:type="spellStart"/>
                            <w:r w:rsidR="007077E3">
                              <w:rPr>
                                <w:rFonts w:ascii="Arial" w:eastAsia="Calibri" w:hAnsi="Arial" w:cstheme="minorBidi"/>
                                <w:color w:val="000000" w:themeColor="text1"/>
                                <w:kern w:val="24"/>
                                <w:sz w:val="28"/>
                                <w:szCs w:val="28"/>
                              </w:rPr>
                              <w:t>DESeq</w:t>
                            </w:r>
                            <w:proofErr w:type="spellEnd"/>
                            <w:r w:rsidR="007077E3">
                              <w:rPr>
                                <w:rFonts w:ascii="Arial" w:eastAsia="Calibri" w:hAnsi="Arial" w:cstheme="minorBidi"/>
                                <w:color w:val="000000" w:themeColor="text1"/>
                                <w:kern w:val="24"/>
                                <w:sz w:val="28"/>
                                <w:szCs w:val="28"/>
                              </w:rPr>
                              <w:t xml:space="preserve"> analysis. Differentially expressed genes are identified based on a model using the negative binomial distribution and visual representation of the analysis is provided as </w:t>
                            </w:r>
                            <w:proofErr w:type="spellStart"/>
                            <w:r w:rsidR="007077E3">
                              <w:rPr>
                                <w:rFonts w:ascii="Arial" w:eastAsia="Calibri" w:hAnsi="Arial" w:cstheme="minorBidi"/>
                                <w:color w:val="000000" w:themeColor="text1"/>
                                <w:kern w:val="24"/>
                                <w:sz w:val="28"/>
                                <w:szCs w:val="28"/>
                              </w:rPr>
                              <w:t>heatmap</w:t>
                            </w:r>
                            <w:proofErr w:type="spellEnd"/>
                            <w:r w:rsidR="007077E3">
                              <w:rPr>
                                <w:rFonts w:ascii="Arial" w:eastAsia="Calibri" w:hAnsi="Arial" w:cstheme="minorBidi"/>
                                <w:color w:val="000000" w:themeColor="text1"/>
                                <w:kern w:val="24"/>
                                <w:sz w:val="28"/>
                                <w:szCs w:val="28"/>
                              </w:rPr>
                              <w:t xml:space="preserve"> view. </w:t>
                            </w:r>
                          </w:p>
                        </w:txbxContent>
                      </wps:txbx>
                      <wps:bodyPr>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EFFBD8" id="_x0000_s1032" style="position:absolute;margin-left:1pt;margin-top:290pt;width:480pt;height:9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" filled="f" stroked="f">
                <v:textbox style="mso-fit-shape-to-text:t">
                  <w:txbxContent>
                    <w:p w14:paraId="3525019E" w14:textId="2DE25A13" w:rsidR="007077E3" w:rsidRDefault="001020DE" w:rsidP="007077E3">
                      <w:pPr>
                        <w:pStyle w:val="NormalWeb"/>
                        <w:spacing w:before="0" w:beforeAutospacing="0" w:after="160" w:afterAutospacing="0" w:line="256" w:lineRule="auto"/>
                      </w:pPr>
                      <w:r>
                        <w:rPr>
                          <w:rFonts w:ascii="Arial" w:eastAsia="Calibri" w:hAnsi="Arial" w:cstheme="minorBidi"/>
                          <w:b/>
                          <w:bCs/>
                          <w:color w:val="000000" w:themeColor="text1"/>
                          <w:kern w:val="24"/>
                          <w:sz w:val="28"/>
                          <w:szCs w:val="28"/>
                        </w:rPr>
                        <w:t>Figure S7</w:t>
                      </w:r>
                      <w:r w:rsidR="007077E3">
                        <w:rPr>
                          <w:rFonts w:ascii="Arial" w:eastAsia="Calibri" w:hAnsi="Arial" w:cstheme="minorBidi"/>
                          <w:b/>
                          <w:bCs/>
                          <w:color w:val="000000" w:themeColor="text1"/>
                          <w:kern w:val="24"/>
                          <w:sz w:val="28"/>
                          <w:szCs w:val="28"/>
                        </w:rPr>
                        <w:t xml:space="preserve">.  </w:t>
                      </w:r>
                      <w:r w:rsidR="007077E3">
                        <w:rPr>
                          <w:rFonts w:ascii="Arial" w:eastAsia="Calibri" w:hAnsi="Arial" w:cstheme="minorBidi"/>
                          <w:color w:val="000000" w:themeColor="text1"/>
                          <w:kern w:val="24"/>
                          <w:sz w:val="28"/>
                          <w:szCs w:val="28"/>
                        </w:rPr>
                        <w:t xml:space="preserve">Heatmaps of differentially expressed genes. Differences in the expression of mRNA, </w:t>
                      </w:r>
                      <w:r w:rsidR="007077E3">
                        <w:rPr>
                          <w:rFonts w:ascii="Arial" w:eastAsia="Calibri" w:hAnsi="Arial" w:cstheme="minorBidi"/>
                          <w:color w:val="000000" w:themeColor="text1"/>
                          <w:kern w:val="24"/>
                          <w:sz w:val="28"/>
                          <w:szCs w:val="28"/>
                        </w:rPr>
                        <w:t xml:space="preserve">piRNA and tRNA between samples are calculated using DESeq analysis. Differentially expressed genes are identified based on a model using the negative binomial distribution and visual representation of the analysis is provided as heatmap view. </w:t>
                      </w:r>
                    </w:p>
                  </w:txbxContent>
                </v:textbox>
                <w10:wrap type="square"/>
              </v:rect>
            </w:pict>
          </mc:Fallback>
        </mc:AlternateContent>
      </w:r>
      <w:r w:rsidR="00CA5F5C" w:rsidRPr="00CA5F5C">
        <w:rPr>
          <w:b/>
          <w:noProof/>
          <w:lang w:val="en-GB" w:eastAsia="en-GB"/>
        </w:rPr>
        <w:drawing>
          <wp:anchor distT="0" distB="0" distL="114300" distR="114300" simplePos="0" relativeHeight="251662336" behindDoc="0" locked="0" layoutInCell="1" allowOverlap="1" wp14:anchorId="352F2C37" wp14:editId="75560833">
            <wp:simplePos x="0" y="0"/>
            <wp:positionH relativeFrom="column">
              <wp:posOffset>0</wp:posOffset>
            </wp:positionH>
            <wp:positionV relativeFrom="paragraph">
              <wp:posOffset>0</wp:posOffset>
            </wp:positionV>
            <wp:extent cx="5943600" cy="3423285"/>
            <wp:effectExtent l="19050" t="19050" r="19050" b="2476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3423285"/>
                    </a:xfrm>
                    <a:prstGeom prst="rect">
                      <a:avLst/>
                    </a:prstGeom>
                    <a:ln>
                      <a:solidFill>
                        <a:schemeClr val="tx1"/>
                      </a:solidFill>
                    </a:ln>
                  </pic:spPr>
                </pic:pic>
              </a:graphicData>
            </a:graphic>
          </wp:anchor>
        </w:drawing>
      </w:r>
    </w:p>
    <w:p w14:paraId="3486D675" w14:textId="269DD759" w:rsidR="00CA5F5C" w:rsidRDefault="00CA5F5C" w:rsidP="00CA5F5C">
      <w:pPr>
        <w:pStyle w:val="Header"/>
        <w:tabs>
          <w:tab w:val="clear" w:pos="4680"/>
          <w:tab w:val="clear" w:pos="9360"/>
        </w:tabs>
        <w:spacing w:after="160" w:line="259" w:lineRule="auto"/>
      </w:pPr>
    </w:p>
    <w:p w14:paraId="691EBD93" w14:textId="5B5B9195" w:rsidR="00CA5F5C" w:rsidRDefault="00CA5F5C" w:rsidP="00CA5F5C">
      <w:pPr>
        <w:pStyle w:val="Header"/>
        <w:tabs>
          <w:tab w:val="clear" w:pos="4680"/>
          <w:tab w:val="clear" w:pos="9360"/>
        </w:tabs>
        <w:spacing w:after="160" w:line="259" w:lineRule="auto"/>
      </w:pPr>
    </w:p>
    <w:p w14:paraId="62ECF185" w14:textId="36FA66D7" w:rsidR="00CA5F5C" w:rsidRDefault="00CA5F5C" w:rsidP="00CA5F5C">
      <w:pPr>
        <w:pStyle w:val="Header"/>
        <w:tabs>
          <w:tab w:val="clear" w:pos="4680"/>
          <w:tab w:val="clear" w:pos="9360"/>
        </w:tabs>
        <w:spacing w:after="160" w:line="259" w:lineRule="auto"/>
      </w:pPr>
    </w:p>
    <w:p w14:paraId="3F4812AF" w14:textId="4B018F7A" w:rsidR="00CA5F5C" w:rsidRDefault="00CA5F5C" w:rsidP="00CA5F5C">
      <w:pPr>
        <w:pStyle w:val="Header"/>
        <w:tabs>
          <w:tab w:val="clear" w:pos="4680"/>
          <w:tab w:val="clear" w:pos="9360"/>
        </w:tabs>
        <w:spacing w:after="160" w:line="259" w:lineRule="auto"/>
      </w:pPr>
    </w:p>
    <w:p w14:paraId="15EA153D" w14:textId="503D7770" w:rsidR="00CA5F5C" w:rsidRDefault="00CA5F5C" w:rsidP="00CA5F5C">
      <w:pPr>
        <w:pStyle w:val="Header"/>
        <w:tabs>
          <w:tab w:val="clear" w:pos="4680"/>
          <w:tab w:val="clear" w:pos="9360"/>
        </w:tabs>
        <w:spacing w:after="160" w:line="259" w:lineRule="auto"/>
      </w:pPr>
    </w:p>
    <w:p w14:paraId="611BD8F4" w14:textId="045EFD9C" w:rsidR="00CA5F5C" w:rsidRDefault="00CA5F5C" w:rsidP="00CA5F5C">
      <w:pPr>
        <w:pStyle w:val="Header"/>
        <w:tabs>
          <w:tab w:val="clear" w:pos="4680"/>
          <w:tab w:val="clear" w:pos="9360"/>
        </w:tabs>
        <w:spacing w:after="160" w:line="259" w:lineRule="auto"/>
      </w:pPr>
    </w:p>
    <w:p w14:paraId="4B33EB8A" w14:textId="21DFEADF" w:rsidR="00CA5F5C" w:rsidRDefault="00CA5F5C" w:rsidP="00CA5F5C">
      <w:pPr>
        <w:pStyle w:val="Header"/>
        <w:tabs>
          <w:tab w:val="clear" w:pos="4680"/>
          <w:tab w:val="clear" w:pos="9360"/>
        </w:tabs>
        <w:spacing w:after="160" w:line="259" w:lineRule="auto"/>
      </w:pPr>
    </w:p>
    <w:p w14:paraId="26422968" w14:textId="533B3DB1" w:rsidR="00CA5F5C" w:rsidRDefault="00CA5F5C" w:rsidP="00CA5F5C">
      <w:pPr>
        <w:pStyle w:val="Header"/>
        <w:tabs>
          <w:tab w:val="clear" w:pos="4680"/>
          <w:tab w:val="clear" w:pos="9360"/>
        </w:tabs>
        <w:spacing w:after="160" w:line="259" w:lineRule="auto"/>
      </w:pPr>
    </w:p>
    <w:p w14:paraId="2E723B77" w14:textId="3CFE0E61" w:rsidR="00CA5F5C" w:rsidRDefault="00CA5F5C" w:rsidP="00CA5F5C">
      <w:pPr>
        <w:pStyle w:val="Header"/>
        <w:tabs>
          <w:tab w:val="clear" w:pos="4680"/>
          <w:tab w:val="clear" w:pos="9360"/>
        </w:tabs>
        <w:spacing w:after="160" w:line="259" w:lineRule="auto"/>
      </w:pPr>
    </w:p>
    <w:p w14:paraId="797A7E78" w14:textId="6B52BCA0" w:rsidR="002F24F9" w:rsidRDefault="002F24F9" w:rsidP="00CA5F5C">
      <w:pPr>
        <w:pStyle w:val="Header"/>
        <w:tabs>
          <w:tab w:val="clear" w:pos="4680"/>
          <w:tab w:val="clear" w:pos="9360"/>
        </w:tabs>
        <w:spacing w:after="160" w:line="259" w:lineRule="auto"/>
      </w:pPr>
    </w:p>
    <w:p w14:paraId="47CEFCE7" w14:textId="7B197BF8" w:rsidR="002F24F9" w:rsidRDefault="002F24F9" w:rsidP="00CA5F5C">
      <w:pPr>
        <w:pStyle w:val="Header"/>
        <w:tabs>
          <w:tab w:val="clear" w:pos="4680"/>
          <w:tab w:val="clear" w:pos="9360"/>
        </w:tabs>
        <w:spacing w:after="160" w:line="259" w:lineRule="auto"/>
      </w:pPr>
    </w:p>
    <w:p w14:paraId="3C545EA4" w14:textId="218BD0DF" w:rsidR="002F24F9" w:rsidRDefault="002F24F9" w:rsidP="00CA5F5C">
      <w:pPr>
        <w:pStyle w:val="Header"/>
        <w:tabs>
          <w:tab w:val="clear" w:pos="4680"/>
          <w:tab w:val="clear" w:pos="9360"/>
        </w:tabs>
        <w:spacing w:after="160" w:line="259" w:lineRule="auto"/>
      </w:pPr>
    </w:p>
    <w:p w14:paraId="601B29DA" w14:textId="0BD8D142" w:rsidR="002F24F9" w:rsidRPr="006516D1" w:rsidRDefault="00D85E4D" w:rsidP="00CA5F5C">
      <w:pPr>
        <w:pStyle w:val="Header"/>
        <w:tabs>
          <w:tab w:val="clear" w:pos="4680"/>
          <w:tab w:val="clear" w:pos="9360"/>
        </w:tabs>
        <w:spacing w:after="160" w:line="259" w:lineRule="auto"/>
      </w:pPr>
      <w:r>
        <w:rPr>
          <w:noProof/>
          <w:lang w:val="en-GB" w:eastAsia="en-GB"/>
        </w:rPr>
        <w:drawing>
          <wp:anchor distT="0" distB="0" distL="114300" distR="114300" simplePos="0" relativeHeight="251686912" behindDoc="0" locked="0" layoutInCell="1" allowOverlap="1" wp14:anchorId="555055D5" wp14:editId="39E9276A">
            <wp:simplePos x="0" y="0"/>
            <wp:positionH relativeFrom="column">
              <wp:posOffset>0</wp:posOffset>
            </wp:positionH>
            <wp:positionV relativeFrom="paragraph">
              <wp:posOffset>184150</wp:posOffset>
            </wp:positionV>
            <wp:extent cx="5943600" cy="4146550"/>
            <wp:effectExtent l="19050" t="19050" r="19050" b="2540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146550"/>
                    </a:xfrm>
                    <a:prstGeom prst="rect">
                      <a:avLst/>
                    </a:prstGeom>
                    <a:noFill/>
                    <a:ln>
                      <a:solidFill>
                        <a:schemeClr val="tx1"/>
                      </a:solidFill>
                    </a:ln>
                  </pic:spPr>
                </pic:pic>
              </a:graphicData>
            </a:graphic>
          </wp:anchor>
        </w:drawing>
      </w:r>
      <w:r w:rsidR="002F24F9" w:rsidRPr="002F24F9">
        <w:rPr>
          <w:noProof/>
          <w:lang w:val="en-GB" w:eastAsia="en-GB"/>
        </w:rPr>
        <mc:AlternateContent>
          <mc:Choice Requires="wps">
            <w:drawing>
              <wp:anchor distT="0" distB="0" distL="114300" distR="114300" simplePos="0" relativeHeight="251685888" behindDoc="1" locked="0" layoutInCell="1" allowOverlap="1" wp14:anchorId="4D28BD97" wp14:editId="3C7AA9EB">
                <wp:simplePos x="0" y="0"/>
                <wp:positionH relativeFrom="column">
                  <wp:posOffset>-115</wp:posOffset>
                </wp:positionH>
                <wp:positionV relativeFrom="paragraph">
                  <wp:posOffset>4427542</wp:posOffset>
                </wp:positionV>
                <wp:extent cx="6096000" cy="473075"/>
                <wp:effectExtent l="0" t="0" r="0" b="0"/>
                <wp:wrapTight wrapText="bothSides">
                  <wp:wrapPolygon edited="0">
                    <wp:start x="0" y="0"/>
                    <wp:lineTo x="0" y="21600"/>
                    <wp:lineTo x="21600" y="21600"/>
                    <wp:lineTo x="21600" y="0"/>
                  </wp:wrapPolygon>
                </wp:wrapTight>
                <wp:docPr id="15" name="Rectangle 3"/>
                <wp:cNvGraphicFramePr/>
                <a:graphic xmlns:a="http://schemas.openxmlformats.org/drawingml/2006/main">
                  <a:graphicData uri="http://schemas.microsoft.com/office/word/2010/wordprocessingShape">
                    <wps:wsp>
                      <wps:cNvSpPr/>
                      <wps:spPr>
                        <a:xfrm>
                          <a:off x="0" y="0"/>
                          <a:ext cx="6096000" cy="473075"/>
                        </a:xfrm>
                        <a:prstGeom prst="rect">
                          <a:avLst/>
                        </a:prstGeom>
                      </wps:spPr>
                      <wps:txbx>
                        <w:txbxContent>
                          <w:p w14:paraId="7BBE2A94" w14:textId="58E3EC40" w:rsidR="002F24F9" w:rsidRDefault="002F24F9" w:rsidP="002F24F9">
                            <w:pPr>
                              <w:pStyle w:val="NormalWeb"/>
                              <w:spacing w:before="0" w:beforeAutospacing="0" w:after="160" w:afterAutospacing="0" w:line="256" w:lineRule="auto"/>
                            </w:pPr>
                            <w:r>
                              <w:rPr>
                                <w:rFonts w:ascii="Arial" w:eastAsia="Calibri" w:hAnsi="Arial" w:cstheme="minorBidi"/>
                                <w:b/>
                                <w:bCs/>
                                <w:color w:val="000000" w:themeColor="text1"/>
                                <w:kern w:val="24"/>
                              </w:rPr>
                              <w:t>Figure S8</w:t>
                            </w:r>
                            <w:r>
                              <w:rPr>
                                <w:rFonts w:ascii="Arial" w:eastAsia="Calibri" w:hAnsi="Arial" w:cstheme="minorBidi"/>
                                <w:color w:val="000000" w:themeColor="text1"/>
                                <w:kern w:val="24"/>
                              </w:rPr>
                              <w:t xml:space="preserve">. Dissociation curves for </w:t>
                            </w:r>
                            <w:proofErr w:type="spellStart"/>
                            <w:r>
                              <w:rPr>
                                <w:rFonts w:ascii="Arial" w:eastAsia="Calibri" w:hAnsi="Arial" w:cstheme="minorBidi"/>
                                <w:color w:val="000000" w:themeColor="text1"/>
                                <w:kern w:val="24"/>
                              </w:rPr>
                              <w:t>qRT</w:t>
                            </w:r>
                            <w:proofErr w:type="spellEnd"/>
                            <w:r>
                              <w:rPr>
                                <w:rFonts w:ascii="Arial" w:eastAsia="Calibri" w:hAnsi="Arial" w:cstheme="minorBidi"/>
                                <w:color w:val="000000" w:themeColor="text1"/>
                                <w:kern w:val="24"/>
                              </w:rPr>
                              <w:t xml:space="preserve">-PCR gene analysis. Dissociation curves for different target genes (MMP8, TBX3, </w:t>
                            </w:r>
                            <w:proofErr w:type="spellStart"/>
                            <w:r>
                              <w:rPr>
                                <w:rFonts w:ascii="Arial" w:eastAsia="Calibri" w:hAnsi="Arial" w:cstheme="minorBidi"/>
                                <w:color w:val="000000" w:themeColor="text1"/>
                                <w:kern w:val="24"/>
                              </w:rPr>
                              <w:t>Malat</w:t>
                            </w:r>
                            <w:proofErr w:type="spellEnd"/>
                            <w:r>
                              <w:rPr>
                                <w:rFonts w:ascii="Arial" w:eastAsia="Calibri" w:hAnsi="Arial" w:cstheme="minorBidi"/>
                                <w:color w:val="000000" w:themeColor="text1"/>
                                <w:kern w:val="24"/>
                              </w:rPr>
                              <w:t xml:space="preserve"> 1 &amp; CRNDE) and </w:t>
                            </w:r>
                            <w:r w:rsidR="00385FEC">
                              <w:rPr>
                                <w:rFonts w:ascii="Arial" w:eastAsia="Calibri" w:hAnsi="Arial" w:cstheme="minorBidi"/>
                                <w:color w:val="000000" w:themeColor="text1"/>
                                <w:kern w:val="24"/>
                              </w:rPr>
                              <w:t xml:space="preserve">a </w:t>
                            </w:r>
                            <w:r>
                              <w:rPr>
                                <w:rFonts w:ascii="Arial" w:eastAsia="Calibri" w:hAnsi="Arial" w:cstheme="minorBidi"/>
                                <w:color w:val="000000" w:themeColor="text1"/>
                                <w:kern w:val="24"/>
                              </w:rPr>
                              <w:t>reference gene (</w:t>
                            </w:r>
                            <w:r w:rsidRPr="002F24F9">
                              <w:rPr>
                                <w:rFonts w:ascii="Symbol" w:eastAsia="Calibri" w:hAnsi="Symbol" w:cstheme="minorBidi"/>
                                <w:color w:val="000000" w:themeColor="text1"/>
                                <w:kern w:val="24"/>
                              </w:rPr>
                              <w:t></w:t>
                            </w:r>
                            <w:r>
                              <w:rPr>
                                <w:rFonts w:ascii="Arial" w:eastAsia="Calibri" w:hAnsi="Arial" w:cstheme="minorBidi"/>
                                <w:color w:val="000000" w:themeColor="text1"/>
                                <w:kern w:val="24"/>
                              </w:rPr>
                              <w:t xml:space="preserve">-actin) (see Fig 4) in the serum exosomes.  </w:t>
                            </w:r>
                          </w:p>
                        </w:txbxContent>
                      </wps:txbx>
                      <wps:bodyPr>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28BD97" id="_x0000_s1033" style="position:absolute;margin-left:0;margin-top:348.65pt;width:480pt;height:37.2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" filled="f" stroked="f">
                <v:textbox style="mso-fit-shape-to-text:t">
                  <w:txbxContent>
                    <w:p w14:paraId="7BBE2A94" w14:textId="58E3EC40" w:rsidR="002F24F9" w:rsidRDefault="002F24F9" w:rsidP="002F24F9">
                      <w:pPr>
                        <w:pStyle w:val="NormalWeb"/>
                        <w:spacing w:before="0" w:beforeAutospacing="0" w:after="160" w:afterAutospacing="0" w:line="256" w:lineRule="auto"/>
                      </w:pPr>
                      <w:r>
                        <w:rPr>
                          <w:rFonts w:ascii="Arial" w:eastAsia="Calibri" w:hAnsi="Arial" w:cstheme="minorBidi"/>
                          <w:b/>
                          <w:bCs/>
                          <w:color w:val="000000" w:themeColor="text1"/>
                          <w:kern w:val="24"/>
                        </w:rPr>
                        <w:t>Figure S8</w:t>
                      </w:r>
                      <w:r>
                        <w:rPr>
                          <w:rFonts w:ascii="Arial" w:eastAsia="Calibri" w:hAnsi="Arial" w:cstheme="minorBidi"/>
                          <w:color w:val="000000" w:themeColor="text1"/>
                          <w:kern w:val="24"/>
                        </w:rPr>
                        <w:t xml:space="preserve">. Dissociation curves for </w:t>
                      </w:r>
                      <w:r>
                        <w:rPr>
                          <w:rFonts w:ascii="Arial" w:eastAsia="Calibri" w:hAnsi="Arial" w:cstheme="minorBidi"/>
                          <w:color w:val="000000" w:themeColor="text1"/>
                          <w:kern w:val="24"/>
                        </w:rPr>
                        <w:t xml:space="preserve">qRT-PCR gene analysis. Dissociation curves for different target genes (MMP8, TBX3, Malat 1 &amp; CRNDE) and </w:t>
                      </w:r>
                      <w:r w:rsidR="00385FEC">
                        <w:rPr>
                          <w:rFonts w:ascii="Arial" w:eastAsia="Calibri" w:hAnsi="Arial" w:cstheme="minorBidi"/>
                          <w:color w:val="000000" w:themeColor="text1"/>
                          <w:kern w:val="24"/>
                        </w:rPr>
                        <w:t xml:space="preserve">a </w:t>
                      </w:r>
                      <w:r>
                        <w:rPr>
                          <w:rFonts w:ascii="Arial" w:eastAsia="Calibri" w:hAnsi="Arial" w:cstheme="minorBidi"/>
                          <w:color w:val="000000" w:themeColor="text1"/>
                          <w:kern w:val="24"/>
                        </w:rPr>
                        <w:t>reference gene (</w:t>
                      </w:r>
                      <w:r w:rsidRPr="002F24F9">
                        <w:rPr>
                          <w:rFonts w:ascii="Symbol" w:eastAsia="Calibri" w:hAnsi="Symbol" w:cstheme="minorBidi"/>
                          <w:color w:val="000000" w:themeColor="text1"/>
                          <w:kern w:val="24"/>
                        </w:rPr>
                        <w:t></w:t>
                      </w:r>
                      <w:r>
                        <w:rPr>
                          <w:rFonts w:ascii="Arial" w:eastAsia="Calibri" w:hAnsi="Arial" w:cstheme="minorBidi"/>
                          <w:color w:val="000000" w:themeColor="text1"/>
                          <w:kern w:val="24"/>
                        </w:rPr>
                        <w:t xml:space="preserve">-actin) (see Fig 4) in the serum exosomes.  </w:t>
                      </w:r>
                    </w:p>
                  </w:txbxContent>
                </v:textbox>
                <w10:wrap type="tight"/>
              </v:rect>
            </w:pict>
          </mc:Fallback>
        </mc:AlternateContent>
      </w:r>
    </w:p>
    <w:sectPr w:rsidR="002F24F9" w:rsidRPr="006516D1">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E3EB2" w14:textId="77777777" w:rsidR="006C6434" w:rsidRDefault="006C6434" w:rsidP="00466BF7">
      <w:pPr>
        <w:spacing w:after="0" w:line="240" w:lineRule="auto"/>
      </w:pPr>
      <w:r>
        <w:separator/>
      </w:r>
    </w:p>
  </w:endnote>
  <w:endnote w:type="continuationSeparator" w:id="0">
    <w:p w14:paraId="056C9978" w14:textId="77777777" w:rsidR="006C6434" w:rsidRDefault="006C6434" w:rsidP="00466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F7ABD" w14:textId="77777777" w:rsidR="006C6434" w:rsidRDefault="006C6434" w:rsidP="00466BF7">
      <w:pPr>
        <w:spacing w:after="0" w:line="240" w:lineRule="auto"/>
      </w:pPr>
      <w:r>
        <w:separator/>
      </w:r>
    </w:p>
  </w:footnote>
  <w:footnote w:type="continuationSeparator" w:id="0">
    <w:p w14:paraId="164480CD" w14:textId="77777777" w:rsidR="006C6434" w:rsidRDefault="006C6434" w:rsidP="00466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D08DB" w14:textId="6C3A0FBA" w:rsidR="00466BF7" w:rsidRPr="00466BF7" w:rsidRDefault="00466BF7">
    <w:pPr>
      <w:pStyle w:val="Header"/>
      <w:rPr>
        <w:rFonts w:ascii="Arial" w:hAnsi="Arial" w:cs="Arial"/>
        <w:sz w:val="24"/>
        <w:szCs w:val="24"/>
      </w:rPr>
    </w:pPr>
    <w:r w:rsidRPr="00466BF7">
      <w:rPr>
        <w:rFonts w:ascii="Arial" w:hAnsi="Arial" w:cs="Arial"/>
        <w:sz w:val="24"/>
        <w:szCs w:val="24"/>
      </w:rPr>
      <w:t>Supplementary files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EC"/>
    <w:rsid w:val="00085CB2"/>
    <w:rsid w:val="00095CEC"/>
    <w:rsid w:val="001020DE"/>
    <w:rsid w:val="001126F5"/>
    <w:rsid w:val="00262645"/>
    <w:rsid w:val="002E31F6"/>
    <w:rsid w:val="002F24F9"/>
    <w:rsid w:val="00342E2C"/>
    <w:rsid w:val="00385FEC"/>
    <w:rsid w:val="003A7AA3"/>
    <w:rsid w:val="003B4BE8"/>
    <w:rsid w:val="00466BF7"/>
    <w:rsid w:val="004B2EE8"/>
    <w:rsid w:val="004B3880"/>
    <w:rsid w:val="00542169"/>
    <w:rsid w:val="00614506"/>
    <w:rsid w:val="006303C1"/>
    <w:rsid w:val="006516D1"/>
    <w:rsid w:val="006C6434"/>
    <w:rsid w:val="006D35B6"/>
    <w:rsid w:val="007077E3"/>
    <w:rsid w:val="007A41C9"/>
    <w:rsid w:val="007A7A6B"/>
    <w:rsid w:val="00811EF3"/>
    <w:rsid w:val="00921E57"/>
    <w:rsid w:val="0096471D"/>
    <w:rsid w:val="00A0329E"/>
    <w:rsid w:val="00A216CD"/>
    <w:rsid w:val="00A225FD"/>
    <w:rsid w:val="00AD7EF3"/>
    <w:rsid w:val="00AF1087"/>
    <w:rsid w:val="00AF78CF"/>
    <w:rsid w:val="00B36302"/>
    <w:rsid w:val="00BA4A44"/>
    <w:rsid w:val="00BD09C8"/>
    <w:rsid w:val="00BF4F08"/>
    <w:rsid w:val="00CA5F5C"/>
    <w:rsid w:val="00CC545A"/>
    <w:rsid w:val="00D85E4D"/>
    <w:rsid w:val="00EE48C5"/>
    <w:rsid w:val="00F607FF"/>
    <w:rsid w:val="00F82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43971"/>
  <w15:chartTrackingRefBased/>
  <w15:docId w15:val="{0DB6383E-1072-4FED-9301-FD8393A8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6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921E57"/>
    <w:rPr>
      <w:rFonts w:ascii="Arial" w:hAnsi="Arial" w:cs="Arial"/>
      <w:sz w:val="24"/>
      <w:szCs w:val="24"/>
    </w:rPr>
  </w:style>
  <w:style w:type="character" w:customStyle="1" w:styleId="BodyTextChar">
    <w:name w:val="Body Text Char"/>
    <w:basedOn w:val="DefaultParagraphFont"/>
    <w:link w:val="BodyText"/>
    <w:uiPriority w:val="99"/>
    <w:rsid w:val="00921E57"/>
    <w:rPr>
      <w:rFonts w:ascii="Arial" w:hAnsi="Arial" w:cs="Arial"/>
      <w:sz w:val="24"/>
      <w:szCs w:val="24"/>
    </w:rPr>
  </w:style>
  <w:style w:type="paragraph" w:customStyle="1" w:styleId="mb-0">
    <w:name w:val="mb-0"/>
    <w:basedOn w:val="Normal"/>
    <w:rsid w:val="00921E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66B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BF7"/>
  </w:style>
  <w:style w:type="paragraph" w:styleId="Footer">
    <w:name w:val="footer"/>
    <w:basedOn w:val="Normal"/>
    <w:link w:val="FooterChar"/>
    <w:uiPriority w:val="99"/>
    <w:unhideWhenUsed/>
    <w:rsid w:val="00466B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BF7"/>
  </w:style>
  <w:style w:type="paragraph" w:styleId="NormalWeb">
    <w:name w:val="Normal (Web)"/>
    <w:basedOn w:val="Normal"/>
    <w:uiPriority w:val="99"/>
    <w:semiHidden/>
    <w:unhideWhenUsed/>
    <w:rsid w:val="007077E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7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A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57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118</Words>
  <Characters>677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Senrk1</dc:creator>
  <cp:keywords/>
  <dc:description/>
  <cp:lastModifiedBy>Poppy Simon</cp:lastModifiedBy>
  <cp:revision>15</cp:revision>
  <cp:lastPrinted>2020-02-07T14:00:00Z</cp:lastPrinted>
  <dcterms:created xsi:type="dcterms:W3CDTF">2020-01-27T14:37:00Z</dcterms:created>
  <dcterms:modified xsi:type="dcterms:W3CDTF">2020-05-06T11:01:00Z</dcterms:modified>
</cp:coreProperties>
</file>