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1491D" w14:textId="626FDC1A" w:rsidR="00B9156C" w:rsidRPr="00B9156C" w:rsidRDefault="00B9156C" w:rsidP="00DB4F3B">
      <w:pPr>
        <w:spacing w:after="160" w:line="259" w:lineRule="auto"/>
        <w:rPr>
          <w:b/>
          <w:sz w:val="32"/>
          <w:szCs w:val="32"/>
        </w:rPr>
      </w:pPr>
      <w:r w:rsidRPr="00B9156C">
        <w:rPr>
          <w:b/>
          <w:sz w:val="32"/>
          <w:szCs w:val="32"/>
        </w:rPr>
        <w:t>Supplementary Data</w:t>
      </w:r>
    </w:p>
    <w:p w14:paraId="73ACA04A" w14:textId="408E3CB4" w:rsidR="00B9156C" w:rsidRDefault="00B9156C" w:rsidP="00DB4F3B">
      <w:pPr>
        <w:spacing w:after="160" w:line="259" w:lineRule="auto"/>
        <w:rPr>
          <w:b/>
          <w:sz w:val="26"/>
          <w:szCs w:val="26"/>
        </w:rPr>
      </w:pPr>
    </w:p>
    <w:p w14:paraId="2BBBAF1E" w14:textId="5A39D0B0" w:rsidR="00B9156C" w:rsidRDefault="00B9156C" w:rsidP="00DB4F3B">
      <w:pPr>
        <w:spacing w:after="160" w:line="259" w:lineRule="auto"/>
        <w:rPr>
          <w:b/>
          <w:sz w:val="26"/>
          <w:szCs w:val="26"/>
        </w:rPr>
      </w:pPr>
    </w:p>
    <w:p w14:paraId="0210DABE" w14:textId="77777777" w:rsidR="00B9156C" w:rsidRPr="00F47B67" w:rsidRDefault="00B9156C" w:rsidP="00B9156C">
      <w:pPr>
        <w:rPr>
          <w:rFonts w:eastAsia="SimSun" w:cs="Times New Roman"/>
          <w:b/>
          <w:bCs/>
          <w:sz w:val="32"/>
          <w:szCs w:val="32"/>
        </w:rPr>
      </w:pPr>
      <w:r w:rsidRPr="00F47B67">
        <w:rPr>
          <w:rFonts w:eastAsia="SimSun" w:cs="Times New Roman"/>
          <w:b/>
          <w:bCs/>
          <w:sz w:val="32"/>
          <w:szCs w:val="32"/>
        </w:rPr>
        <w:t>Inhibition of Grb14, a negative modulator of insulin signaling, improves glucose homeostasis without causing cardiac dysfunction</w:t>
      </w:r>
    </w:p>
    <w:p w14:paraId="5BA46517" w14:textId="77777777" w:rsidR="00B9156C" w:rsidRPr="00F47B67" w:rsidRDefault="00B9156C" w:rsidP="00B9156C">
      <w:pPr>
        <w:rPr>
          <w:rFonts w:eastAsia="SimSun" w:cs="Times New Roman"/>
          <w:sz w:val="26"/>
          <w:szCs w:val="26"/>
        </w:rPr>
      </w:pPr>
      <w:r w:rsidRPr="00F47B67">
        <w:rPr>
          <w:rFonts w:eastAsia="SimSun" w:cs="Times New Roman"/>
          <w:sz w:val="26"/>
          <w:szCs w:val="26"/>
        </w:rPr>
        <w:t>Xunshan Ding#</w:t>
      </w:r>
      <w:r w:rsidRPr="00F47B67">
        <w:rPr>
          <w:rFonts w:eastAsia="SimSun" w:cs="Times New Roman"/>
          <w:sz w:val="26"/>
          <w:szCs w:val="26"/>
          <w:vertAlign w:val="superscript"/>
        </w:rPr>
        <w:t>1</w:t>
      </w:r>
      <w:r w:rsidRPr="00F47B67">
        <w:rPr>
          <w:rFonts w:eastAsia="SimSun" w:cs="Times New Roman"/>
          <w:sz w:val="26"/>
          <w:szCs w:val="26"/>
        </w:rPr>
        <w:t>, Rugmani Iyer#</w:t>
      </w:r>
      <w:r w:rsidRPr="00F47B67">
        <w:rPr>
          <w:rFonts w:eastAsia="SimSun" w:cs="Times New Roman"/>
          <w:sz w:val="26"/>
          <w:szCs w:val="26"/>
          <w:vertAlign w:val="superscript"/>
        </w:rPr>
        <w:t>1</w:t>
      </w:r>
      <w:r w:rsidRPr="00F47B67">
        <w:rPr>
          <w:rFonts w:eastAsia="SimSun" w:cs="Times New Roman"/>
          <w:sz w:val="26"/>
          <w:szCs w:val="26"/>
        </w:rPr>
        <w:t>, Christopher Novotny#</w:t>
      </w:r>
      <w:r w:rsidRPr="00F47B67">
        <w:rPr>
          <w:rFonts w:eastAsia="SimSun" w:cs="Times New Roman"/>
          <w:sz w:val="26"/>
          <w:szCs w:val="26"/>
          <w:vertAlign w:val="superscript"/>
        </w:rPr>
        <w:t>1</w:t>
      </w:r>
      <w:r w:rsidRPr="00F47B67">
        <w:rPr>
          <w:rFonts w:eastAsia="SimSun" w:cs="Times New Roman"/>
          <w:sz w:val="26"/>
          <w:szCs w:val="26"/>
        </w:rPr>
        <w:t>, Daniel Metzger</w:t>
      </w:r>
      <w:r w:rsidRPr="00F47B67">
        <w:rPr>
          <w:rFonts w:eastAsia="SimSun" w:cs="Times New Roman"/>
          <w:sz w:val="26"/>
          <w:szCs w:val="26"/>
          <w:vertAlign w:val="superscript"/>
        </w:rPr>
        <w:t>1</w:t>
      </w:r>
      <w:r w:rsidRPr="00F47B67">
        <w:rPr>
          <w:rFonts w:eastAsia="SimSun" w:cs="Times New Roman"/>
          <w:sz w:val="26"/>
          <w:szCs w:val="26"/>
        </w:rPr>
        <w:t>, Heather H Zhou</w:t>
      </w:r>
      <w:r w:rsidRPr="00F47B67">
        <w:rPr>
          <w:rFonts w:eastAsia="SimSun" w:cs="Times New Roman"/>
          <w:sz w:val="26"/>
          <w:szCs w:val="26"/>
          <w:vertAlign w:val="superscript"/>
        </w:rPr>
        <w:t>2</w:t>
      </w:r>
      <w:r w:rsidRPr="00F47B67">
        <w:rPr>
          <w:rFonts w:eastAsia="SimSun" w:cs="Times New Roman"/>
          <w:sz w:val="26"/>
          <w:szCs w:val="26"/>
        </w:rPr>
        <w:t>, Gordon I. Smith</w:t>
      </w:r>
      <w:r w:rsidRPr="00F47B67">
        <w:rPr>
          <w:rFonts w:eastAsia="SimSun" w:cs="Times New Roman"/>
          <w:sz w:val="26"/>
          <w:szCs w:val="26"/>
          <w:vertAlign w:val="superscript"/>
        </w:rPr>
        <w:t>3</w:t>
      </w:r>
      <w:r w:rsidRPr="00F47B67">
        <w:rPr>
          <w:rFonts w:eastAsia="SimSun" w:cs="Times New Roman"/>
          <w:sz w:val="26"/>
          <w:szCs w:val="26"/>
        </w:rPr>
        <w:t>, Mihoko Yoshino</w:t>
      </w:r>
      <w:r w:rsidRPr="00F47B67">
        <w:rPr>
          <w:rFonts w:eastAsia="SimSun" w:cs="Times New Roman"/>
          <w:sz w:val="26"/>
          <w:szCs w:val="26"/>
          <w:vertAlign w:val="superscript"/>
        </w:rPr>
        <w:t>3</w:t>
      </w:r>
      <w:r w:rsidRPr="00F47B67">
        <w:rPr>
          <w:rFonts w:eastAsia="SimSun" w:cs="Times New Roman"/>
          <w:sz w:val="26"/>
          <w:szCs w:val="26"/>
        </w:rPr>
        <w:t>, Jun Yoshino</w:t>
      </w:r>
      <w:r w:rsidRPr="00F47B67">
        <w:rPr>
          <w:rFonts w:eastAsia="SimSun" w:cs="Times New Roman"/>
          <w:sz w:val="26"/>
          <w:szCs w:val="26"/>
          <w:vertAlign w:val="superscript"/>
        </w:rPr>
        <w:t>3</w:t>
      </w:r>
      <w:r w:rsidRPr="00F47B67">
        <w:rPr>
          <w:rFonts w:eastAsia="SimSun" w:cs="Times New Roman"/>
          <w:sz w:val="26"/>
          <w:szCs w:val="26"/>
        </w:rPr>
        <w:t>, Samuel Klein</w:t>
      </w:r>
      <w:r w:rsidRPr="00F47B67">
        <w:rPr>
          <w:rFonts w:eastAsia="SimSun" w:cs="Times New Roman"/>
          <w:sz w:val="26"/>
          <w:szCs w:val="26"/>
          <w:vertAlign w:val="superscript"/>
        </w:rPr>
        <w:t>3</w:t>
      </w:r>
      <w:r w:rsidRPr="00F47B67">
        <w:rPr>
          <w:rFonts w:eastAsia="SimSun" w:cs="Times New Roman"/>
          <w:sz w:val="26"/>
          <w:szCs w:val="26"/>
        </w:rPr>
        <w:t>, Gayathri Swaminath</w:t>
      </w:r>
      <w:r w:rsidRPr="00F47B67">
        <w:rPr>
          <w:rFonts w:eastAsia="SimSun" w:cs="Times New Roman"/>
          <w:sz w:val="26"/>
          <w:szCs w:val="26"/>
          <w:vertAlign w:val="superscript"/>
        </w:rPr>
        <w:t>1</w:t>
      </w:r>
      <w:r w:rsidRPr="00F47B67">
        <w:rPr>
          <w:rFonts w:eastAsia="SimSun" w:cs="Times New Roman"/>
          <w:sz w:val="26"/>
          <w:szCs w:val="26"/>
        </w:rPr>
        <w:t>, Saswata Talukdar</w:t>
      </w:r>
      <w:r w:rsidRPr="00F47B67">
        <w:rPr>
          <w:rFonts w:eastAsia="SimSun" w:cs="Times New Roman"/>
          <w:sz w:val="26"/>
          <w:szCs w:val="26"/>
          <w:vertAlign w:val="superscript"/>
        </w:rPr>
        <w:t>1</w:t>
      </w:r>
      <w:r w:rsidRPr="00F47B67">
        <w:rPr>
          <w:rFonts w:eastAsia="SimSun" w:cs="Times New Roman"/>
          <w:sz w:val="26"/>
          <w:szCs w:val="26"/>
        </w:rPr>
        <w:t>, Yingjiang Zhou*</w:t>
      </w:r>
      <w:r w:rsidRPr="00F47B67">
        <w:rPr>
          <w:rFonts w:eastAsia="SimSun" w:cs="Times New Roman"/>
          <w:sz w:val="26"/>
          <w:szCs w:val="26"/>
          <w:vertAlign w:val="superscript"/>
        </w:rPr>
        <w:t>1</w:t>
      </w:r>
    </w:p>
    <w:p w14:paraId="4CC71ACB" w14:textId="77777777" w:rsidR="00B9156C" w:rsidRPr="003F7891" w:rsidRDefault="00B9156C" w:rsidP="00B9156C">
      <w:pPr>
        <w:spacing w:after="0"/>
        <w:jc w:val="both"/>
        <w:rPr>
          <w:sz w:val="26"/>
          <w:szCs w:val="26"/>
        </w:rPr>
      </w:pPr>
      <w:r w:rsidRPr="00F47B67">
        <w:rPr>
          <w:sz w:val="26"/>
          <w:szCs w:val="26"/>
          <w:vertAlign w:val="superscript"/>
        </w:rPr>
        <w:t>1</w:t>
      </w:r>
      <w:r w:rsidRPr="00F47B67">
        <w:rPr>
          <w:sz w:val="26"/>
          <w:szCs w:val="26"/>
        </w:rPr>
        <w:t xml:space="preserve">Merck </w:t>
      </w:r>
      <w:r w:rsidRPr="00F47B67">
        <w:rPr>
          <w:bCs/>
          <w:sz w:val="26"/>
          <w:szCs w:val="26"/>
        </w:rPr>
        <w:t>&amp; Co., Inc.</w:t>
      </w:r>
      <w:r w:rsidRPr="00F47B67">
        <w:rPr>
          <w:sz w:val="26"/>
          <w:szCs w:val="26"/>
        </w:rPr>
        <w:t>, South San Francisco, CA, USA</w:t>
      </w:r>
    </w:p>
    <w:p w14:paraId="0D5BBCC2" w14:textId="77777777" w:rsidR="00B9156C" w:rsidRPr="003F7891" w:rsidRDefault="00B9156C" w:rsidP="00B9156C">
      <w:pPr>
        <w:spacing w:after="0"/>
        <w:jc w:val="both"/>
        <w:rPr>
          <w:sz w:val="26"/>
          <w:szCs w:val="26"/>
        </w:rPr>
      </w:pPr>
      <w:r w:rsidRPr="00F47B67">
        <w:rPr>
          <w:sz w:val="26"/>
          <w:szCs w:val="26"/>
          <w:vertAlign w:val="superscript"/>
        </w:rPr>
        <w:t>2</w:t>
      </w:r>
      <w:r w:rsidRPr="00F47B67">
        <w:rPr>
          <w:sz w:val="26"/>
          <w:szCs w:val="26"/>
        </w:rPr>
        <w:t>Merck &amp; Co., Inc., Kenilworth, NJ, USA</w:t>
      </w:r>
    </w:p>
    <w:p w14:paraId="13651E3E" w14:textId="3493255A" w:rsidR="00B9156C" w:rsidRDefault="00B9156C" w:rsidP="00B9156C">
      <w:pPr>
        <w:spacing w:after="0"/>
        <w:jc w:val="both"/>
        <w:rPr>
          <w:bCs/>
          <w:sz w:val="26"/>
          <w:szCs w:val="26"/>
        </w:rPr>
      </w:pPr>
      <w:r w:rsidRPr="00F47B67">
        <w:rPr>
          <w:bCs/>
          <w:sz w:val="26"/>
          <w:szCs w:val="26"/>
          <w:vertAlign w:val="superscript"/>
        </w:rPr>
        <w:t>3</w:t>
      </w:r>
      <w:r w:rsidRPr="00F47B67">
        <w:rPr>
          <w:bCs/>
          <w:sz w:val="26"/>
          <w:szCs w:val="26"/>
        </w:rPr>
        <w:t>Center for Human Nutrition, Washington University School of Medicine, St. Louis, Missouri, USA.</w:t>
      </w:r>
    </w:p>
    <w:p w14:paraId="0C0CAB11" w14:textId="77777777" w:rsidR="00B9156C" w:rsidRPr="00F47B67" w:rsidRDefault="00B9156C" w:rsidP="00B9156C">
      <w:pPr>
        <w:spacing w:after="0"/>
        <w:jc w:val="both"/>
        <w:rPr>
          <w:bCs/>
          <w:sz w:val="26"/>
          <w:szCs w:val="26"/>
        </w:rPr>
      </w:pPr>
    </w:p>
    <w:p w14:paraId="2945FA1B" w14:textId="77777777" w:rsidR="00B9156C" w:rsidRPr="00F47B67" w:rsidRDefault="00B9156C" w:rsidP="00B9156C">
      <w:pPr>
        <w:spacing w:after="0"/>
        <w:jc w:val="both"/>
        <w:rPr>
          <w:bCs/>
          <w:sz w:val="26"/>
          <w:szCs w:val="26"/>
        </w:rPr>
      </w:pPr>
      <w:r w:rsidRPr="00F47B67">
        <w:rPr>
          <w:rFonts w:eastAsia="SimSun" w:cs="Times New Roman"/>
          <w:sz w:val="26"/>
          <w:szCs w:val="26"/>
        </w:rPr>
        <w:t>#These authors contributed equally to the work</w:t>
      </w:r>
    </w:p>
    <w:p w14:paraId="7C989F84" w14:textId="77777777" w:rsidR="00B9156C" w:rsidRPr="00F47B67" w:rsidRDefault="00B9156C" w:rsidP="00B9156C">
      <w:pPr>
        <w:jc w:val="both"/>
        <w:rPr>
          <w:bCs/>
          <w:sz w:val="26"/>
          <w:szCs w:val="26"/>
        </w:rPr>
      </w:pPr>
      <w:r w:rsidRPr="00F47B67">
        <w:rPr>
          <w:bCs/>
          <w:sz w:val="26"/>
          <w:szCs w:val="26"/>
        </w:rPr>
        <w:t>*Correspondence and requests for materials should be addressed to YZ (Yingjiang.Zhou@merck.com)</w:t>
      </w:r>
    </w:p>
    <w:p w14:paraId="7707D204" w14:textId="77777777" w:rsidR="00B9156C" w:rsidRDefault="00B9156C" w:rsidP="00DB4F3B">
      <w:pPr>
        <w:spacing w:after="160" w:line="259" w:lineRule="auto"/>
        <w:rPr>
          <w:b/>
          <w:sz w:val="26"/>
          <w:szCs w:val="26"/>
        </w:rPr>
      </w:pPr>
    </w:p>
    <w:p w14:paraId="5FF5354B" w14:textId="77777777" w:rsidR="00B9156C" w:rsidRDefault="00B9156C" w:rsidP="00DB4F3B">
      <w:pPr>
        <w:spacing w:after="160" w:line="259" w:lineRule="auto"/>
        <w:rPr>
          <w:b/>
          <w:sz w:val="26"/>
          <w:szCs w:val="26"/>
        </w:rPr>
      </w:pPr>
    </w:p>
    <w:p w14:paraId="71ED69A2" w14:textId="77777777" w:rsidR="00B9156C" w:rsidRDefault="00B9156C" w:rsidP="00DB4F3B">
      <w:pPr>
        <w:spacing w:after="160" w:line="259" w:lineRule="auto"/>
        <w:rPr>
          <w:b/>
          <w:sz w:val="26"/>
          <w:szCs w:val="26"/>
        </w:rPr>
      </w:pPr>
    </w:p>
    <w:p w14:paraId="110D470A" w14:textId="77777777" w:rsidR="00B9156C" w:rsidRDefault="00B9156C" w:rsidP="00DB4F3B">
      <w:pPr>
        <w:spacing w:after="160" w:line="259" w:lineRule="auto"/>
        <w:rPr>
          <w:b/>
          <w:sz w:val="26"/>
          <w:szCs w:val="26"/>
        </w:rPr>
      </w:pPr>
    </w:p>
    <w:p w14:paraId="3746CB74" w14:textId="77777777" w:rsidR="00B9156C" w:rsidRDefault="00B9156C" w:rsidP="00DB4F3B">
      <w:pPr>
        <w:spacing w:after="160" w:line="259" w:lineRule="auto"/>
        <w:rPr>
          <w:b/>
          <w:sz w:val="26"/>
          <w:szCs w:val="26"/>
        </w:rPr>
      </w:pPr>
    </w:p>
    <w:p w14:paraId="0FEBB1CD" w14:textId="5D0B5595" w:rsidR="00B9156C" w:rsidRDefault="00B9156C" w:rsidP="00DB4F3B">
      <w:pPr>
        <w:spacing w:after="160" w:line="259" w:lineRule="auto"/>
        <w:rPr>
          <w:b/>
          <w:sz w:val="26"/>
          <w:szCs w:val="26"/>
        </w:rPr>
      </w:pPr>
    </w:p>
    <w:p w14:paraId="16DF2DFE" w14:textId="0AF41C3A" w:rsidR="00B9156C" w:rsidRDefault="00B9156C" w:rsidP="00DB4F3B">
      <w:pPr>
        <w:spacing w:after="160" w:line="259" w:lineRule="auto"/>
        <w:rPr>
          <w:b/>
          <w:sz w:val="26"/>
          <w:szCs w:val="26"/>
        </w:rPr>
      </w:pPr>
    </w:p>
    <w:p w14:paraId="51EBA454" w14:textId="77777777" w:rsidR="00B9156C" w:rsidRDefault="00B9156C" w:rsidP="00DB4F3B">
      <w:pPr>
        <w:spacing w:after="160" w:line="259" w:lineRule="auto"/>
        <w:rPr>
          <w:b/>
          <w:sz w:val="26"/>
          <w:szCs w:val="26"/>
        </w:rPr>
      </w:pPr>
    </w:p>
    <w:p w14:paraId="7CED2FF0" w14:textId="77777777" w:rsidR="00B9156C" w:rsidRDefault="00B9156C" w:rsidP="00DB4F3B">
      <w:pPr>
        <w:spacing w:after="160" w:line="259" w:lineRule="auto"/>
        <w:rPr>
          <w:b/>
          <w:sz w:val="26"/>
          <w:szCs w:val="26"/>
        </w:rPr>
      </w:pPr>
    </w:p>
    <w:p w14:paraId="018566A3" w14:textId="77777777" w:rsidR="00B9156C" w:rsidRDefault="00B9156C" w:rsidP="00DB4F3B">
      <w:pPr>
        <w:spacing w:after="160" w:line="259" w:lineRule="auto"/>
        <w:rPr>
          <w:b/>
          <w:sz w:val="26"/>
          <w:szCs w:val="26"/>
        </w:rPr>
      </w:pPr>
    </w:p>
    <w:p w14:paraId="4135BC12" w14:textId="77777777" w:rsidR="00B9156C" w:rsidRDefault="00B9156C" w:rsidP="00DB4F3B">
      <w:pPr>
        <w:spacing w:after="160" w:line="259" w:lineRule="auto"/>
        <w:rPr>
          <w:b/>
          <w:sz w:val="26"/>
          <w:szCs w:val="26"/>
        </w:rPr>
      </w:pPr>
    </w:p>
    <w:p w14:paraId="6185D2E9" w14:textId="77777777" w:rsidR="00B9156C" w:rsidRDefault="00B9156C" w:rsidP="00DB4F3B">
      <w:pPr>
        <w:spacing w:after="160" w:line="259" w:lineRule="auto"/>
        <w:rPr>
          <w:b/>
          <w:sz w:val="26"/>
          <w:szCs w:val="26"/>
        </w:rPr>
      </w:pPr>
    </w:p>
    <w:p w14:paraId="073104C4" w14:textId="70D92519" w:rsidR="00DB4F3B" w:rsidRPr="00F47B67" w:rsidRDefault="00DB4F3B" w:rsidP="00DB4F3B">
      <w:pPr>
        <w:spacing w:after="160" w:line="259" w:lineRule="auto"/>
        <w:rPr>
          <w:sz w:val="26"/>
          <w:szCs w:val="26"/>
        </w:rPr>
      </w:pPr>
      <w:r>
        <w:rPr>
          <w:b/>
          <w:sz w:val="26"/>
          <w:szCs w:val="26"/>
        </w:rPr>
        <w:lastRenderedPageBreak/>
        <w:t xml:space="preserve">SUPPLEMENTARY </w:t>
      </w:r>
      <w:r w:rsidRPr="00F47B67">
        <w:rPr>
          <w:b/>
          <w:sz w:val="26"/>
          <w:szCs w:val="26"/>
        </w:rPr>
        <w:t>FIGURE LEGENDS</w:t>
      </w:r>
    </w:p>
    <w:p w14:paraId="2FE1391A" w14:textId="77777777" w:rsidR="00DB4F3B" w:rsidRPr="00F47B67" w:rsidRDefault="00DB4F3B" w:rsidP="00DB4F3B">
      <w:pPr>
        <w:spacing w:before="240" w:after="0"/>
        <w:jc w:val="both"/>
        <w:rPr>
          <w:sz w:val="26"/>
          <w:szCs w:val="26"/>
        </w:rPr>
      </w:pPr>
      <w:r w:rsidRPr="00F47B67">
        <w:rPr>
          <w:sz w:val="26"/>
          <w:szCs w:val="26"/>
        </w:rPr>
        <w:t xml:space="preserve">Figure S1 Efficient Grb14 Knockdown </w:t>
      </w:r>
    </w:p>
    <w:p w14:paraId="6E585CC1" w14:textId="15E1E39F" w:rsidR="00DB4F3B" w:rsidRPr="00F47B67" w:rsidRDefault="00DB4F3B" w:rsidP="00DB4F3B">
      <w:pPr>
        <w:spacing w:after="0"/>
        <w:jc w:val="both"/>
        <w:rPr>
          <w:sz w:val="26"/>
          <w:szCs w:val="26"/>
        </w:rPr>
      </w:pPr>
      <w:r w:rsidRPr="00F47B67">
        <w:rPr>
          <w:sz w:val="26"/>
          <w:szCs w:val="26"/>
        </w:rPr>
        <w:t>QPCR analysis of Grb14 gene expression in the liver, the heart, the epididymal white adipose tissue (eWAT), and the quadriceps muscle four weeks after AAV injection in C57BL male mice (n</w:t>
      </w:r>
      <w:r w:rsidR="00A25B08">
        <w:rPr>
          <w:sz w:val="26"/>
          <w:szCs w:val="26"/>
        </w:rPr>
        <w:t xml:space="preserve"> </w:t>
      </w:r>
      <w:r w:rsidR="0072563E">
        <w:rPr>
          <w:sz w:val="26"/>
          <w:szCs w:val="26"/>
        </w:rPr>
        <w:t>=</w:t>
      </w:r>
      <w:r w:rsidR="001F08F4">
        <w:rPr>
          <w:sz w:val="26"/>
          <w:szCs w:val="26"/>
        </w:rPr>
        <w:t xml:space="preserve"> </w:t>
      </w:r>
      <w:r w:rsidRPr="00F47B67">
        <w:rPr>
          <w:sz w:val="26"/>
          <w:szCs w:val="26"/>
        </w:rPr>
        <w:t xml:space="preserve">3). </w:t>
      </w:r>
    </w:p>
    <w:p w14:paraId="4EEB4ECD" w14:textId="331AD26F" w:rsidR="00DB4F3B" w:rsidRPr="00F47B67" w:rsidRDefault="00DB4F3B" w:rsidP="00DB4F3B">
      <w:pPr>
        <w:spacing w:after="0" w:line="240" w:lineRule="auto"/>
        <w:jc w:val="both"/>
        <w:rPr>
          <w:sz w:val="26"/>
          <w:szCs w:val="26"/>
        </w:rPr>
      </w:pPr>
      <w:r w:rsidRPr="00F47B67">
        <w:rPr>
          <w:sz w:val="26"/>
          <w:szCs w:val="26"/>
        </w:rPr>
        <w:t>* P&lt; 0.05</w:t>
      </w:r>
      <w:r w:rsidR="00FB1F54">
        <w:rPr>
          <w:sz w:val="26"/>
          <w:szCs w:val="26"/>
        </w:rPr>
        <w:t xml:space="preserve">, </w:t>
      </w:r>
      <w:r w:rsidR="00FB1F54" w:rsidRPr="00F47B67">
        <w:rPr>
          <w:sz w:val="26"/>
          <w:szCs w:val="26"/>
        </w:rPr>
        <w:t>*</w:t>
      </w:r>
      <w:r w:rsidR="00FB1F54">
        <w:rPr>
          <w:sz w:val="26"/>
          <w:szCs w:val="26"/>
        </w:rPr>
        <w:t>*</w:t>
      </w:r>
      <w:r w:rsidR="00FB1F54" w:rsidRPr="00F47B67">
        <w:rPr>
          <w:sz w:val="26"/>
          <w:szCs w:val="26"/>
        </w:rPr>
        <w:t xml:space="preserve"> P&lt; 0.0</w:t>
      </w:r>
      <w:r w:rsidR="00B9156C">
        <w:rPr>
          <w:sz w:val="26"/>
          <w:szCs w:val="26"/>
        </w:rPr>
        <w:t>1</w:t>
      </w:r>
      <w:r w:rsidR="00FB1F54" w:rsidRPr="00F47B67">
        <w:rPr>
          <w:sz w:val="26"/>
          <w:szCs w:val="26"/>
        </w:rPr>
        <w:t xml:space="preserve"> </w:t>
      </w:r>
      <w:r w:rsidRPr="00F47B67">
        <w:rPr>
          <w:sz w:val="26"/>
          <w:szCs w:val="26"/>
        </w:rPr>
        <w:t xml:space="preserve"> Empty Vector vs Grb14 shRNA, Student’s t-test</w:t>
      </w:r>
    </w:p>
    <w:p w14:paraId="343ADD86" w14:textId="77777777" w:rsidR="00DB4F3B" w:rsidRPr="00F47B67" w:rsidRDefault="00DB4F3B" w:rsidP="00DB4F3B">
      <w:pPr>
        <w:spacing w:before="240" w:after="0" w:line="240" w:lineRule="auto"/>
        <w:jc w:val="both"/>
        <w:rPr>
          <w:sz w:val="26"/>
          <w:szCs w:val="26"/>
        </w:rPr>
      </w:pPr>
      <w:r w:rsidRPr="00F47B67">
        <w:rPr>
          <w:sz w:val="26"/>
          <w:szCs w:val="26"/>
        </w:rPr>
        <w:t>Figure S2. Effects of Grb14 Knockdown on Ad Lib or Overnight-fast Blood Glucose</w:t>
      </w:r>
    </w:p>
    <w:p w14:paraId="5151295B" w14:textId="33D5B625" w:rsidR="00DB4F3B" w:rsidRPr="00F47B67" w:rsidRDefault="00DB4F3B" w:rsidP="00DB4F3B">
      <w:pPr>
        <w:spacing w:after="0" w:line="240" w:lineRule="auto"/>
        <w:jc w:val="both"/>
        <w:rPr>
          <w:sz w:val="26"/>
          <w:szCs w:val="26"/>
        </w:rPr>
      </w:pPr>
      <w:r w:rsidRPr="00F47B67">
        <w:rPr>
          <w:sz w:val="26"/>
          <w:szCs w:val="26"/>
        </w:rPr>
        <w:t>(A) Ad lib blood glucose during an 18-week high-fat diet (HFD) in C57BL/6J male mice (n</w:t>
      </w:r>
      <w:r w:rsidR="001F08F4">
        <w:rPr>
          <w:sz w:val="26"/>
          <w:szCs w:val="26"/>
        </w:rPr>
        <w:t xml:space="preserve"> </w:t>
      </w:r>
      <w:r w:rsidR="0072563E">
        <w:rPr>
          <w:rFonts w:ascii="Arial" w:hAnsi="Arial" w:cs="Arial"/>
          <w:color w:val="222222"/>
        </w:rPr>
        <w:t>≥</w:t>
      </w:r>
      <w:r w:rsidR="001F08F4">
        <w:rPr>
          <w:rFonts w:ascii="Arial" w:hAnsi="Arial" w:cs="Arial"/>
          <w:color w:val="222222"/>
        </w:rPr>
        <w:t xml:space="preserve"> </w:t>
      </w:r>
      <w:r w:rsidRPr="00F47B67">
        <w:rPr>
          <w:sz w:val="26"/>
          <w:szCs w:val="26"/>
        </w:rPr>
        <w:t xml:space="preserve">6). </w:t>
      </w:r>
    </w:p>
    <w:p w14:paraId="31AC736F" w14:textId="6BAFA3B6" w:rsidR="00DB4F3B" w:rsidRPr="00F47B67" w:rsidRDefault="00DB4F3B" w:rsidP="00DB4F3B">
      <w:pPr>
        <w:spacing w:after="0" w:line="240" w:lineRule="auto"/>
        <w:jc w:val="both"/>
        <w:rPr>
          <w:sz w:val="26"/>
          <w:szCs w:val="26"/>
        </w:rPr>
      </w:pPr>
      <w:r w:rsidRPr="00F47B67">
        <w:rPr>
          <w:sz w:val="26"/>
          <w:szCs w:val="26"/>
        </w:rPr>
        <w:t xml:space="preserve">(B) Overnight-fast blood glucose during a </w:t>
      </w:r>
      <w:r>
        <w:rPr>
          <w:sz w:val="26"/>
          <w:szCs w:val="26"/>
        </w:rPr>
        <w:t>20</w:t>
      </w:r>
      <w:r w:rsidRPr="00F47B67">
        <w:rPr>
          <w:sz w:val="26"/>
          <w:szCs w:val="26"/>
        </w:rPr>
        <w:t>-week HFD in C57BL/6J male mice (n</w:t>
      </w:r>
      <w:r w:rsidR="001F08F4">
        <w:rPr>
          <w:sz w:val="26"/>
          <w:szCs w:val="26"/>
        </w:rPr>
        <w:t xml:space="preserve"> </w:t>
      </w:r>
      <w:r w:rsidR="0072563E">
        <w:rPr>
          <w:rFonts w:ascii="Arial" w:hAnsi="Arial" w:cs="Arial"/>
          <w:color w:val="222222"/>
        </w:rPr>
        <w:t>≥</w:t>
      </w:r>
      <w:r w:rsidR="001F08F4">
        <w:rPr>
          <w:rFonts w:ascii="Arial" w:hAnsi="Arial" w:cs="Arial"/>
          <w:color w:val="222222"/>
        </w:rPr>
        <w:t xml:space="preserve"> </w:t>
      </w:r>
      <w:r w:rsidRPr="00F47B67">
        <w:rPr>
          <w:sz w:val="26"/>
          <w:szCs w:val="26"/>
        </w:rPr>
        <w:t xml:space="preserve">6). </w:t>
      </w:r>
    </w:p>
    <w:p w14:paraId="3FD527F7" w14:textId="77777777" w:rsidR="00DB4F3B" w:rsidRPr="00F47B67" w:rsidRDefault="00DB4F3B" w:rsidP="00DB4F3B">
      <w:pPr>
        <w:spacing w:before="240" w:after="0" w:line="240" w:lineRule="auto"/>
        <w:jc w:val="both"/>
        <w:rPr>
          <w:sz w:val="26"/>
          <w:szCs w:val="26"/>
        </w:rPr>
      </w:pPr>
      <w:r w:rsidRPr="00F47B67">
        <w:rPr>
          <w:sz w:val="26"/>
          <w:szCs w:val="26"/>
        </w:rPr>
        <w:t>Figure S3. Effects of Grb14 Knockdown on Body Weight and Food Intake</w:t>
      </w:r>
    </w:p>
    <w:p w14:paraId="6F6B02DF" w14:textId="57BAFDEA" w:rsidR="00DB4F3B" w:rsidRPr="00F47B67" w:rsidRDefault="00DB4F3B" w:rsidP="00DB4F3B">
      <w:pPr>
        <w:spacing w:after="0" w:line="240" w:lineRule="auto"/>
        <w:jc w:val="both"/>
        <w:rPr>
          <w:sz w:val="26"/>
          <w:szCs w:val="26"/>
        </w:rPr>
      </w:pPr>
      <w:r w:rsidRPr="00F47B67">
        <w:rPr>
          <w:sz w:val="26"/>
          <w:szCs w:val="26"/>
        </w:rPr>
        <w:t xml:space="preserve">(A) Body weight during an 18-week high-fat diet (HFD) in C57BL/6J male mice </w:t>
      </w:r>
      <w:r w:rsidR="001F08F4" w:rsidRPr="00F47B67">
        <w:rPr>
          <w:sz w:val="26"/>
          <w:szCs w:val="26"/>
        </w:rPr>
        <w:t>(n</w:t>
      </w:r>
      <w:r w:rsidR="001F08F4">
        <w:rPr>
          <w:sz w:val="26"/>
          <w:szCs w:val="26"/>
        </w:rPr>
        <w:t xml:space="preserve"> </w:t>
      </w:r>
      <w:r w:rsidR="001F08F4">
        <w:rPr>
          <w:rFonts w:ascii="Arial" w:hAnsi="Arial" w:cs="Arial"/>
          <w:color w:val="222222"/>
        </w:rPr>
        <w:t xml:space="preserve">≥ </w:t>
      </w:r>
      <w:r w:rsidR="001F08F4" w:rsidRPr="00F47B67">
        <w:rPr>
          <w:sz w:val="26"/>
          <w:szCs w:val="26"/>
        </w:rPr>
        <w:t>6)</w:t>
      </w:r>
      <w:r w:rsidRPr="00F47B67">
        <w:rPr>
          <w:sz w:val="26"/>
          <w:szCs w:val="26"/>
        </w:rPr>
        <w:t xml:space="preserve">. </w:t>
      </w:r>
    </w:p>
    <w:p w14:paraId="775A2489" w14:textId="3CBE0809" w:rsidR="00DB4F3B" w:rsidRPr="00F47B67" w:rsidRDefault="00DB4F3B" w:rsidP="00DB4F3B">
      <w:pPr>
        <w:spacing w:after="0" w:line="240" w:lineRule="auto"/>
        <w:jc w:val="both"/>
        <w:rPr>
          <w:sz w:val="26"/>
          <w:szCs w:val="26"/>
        </w:rPr>
      </w:pPr>
      <w:r w:rsidRPr="00F47B67">
        <w:rPr>
          <w:sz w:val="26"/>
          <w:szCs w:val="26"/>
        </w:rPr>
        <w:t xml:space="preserve">(B) Daily food intake during an 18-week HFD in C57BL/6J male mice </w:t>
      </w:r>
      <w:r w:rsidR="001F08F4" w:rsidRPr="00F47B67">
        <w:rPr>
          <w:sz w:val="26"/>
          <w:szCs w:val="26"/>
        </w:rPr>
        <w:t>(n</w:t>
      </w:r>
      <w:r w:rsidR="001F08F4">
        <w:rPr>
          <w:sz w:val="26"/>
          <w:szCs w:val="26"/>
        </w:rPr>
        <w:t xml:space="preserve"> </w:t>
      </w:r>
      <w:r w:rsidR="001F08F4">
        <w:rPr>
          <w:rFonts w:ascii="Arial" w:hAnsi="Arial" w:cs="Arial"/>
          <w:color w:val="222222"/>
        </w:rPr>
        <w:t xml:space="preserve">≥ </w:t>
      </w:r>
      <w:r w:rsidR="001F08F4" w:rsidRPr="00F47B67">
        <w:rPr>
          <w:sz w:val="26"/>
          <w:szCs w:val="26"/>
        </w:rPr>
        <w:t>6)</w:t>
      </w:r>
      <w:r w:rsidR="001F08F4">
        <w:rPr>
          <w:sz w:val="26"/>
          <w:szCs w:val="26"/>
        </w:rPr>
        <w:t>.</w:t>
      </w:r>
    </w:p>
    <w:p w14:paraId="5838A1F7" w14:textId="77777777" w:rsidR="00DB4F3B" w:rsidRPr="00F47B67" w:rsidRDefault="00DB4F3B" w:rsidP="00DB4F3B">
      <w:pPr>
        <w:spacing w:before="240" w:after="0" w:line="240" w:lineRule="auto"/>
        <w:jc w:val="both"/>
        <w:rPr>
          <w:sz w:val="26"/>
          <w:szCs w:val="26"/>
        </w:rPr>
      </w:pPr>
      <w:r w:rsidRPr="00F47B67">
        <w:rPr>
          <w:sz w:val="26"/>
          <w:szCs w:val="26"/>
        </w:rPr>
        <w:t>Figure S4. Effects of Grb14 Knockdown on Liver Gene Expression</w:t>
      </w:r>
    </w:p>
    <w:p w14:paraId="0FAA66DC" w14:textId="0018F8A2" w:rsidR="00DB4F3B" w:rsidRPr="00F47B67" w:rsidRDefault="00DB4F3B" w:rsidP="00DB4F3B">
      <w:pPr>
        <w:spacing w:after="0" w:line="240" w:lineRule="auto"/>
        <w:jc w:val="both"/>
        <w:rPr>
          <w:sz w:val="26"/>
          <w:szCs w:val="26"/>
        </w:rPr>
      </w:pPr>
      <w:r w:rsidRPr="00F47B67">
        <w:rPr>
          <w:sz w:val="26"/>
          <w:szCs w:val="26"/>
        </w:rPr>
        <w:t>QPCR analysis of gene expression in the liver after a five-month HFD in C57BL/6</w:t>
      </w:r>
      <w:r w:rsidRPr="00C33A5F">
        <w:rPr>
          <w:sz w:val="26"/>
          <w:szCs w:val="26"/>
        </w:rPr>
        <w:t>J</w:t>
      </w:r>
      <w:r w:rsidRPr="00F47B67">
        <w:rPr>
          <w:sz w:val="26"/>
          <w:szCs w:val="26"/>
        </w:rPr>
        <w:t xml:space="preserve"> male mice </w:t>
      </w:r>
      <w:r w:rsidR="001F08F4" w:rsidRPr="00F47B67">
        <w:rPr>
          <w:sz w:val="26"/>
          <w:szCs w:val="26"/>
        </w:rPr>
        <w:t>(n</w:t>
      </w:r>
      <w:r w:rsidR="001F08F4">
        <w:rPr>
          <w:sz w:val="26"/>
          <w:szCs w:val="26"/>
        </w:rPr>
        <w:t xml:space="preserve"> </w:t>
      </w:r>
      <w:r w:rsidR="001F08F4">
        <w:rPr>
          <w:rFonts w:ascii="Arial" w:hAnsi="Arial" w:cs="Arial"/>
          <w:color w:val="222222"/>
        </w:rPr>
        <w:t xml:space="preserve">≥ </w:t>
      </w:r>
      <w:r w:rsidR="001F08F4" w:rsidRPr="00F47B67">
        <w:rPr>
          <w:sz w:val="26"/>
          <w:szCs w:val="26"/>
        </w:rPr>
        <w:t>6)</w:t>
      </w:r>
      <w:r w:rsidR="001F08F4">
        <w:rPr>
          <w:sz w:val="26"/>
          <w:szCs w:val="26"/>
        </w:rPr>
        <w:t>.</w:t>
      </w:r>
    </w:p>
    <w:p w14:paraId="1738CF81" w14:textId="77777777" w:rsidR="00DB4F3B" w:rsidRPr="00F47B67" w:rsidRDefault="00DB4F3B" w:rsidP="00DB4F3B">
      <w:pPr>
        <w:spacing w:before="240" w:after="0" w:line="240" w:lineRule="auto"/>
        <w:jc w:val="both"/>
        <w:rPr>
          <w:sz w:val="26"/>
          <w:szCs w:val="26"/>
        </w:rPr>
      </w:pPr>
      <w:r w:rsidRPr="00F47B67">
        <w:rPr>
          <w:sz w:val="26"/>
          <w:szCs w:val="26"/>
        </w:rPr>
        <w:t>Figure S5. Effects of Grb14 Knockdown on Gene Expression in Neonatal Rat Cardiomyocytes</w:t>
      </w:r>
    </w:p>
    <w:p w14:paraId="797D4992" w14:textId="77777777" w:rsidR="00DB4F3B" w:rsidRPr="00F47B67" w:rsidRDefault="00DB4F3B" w:rsidP="00DB4F3B">
      <w:pPr>
        <w:spacing w:after="0" w:line="240" w:lineRule="auto"/>
        <w:jc w:val="both"/>
        <w:rPr>
          <w:sz w:val="26"/>
          <w:szCs w:val="26"/>
        </w:rPr>
      </w:pPr>
      <w:r w:rsidRPr="00F47B67">
        <w:rPr>
          <w:sz w:val="26"/>
          <w:szCs w:val="26"/>
        </w:rPr>
        <w:t>QPCR analysis of gene expression 48 hours post siRNA transfection.  NC siRNA; negative control siRNA.</w:t>
      </w:r>
    </w:p>
    <w:p w14:paraId="567C71B4" w14:textId="7024AC9C" w:rsidR="00DB4F3B" w:rsidRPr="00F47B67" w:rsidRDefault="00DB4F3B" w:rsidP="00DB4F3B">
      <w:pPr>
        <w:spacing w:after="0" w:line="240" w:lineRule="auto"/>
        <w:jc w:val="both"/>
        <w:rPr>
          <w:sz w:val="26"/>
          <w:szCs w:val="26"/>
        </w:rPr>
      </w:pPr>
      <w:r w:rsidRPr="00F47B67">
        <w:rPr>
          <w:sz w:val="26"/>
          <w:szCs w:val="26"/>
        </w:rPr>
        <w:t>* P&lt; 0.05</w:t>
      </w:r>
      <w:r w:rsidR="00FB1F54">
        <w:rPr>
          <w:sz w:val="26"/>
          <w:szCs w:val="26"/>
        </w:rPr>
        <w:t xml:space="preserve">, </w:t>
      </w:r>
      <w:r w:rsidR="00FB1F54" w:rsidRPr="00F47B67">
        <w:rPr>
          <w:sz w:val="26"/>
          <w:szCs w:val="26"/>
        </w:rPr>
        <w:t>*</w:t>
      </w:r>
      <w:r w:rsidR="00FB1F54">
        <w:rPr>
          <w:sz w:val="26"/>
          <w:szCs w:val="26"/>
        </w:rPr>
        <w:t>*</w:t>
      </w:r>
      <w:r w:rsidR="00FB1F54" w:rsidRPr="00F47B67">
        <w:rPr>
          <w:sz w:val="26"/>
          <w:szCs w:val="26"/>
        </w:rPr>
        <w:t xml:space="preserve"> P&lt; 0.0</w:t>
      </w:r>
      <w:r w:rsidR="00B9156C">
        <w:rPr>
          <w:sz w:val="26"/>
          <w:szCs w:val="26"/>
        </w:rPr>
        <w:t>1</w:t>
      </w:r>
      <w:r w:rsidR="00FB1F54" w:rsidRPr="00F47B67">
        <w:rPr>
          <w:sz w:val="26"/>
          <w:szCs w:val="26"/>
        </w:rPr>
        <w:t xml:space="preserve"> </w:t>
      </w:r>
      <w:r w:rsidRPr="00F47B67">
        <w:rPr>
          <w:sz w:val="26"/>
          <w:szCs w:val="26"/>
        </w:rPr>
        <w:t xml:space="preserve"> </w:t>
      </w:r>
      <w:r w:rsidR="00FB1F54">
        <w:rPr>
          <w:sz w:val="26"/>
          <w:szCs w:val="26"/>
        </w:rPr>
        <w:t>C</w:t>
      </w:r>
      <w:r w:rsidRPr="00F47B67">
        <w:rPr>
          <w:sz w:val="26"/>
          <w:szCs w:val="26"/>
        </w:rPr>
        <w:t xml:space="preserve">ompared to NC siRNA, Student’s t-test </w:t>
      </w:r>
    </w:p>
    <w:p w14:paraId="7F22F668" w14:textId="77777777" w:rsidR="00DB4F3B" w:rsidRPr="00F47B67" w:rsidRDefault="00DB4F3B" w:rsidP="00DB4F3B">
      <w:pPr>
        <w:spacing w:before="240" w:after="0"/>
        <w:jc w:val="both"/>
        <w:rPr>
          <w:sz w:val="26"/>
          <w:szCs w:val="26"/>
        </w:rPr>
      </w:pPr>
      <w:r w:rsidRPr="00F47B67">
        <w:rPr>
          <w:sz w:val="26"/>
          <w:szCs w:val="26"/>
        </w:rPr>
        <w:t>Figure S6. Grb14 Knockdown Did Not Cause Cardiac Dysfunction</w:t>
      </w:r>
    </w:p>
    <w:p w14:paraId="7B53E2D2" w14:textId="36E6AF2D" w:rsidR="00DB4F3B" w:rsidRPr="00F47B67" w:rsidRDefault="00DB4F3B" w:rsidP="00DB4F3B">
      <w:pPr>
        <w:spacing w:after="0" w:line="240" w:lineRule="auto"/>
        <w:jc w:val="both"/>
        <w:rPr>
          <w:sz w:val="26"/>
          <w:szCs w:val="26"/>
        </w:rPr>
      </w:pPr>
      <w:r w:rsidRPr="00F47B67">
        <w:rPr>
          <w:sz w:val="26"/>
          <w:szCs w:val="26"/>
        </w:rPr>
        <w:t xml:space="preserve">(A) Inter ventricular septum (IVS) thickness during a four-month HFD in C57BL/6J male mice </w:t>
      </w:r>
      <w:r w:rsidR="001F08F4" w:rsidRPr="00F47B67">
        <w:rPr>
          <w:sz w:val="26"/>
          <w:szCs w:val="26"/>
        </w:rPr>
        <w:t>(n</w:t>
      </w:r>
      <w:r w:rsidR="001F08F4">
        <w:rPr>
          <w:sz w:val="26"/>
          <w:szCs w:val="26"/>
        </w:rPr>
        <w:t xml:space="preserve"> </w:t>
      </w:r>
      <w:r w:rsidR="001F08F4">
        <w:rPr>
          <w:rFonts w:ascii="Arial" w:hAnsi="Arial" w:cs="Arial"/>
          <w:color w:val="222222"/>
        </w:rPr>
        <w:t xml:space="preserve">≥ </w:t>
      </w:r>
      <w:r w:rsidR="001F08F4" w:rsidRPr="00F47B67">
        <w:rPr>
          <w:sz w:val="26"/>
          <w:szCs w:val="26"/>
        </w:rPr>
        <w:t>6)</w:t>
      </w:r>
      <w:r w:rsidR="001F08F4">
        <w:rPr>
          <w:sz w:val="26"/>
          <w:szCs w:val="26"/>
        </w:rPr>
        <w:t>.</w:t>
      </w:r>
    </w:p>
    <w:p w14:paraId="5C3199FC" w14:textId="2C5FF935" w:rsidR="00DB4F3B" w:rsidRPr="00F47B67" w:rsidRDefault="00DB4F3B" w:rsidP="00DB4F3B">
      <w:pPr>
        <w:spacing w:after="0" w:line="240" w:lineRule="auto"/>
        <w:jc w:val="both"/>
        <w:rPr>
          <w:sz w:val="26"/>
          <w:szCs w:val="26"/>
        </w:rPr>
      </w:pPr>
      <w:r w:rsidRPr="00F47B67">
        <w:rPr>
          <w:sz w:val="26"/>
          <w:szCs w:val="26"/>
        </w:rPr>
        <w:t xml:space="preserve">(B) Left ventricular anterior wall (LVAW) thickness during a four-month HFD in C57BL male mice </w:t>
      </w:r>
      <w:r w:rsidR="001F08F4" w:rsidRPr="00F47B67">
        <w:rPr>
          <w:sz w:val="26"/>
          <w:szCs w:val="26"/>
        </w:rPr>
        <w:t>(n</w:t>
      </w:r>
      <w:r w:rsidR="001F08F4">
        <w:rPr>
          <w:sz w:val="26"/>
          <w:szCs w:val="26"/>
        </w:rPr>
        <w:t xml:space="preserve"> </w:t>
      </w:r>
      <w:r w:rsidR="001F08F4">
        <w:rPr>
          <w:rFonts w:ascii="Arial" w:hAnsi="Arial" w:cs="Arial"/>
          <w:color w:val="222222"/>
        </w:rPr>
        <w:t xml:space="preserve">≥ </w:t>
      </w:r>
      <w:r w:rsidR="001F08F4" w:rsidRPr="00F47B67">
        <w:rPr>
          <w:sz w:val="26"/>
          <w:szCs w:val="26"/>
        </w:rPr>
        <w:t>6)</w:t>
      </w:r>
      <w:r w:rsidR="001F08F4">
        <w:rPr>
          <w:sz w:val="26"/>
          <w:szCs w:val="26"/>
        </w:rPr>
        <w:t>.</w:t>
      </w:r>
    </w:p>
    <w:p w14:paraId="75ED3096" w14:textId="60B35E9E" w:rsidR="00DB4F3B" w:rsidRPr="00F47B67" w:rsidRDefault="00DB4F3B" w:rsidP="00DB4F3B">
      <w:pPr>
        <w:spacing w:after="0" w:line="240" w:lineRule="auto"/>
        <w:jc w:val="both"/>
        <w:rPr>
          <w:sz w:val="26"/>
          <w:szCs w:val="26"/>
        </w:rPr>
      </w:pPr>
      <w:r w:rsidRPr="00F47B67">
        <w:rPr>
          <w:sz w:val="26"/>
          <w:szCs w:val="26"/>
        </w:rPr>
        <w:t xml:space="preserve">(C) Left ventricular posterior wall (LVPW) thickness during a four-month HFD in C57BL male mice </w:t>
      </w:r>
      <w:r w:rsidR="001F08F4" w:rsidRPr="00F47B67">
        <w:rPr>
          <w:sz w:val="26"/>
          <w:szCs w:val="26"/>
        </w:rPr>
        <w:t>(n</w:t>
      </w:r>
      <w:r w:rsidR="001F08F4">
        <w:rPr>
          <w:sz w:val="26"/>
          <w:szCs w:val="26"/>
        </w:rPr>
        <w:t xml:space="preserve"> </w:t>
      </w:r>
      <w:r w:rsidR="001F08F4">
        <w:rPr>
          <w:rFonts w:ascii="Arial" w:hAnsi="Arial" w:cs="Arial"/>
          <w:color w:val="222222"/>
        </w:rPr>
        <w:t xml:space="preserve">≥ </w:t>
      </w:r>
      <w:r w:rsidR="001F08F4" w:rsidRPr="00F47B67">
        <w:rPr>
          <w:sz w:val="26"/>
          <w:szCs w:val="26"/>
        </w:rPr>
        <w:t>6)</w:t>
      </w:r>
      <w:r w:rsidR="001F08F4">
        <w:rPr>
          <w:sz w:val="26"/>
          <w:szCs w:val="26"/>
        </w:rPr>
        <w:t>.</w:t>
      </w:r>
      <w:bookmarkStart w:id="0" w:name="_GoBack"/>
      <w:bookmarkEnd w:id="0"/>
    </w:p>
    <w:p w14:paraId="276DD4BE" w14:textId="77777777" w:rsidR="00DB4F3B" w:rsidRPr="00F47B67" w:rsidRDefault="00DB4F3B" w:rsidP="00DB4F3B">
      <w:pPr>
        <w:spacing w:after="0" w:line="240" w:lineRule="auto"/>
        <w:jc w:val="both"/>
        <w:rPr>
          <w:sz w:val="26"/>
          <w:szCs w:val="26"/>
        </w:rPr>
      </w:pPr>
      <w:r w:rsidRPr="00F47B67">
        <w:rPr>
          <w:sz w:val="26"/>
          <w:szCs w:val="26"/>
        </w:rPr>
        <w:t>d: systolic s: diastolic</w:t>
      </w:r>
    </w:p>
    <w:p w14:paraId="4FA3CA68" w14:textId="77777777" w:rsidR="00DB4F3B" w:rsidRPr="00F47B67" w:rsidRDefault="00DB4F3B" w:rsidP="00DB4F3B">
      <w:pPr>
        <w:spacing w:before="240" w:after="0" w:line="240" w:lineRule="auto"/>
        <w:jc w:val="both"/>
        <w:rPr>
          <w:sz w:val="26"/>
          <w:szCs w:val="26"/>
        </w:rPr>
      </w:pPr>
      <w:r w:rsidRPr="00F47B67">
        <w:rPr>
          <w:sz w:val="26"/>
          <w:szCs w:val="26"/>
        </w:rPr>
        <w:t>Figure S7. A Split NanoLuc Assay for Grb14-IR Interaction</w:t>
      </w:r>
    </w:p>
    <w:p w14:paraId="5998E972" w14:textId="77777777" w:rsidR="00DB4F3B" w:rsidRPr="00F47B67" w:rsidRDefault="00DB4F3B" w:rsidP="00DB4F3B">
      <w:pPr>
        <w:spacing w:after="0"/>
        <w:jc w:val="both"/>
        <w:rPr>
          <w:sz w:val="26"/>
          <w:szCs w:val="26"/>
        </w:rPr>
      </w:pPr>
      <w:r w:rsidRPr="00F47B67">
        <w:rPr>
          <w:sz w:val="26"/>
          <w:szCs w:val="26"/>
        </w:rPr>
        <w:t xml:space="preserve">(A) Insulin-dependent interaction between Grb14 and IR (n=2). </w:t>
      </w:r>
    </w:p>
    <w:p w14:paraId="5A40A94F" w14:textId="77777777" w:rsidR="00DB4F3B" w:rsidRPr="00F47B67" w:rsidRDefault="00DB4F3B" w:rsidP="00DB4F3B">
      <w:pPr>
        <w:spacing w:after="0" w:line="240" w:lineRule="auto"/>
        <w:jc w:val="both"/>
        <w:rPr>
          <w:sz w:val="26"/>
          <w:szCs w:val="26"/>
        </w:rPr>
      </w:pPr>
      <w:r w:rsidRPr="00F47B67">
        <w:rPr>
          <w:sz w:val="26"/>
          <w:szCs w:val="26"/>
        </w:rPr>
        <w:t>(B) Insulin-dependent interaction between Grb10 and IR (n=2).</w:t>
      </w:r>
    </w:p>
    <w:p w14:paraId="27497C32" w14:textId="494BB403" w:rsidR="00DB4F3B" w:rsidRDefault="00DB4F3B">
      <w:pPr>
        <w:spacing w:after="160" w:line="259" w:lineRule="auto"/>
      </w:pPr>
      <w:r>
        <w:br w:type="page"/>
      </w:r>
    </w:p>
    <w:p w14:paraId="408D6537" w14:textId="0BF1482D" w:rsidR="00DB4F3B" w:rsidRDefault="0054412F">
      <w:pPr>
        <w:spacing w:after="160" w:line="259" w:lineRule="auto"/>
      </w:pPr>
      <w:r>
        <w:rPr>
          <w:noProof/>
        </w:rPr>
        <w:lastRenderedPageBreak/>
        <w:drawing>
          <wp:inline distT="0" distB="0" distL="0" distR="0" wp14:anchorId="2E4EE405" wp14:editId="7D9D05B7">
            <wp:extent cx="5407660" cy="2999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7660" cy="2999740"/>
                    </a:xfrm>
                    <a:prstGeom prst="rect">
                      <a:avLst/>
                    </a:prstGeom>
                    <a:noFill/>
                  </pic:spPr>
                </pic:pic>
              </a:graphicData>
            </a:graphic>
          </wp:inline>
        </w:drawing>
      </w:r>
      <w:r w:rsidR="00DB4F3B">
        <w:br w:type="page"/>
      </w:r>
    </w:p>
    <w:p w14:paraId="61A56EBA" w14:textId="557C910A" w:rsidR="00DB4F3B" w:rsidRDefault="0054412F">
      <w:pPr>
        <w:spacing w:after="160" w:line="259" w:lineRule="auto"/>
      </w:pPr>
      <w:r>
        <w:rPr>
          <w:noProof/>
        </w:rPr>
        <w:lastRenderedPageBreak/>
        <w:drawing>
          <wp:inline distT="0" distB="0" distL="0" distR="0" wp14:anchorId="64433D7A" wp14:editId="351A8567">
            <wp:extent cx="4005580" cy="6200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5580" cy="6200140"/>
                    </a:xfrm>
                    <a:prstGeom prst="rect">
                      <a:avLst/>
                    </a:prstGeom>
                    <a:noFill/>
                  </pic:spPr>
                </pic:pic>
              </a:graphicData>
            </a:graphic>
          </wp:inline>
        </w:drawing>
      </w:r>
      <w:r w:rsidR="00DB4F3B">
        <w:br w:type="page"/>
      </w:r>
    </w:p>
    <w:p w14:paraId="4A840D13" w14:textId="2240D98C" w:rsidR="00DB4F3B" w:rsidRDefault="0054412F">
      <w:pPr>
        <w:spacing w:after="160" w:line="259" w:lineRule="auto"/>
      </w:pPr>
      <w:r>
        <w:rPr>
          <w:noProof/>
        </w:rPr>
        <w:lastRenderedPageBreak/>
        <w:drawing>
          <wp:inline distT="0" distB="0" distL="0" distR="0" wp14:anchorId="77175231" wp14:editId="3CBC6378">
            <wp:extent cx="3980815" cy="63341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0815" cy="6334125"/>
                    </a:xfrm>
                    <a:prstGeom prst="rect">
                      <a:avLst/>
                    </a:prstGeom>
                    <a:noFill/>
                  </pic:spPr>
                </pic:pic>
              </a:graphicData>
            </a:graphic>
          </wp:inline>
        </w:drawing>
      </w:r>
      <w:r w:rsidR="00DB4F3B">
        <w:br w:type="page"/>
      </w:r>
    </w:p>
    <w:p w14:paraId="78285754" w14:textId="1EC18823" w:rsidR="00DB4F3B" w:rsidRDefault="00DB4F3B">
      <w:pPr>
        <w:spacing w:after="160" w:line="259" w:lineRule="auto"/>
      </w:pPr>
      <w:r>
        <w:rPr>
          <w:noProof/>
        </w:rPr>
        <w:lastRenderedPageBreak/>
        <w:drawing>
          <wp:inline distT="0" distB="0" distL="0" distR="0" wp14:anchorId="5A5928E3" wp14:editId="5A30D754">
            <wp:extent cx="6828155" cy="30727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28155" cy="3072765"/>
                    </a:xfrm>
                    <a:prstGeom prst="rect">
                      <a:avLst/>
                    </a:prstGeom>
                    <a:noFill/>
                  </pic:spPr>
                </pic:pic>
              </a:graphicData>
            </a:graphic>
          </wp:inline>
        </w:drawing>
      </w:r>
      <w:r>
        <w:br w:type="page"/>
      </w:r>
    </w:p>
    <w:p w14:paraId="4718432E" w14:textId="113C9EF5" w:rsidR="00DB4F3B" w:rsidRDefault="0054412F">
      <w:pPr>
        <w:spacing w:after="160" w:line="259" w:lineRule="auto"/>
      </w:pPr>
      <w:r>
        <w:rPr>
          <w:noProof/>
        </w:rPr>
        <w:lastRenderedPageBreak/>
        <w:drawing>
          <wp:inline distT="0" distB="0" distL="0" distR="0" wp14:anchorId="15CFC541" wp14:editId="3C4A80D1">
            <wp:extent cx="7102475" cy="67671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02475" cy="6767195"/>
                    </a:xfrm>
                    <a:prstGeom prst="rect">
                      <a:avLst/>
                    </a:prstGeom>
                    <a:noFill/>
                  </pic:spPr>
                </pic:pic>
              </a:graphicData>
            </a:graphic>
          </wp:inline>
        </w:drawing>
      </w:r>
      <w:r w:rsidR="00DB4F3B">
        <w:br w:type="page"/>
      </w:r>
    </w:p>
    <w:p w14:paraId="16C0C283" w14:textId="71307709" w:rsidR="00DB4F3B" w:rsidRDefault="0054412F">
      <w:pPr>
        <w:spacing w:after="160" w:line="259" w:lineRule="auto"/>
      </w:pPr>
      <w:r>
        <w:rPr>
          <w:noProof/>
        </w:rPr>
        <w:lastRenderedPageBreak/>
        <w:drawing>
          <wp:inline distT="0" distB="0" distL="0" distR="0" wp14:anchorId="212023C2" wp14:editId="13103E3D">
            <wp:extent cx="7193915" cy="6261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3915" cy="6261100"/>
                    </a:xfrm>
                    <a:prstGeom prst="rect">
                      <a:avLst/>
                    </a:prstGeom>
                    <a:noFill/>
                  </pic:spPr>
                </pic:pic>
              </a:graphicData>
            </a:graphic>
          </wp:inline>
        </w:drawing>
      </w:r>
      <w:r w:rsidR="00DB4F3B">
        <w:br w:type="page"/>
      </w:r>
    </w:p>
    <w:p w14:paraId="2DB96871" w14:textId="5833451D" w:rsidR="00DB4F3B" w:rsidRDefault="0054412F">
      <w:pPr>
        <w:spacing w:after="160" w:line="259" w:lineRule="auto"/>
      </w:pPr>
      <w:r>
        <w:rPr>
          <w:noProof/>
        </w:rPr>
        <w:lastRenderedPageBreak/>
        <w:drawing>
          <wp:inline distT="0" distB="0" distL="0" distR="0" wp14:anchorId="04B07C79" wp14:editId="5D992BD4">
            <wp:extent cx="7254875" cy="8827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54875" cy="8827770"/>
                    </a:xfrm>
                    <a:prstGeom prst="rect">
                      <a:avLst/>
                    </a:prstGeom>
                    <a:noFill/>
                  </pic:spPr>
                </pic:pic>
              </a:graphicData>
            </a:graphic>
          </wp:inline>
        </w:drawing>
      </w:r>
      <w:r w:rsidR="00DB4F3B">
        <w:br w:type="page"/>
      </w:r>
    </w:p>
    <w:p w14:paraId="4116CBFC" w14:textId="27FF8B2C" w:rsidR="001E41A6" w:rsidRDefault="0054412F">
      <w:r>
        <w:rPr>
          <w:noProof/>
        </w:rPr>
        <w:lastRenderedPageBreak/>
        <w:drawing>
          <wp:inline distT="0" distB="0" distL="0" distR="0" wp14:anchorId="1D27FAD0" wp14:editId="12C844AE">
            <wp:extent cx="4816475" cy="60477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6475" cy="6047740"/>
                    </a:xfrm>
                    <a:prstGeom prst="rect">
                      <a:avLst/>
                    </a:prstGeom>
                    <a:noFill/>
                  </pic:spPr>
                </pic:pic>
              </a:graphicData>
            </a:graphic>
          </wp:inline>
        </w:drawing>
      </w:r>
    </w:p>
    <w:sectPr w:rsidR="001E41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B8471" w14:textId="77777777" w:rsidR="0052039A" w:rsidRDefault="0052039A" w:rsidP="004254CB">
      <w:pPr>
        <w:spacing w:after="0" w:line="240" w:lineRule="auto"/>
      </w:pPr>
      <w:r>
        <w:separator/>
      </w:r>
    </w:p>
  </w:endnote>
  <w:endnote w:type="continuationSeparator" w:id="0">
    <w:p w14:paraId="5A26DECD" w14:textId="77777777" w:rsidR="0052039A" w:rsidRDefault="0052039A" w:rsidP="00425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01699" w14:textId="77777777" w:rsidR="0052039A" w:rsidRDefault="0052039A" w:rsidP="004254CB">
      <w:pPr>
        <w:spacing w:after="0" w:line="240" w:lineRule="auto"/>
      </w:pPr>
      <w:r>
        <w:separator/>
      </w:r>
    </w:p>
  </w:footnote>
  <w:footnote w:type="continuationSeparator" w:id="0">
    <w:p w14:paraId="0E7FC7C4" w14:textId="77777777" w:rsidR="0052039A" w:rsidRDefault="0052039A" w:rsidP="004254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CB"/>
    <w:rsid w:val="001E41A6"/>
    <w:rsid w:val="001F08F4"/>
    <w:rsid w:val="003401CB"/>
    <w:rsid w:val="004254CB"/>
    <w:rsid w:val="0052039A"/>
    <w:rsid w:val="0054412F"/>
    <w:rsid w:val="0072563E"/>
    <w:rsid w:val="00852BD0"/>
    <w:rsid w:val="00A25B08"/>
    <w:rsid w:val="00A64014"/>
    <w:rsid w:val="00B9156C"/>
    <w:rsid w:val="00DB4F3B"/>
    <w:rsid w:val="00FB1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0BF23"/>
  <w15:chartTrackingRefBased/>
  <w15:docId w15:val="{25DCA0A0-52E0-47D3-BF74-5AEAB810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F3B"/>
    <w:pPr>
      <w:spacing w:after="200" w:line="276" w:lineRule="auto"/>
    </w:pPr>
    <w:rPr>
      <w:rFonts w:ascii="Calibri" w:hAnsi="Calibri" w:cs="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4CB"/>
    <w:pPr>
      <w:tabs>
        <w:tab w:val="center" w:pos="4680"/>
        <w:tab w:val="right" w:pos="9360"/>
      </w:tabs>
      <w:spacing w:after="0" w:line="240" w:lineRule="auto"/>
    </w:pPr>
    <w:rPr>
      <w:rFonts w:asciiTheme="minorHAnsi" w:hAnsiTheme="minorHAnsi" w:cstheme="minorBidi"/>
      <w:lang w:eastAsia="en-US"/>
    </w:rPr>
  </w:style>
  <w:style w:type="character" w:customStyle="1" w:styleId="HeaderChar">
    <w:name w:val="Header Char"/>
    <w:basedOn w:val="DefaultParagraphFont"/>
    <w:link w:val="Header"/>
    <w:uiPriority w:val="99"/>
    <w:rsid w:val="004254CB"/>
  </w:style>
  <w:style w:type="paragraph" w:styleId="Footer">
    <w:name w:val="footer"/>
    <w:basedOn w:val="Normal"/>
    <w:link w:val="FooterChar"/>
    <w:uiPriority w:val="99"/>
    <w:unhideWhenUsed/>
    <w:rsid w:val="004254CB"/>
    <w:pPr>
      <w:tabs>
        <w:tab w:val="center" w:pos="4680"/>
        <w:tab w:val="right" w:pos="9360"/>
      </w:tabs>
      <w:spacing w:after="0" w:line="240" w:lineRule="auto"/>
    </w:pPr>
    <w:rPr>
      <w:rFonts w:asciiTheme="minorHAnsi" w:hAnsiTheme="minorHAnsi" w:cstheme="minorBidi"/>
      <w:lang w:eastAsia="en-US"/>
    </w:rPr>
  </w:style>
  <w:style w:type="character" w:customStyle="1" w:styleId="FooterChar">
    <w:name w:val="Footer Char"/>
    <w:basedOn w:val="DefaultParagraphFont"/>
    <w:link w:val="Footer"/>
    <w:uiPriority w:val="99"/>
    <w:rsid w:val="004254CB"/>
  </w:style>
  <w:style w:type="paragraph" w:styleId="BalloonText">
    <w:name w:val="Balloon Text"/>
    <w:basedOn w:val="Normal"/>
    <w:link w:val="BalloonTextChar"/>
    <w:uiPriority w:val="99"/>
    <w:semiHidden/>
    <w:unhideWhenUsed/>
    <w:rsid w:val="00DB4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F3B"/>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1F027DC084A408074D42DFE287CD2" ma:contentTypeVersion="13" ma:contentTypeDescription="Create a new document." ma:contentTypeScope="" ma:versionID="fe3b917b585f67c0b62b7107334a2f16">
  <xsd:schema xmlns:xsd="http://www.w3.org/2001/XMLSchema" xmlns:xs="http://www.w3.org/2001/XMLSchema" xmlns:p="http://schemas.microsoft.com/office/2006/metadata/properties" xmlns:ns3="9a826958-8036-4681-bfe0-c5c88f01c0e6" xmlns:ns4="3cb9af1f-d047-4c2a-a77b-9fc3da14b04c" targetNamespace="http://schemas.microsoft.com/office/2006/metadata/properties" ma:root="true" ma:fieldsID="6498519dd5c78e3b8a93d7259acdf915" ns3:_="" ns4:_="">
    <xsd:import namespace="9a826958-8036-4681-bfe0-c5c88f01c0e6"/>
    <xsd:import namespace="3cb9af1f-d047-4c2a-a77b-9fc3da14b0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26958-8036-4681-bfe0-c5c88f01c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b9af1f-d047-4c2a-a77b-9fc3da14b0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DB57CB2B-F04A-4EBC-AB01-AE03A0E44DBB}">
  <ds:schemaRefs>
    <ds:schemaRef ds:uri="http://schemas.microsoft.com/sharepoint/v3/contenttype/forms"/>
  </ds:schemaRefs>
</ds:datastoreItem>
</file>

<file path=customXml/itemProps2.xml><?xml version="1.0" encoding="utf-8"?>
<ds:datastoreItem xmlns:ds="http://schemas.openxmlformats.org/officeDocument/2006/customXml" ds:itemID="{3CBD02B4-AEA3-4EBA-A0C4-26BC012AC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26958-8036-4681-bfe0-c5c88f01c0e6"/>
    <ds:schemaRef ds:uri="3cb9af1f-d047-4c2a-a77b-9fc3da14b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02C484-C8AC-40D7-B5E6-41F6E2C77A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6B081E-8B07-44CA-A5BF-4BC62827974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10</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Ding, Xunshan</dc:creator>
  <cp:keywords/>
  <dc:description/>
  <cp:lastModifiedBy>Zhou, Yingjiang</cp:lastModifiedBy>
  <cp:revision>8</cp:revision>
  <dcterms:created xsi:type="dcterms:W3CDTF">2020-01-13T23:15:00Z</dcterms:created>
  <dcterms:modified xsi:type="dcterms:W3CDTF">2020-02-14T06:03:00Z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8a0e0a37-1e61-4893-a483-bffe96147094</vt:lpwstr>
  </property>
  <property fmtid="{D5CDD505-2E9C-101B-9397-08002B2CF9AE}" pid="3" name="bjSaver">
    <vt:lpwstr>orEwVOPgMtwN4hbzEhsRlM3SQrJBEIAO</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ContentTypeId">
    <vt:lpwstr>0x0101006E51F027DC084A408074D42DFE287CD2</vt:lpwstr>
  </property>
</Properties>
</file>