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00338" w14:textId="59C7A483" w:rsidR="001B0F1B" w:rsidRDefault="001B0F1B" w:rsidP="001B0F1B">
      <w:pPr>
        <w:pStyle w:val="NormalWeb"/>
        <w:spacing w:line="360" w:lineRule="auto"/>
        <w:jc w:val="center"/>
        <w:rPr>
          <w:rFonts w:asciiTheme="minorHAnsi" w:eastAsia="Arial Unicode MS" w:hAnsiTheme="minorHAnsi" w:cstheme="minorHAnsi"/>
          <w:kern w:val="1"/>
          <w:lang w:eastAsia="zh-CN" w:bidi="hi-IN"/>
        </w:rPr>
      </w:pPr>
      <w:r w:rsidRPr="001B0F1B">
        <w:rPr>
          <w:rFonts w:asciiTheme="minorHAnsi" w:eastAsia="Arial Unicode MS" w:hAnsiTheme="minorHAnsi" w:cstheme="minorHAnsi"/>
          <w:kern w:val="1"/>
          <w:lang w:eastAsia="zh-CN" w:bidi="hi-IN"/>
        </w:rPr>
        <w:t>Conserved in-</w:t>
      </w:r>
      <w:proofErr w:type="spellStart"/>
      <w:r w:rsidRPr="001B0F1B">
        <w:rPr>
          <w:rFonts w:asciiTheme="minorHAnsi" w:eastAsia="Arial Unicode MS" w:hAnsiTheme="minorHAnsi" w:cstheme="minorHAnsi"/>
          <w:kern w:val="1"/>
          <w:lang w:eastAsia="zh-CN" w:bidi="hi-IN"/>
        </w:rPr>
        <w:t>ovo</w:t>
      </w:r>
      <w:proofErr w:type="spellEnd"/>
      <w:r w:rsidRPr="001B0F1B">
        <w:rPr>
          <w:rFonts w:asciiTheme="minorHAnsi" w:eastAsia="Arial Unicode MS" w:hAnsiTheme="minorHAnsi" w:cstheme="minorHAnsi"/>
          <w:kern w:val="1"/>
          <w:lang w:eastAsia="zh-CN" w:bidi="hi-IN"/>
        </w:rPr>
        <w:t xml:space="preserve"> cranial ossification seq</w:t>
      </w:r>
      <w:r w:rsidR="00A145E5">
        <w:rPr>
          <w:rFonts w:asciiTheme="minorHAnsi" w:eastAsia="Arial Unicode MS" w:hAnsiTheme="minorHAnsi" w:cstheme="minorHAnsi"/>
          <w:kern w:val="1"/>
          <w:lang w:eastAsia="zh-CN" w:bidi="hi-IN"/>
        </w:rPr>
        <w:t xml:space="preserve">uences of extant </w:t>
      </w:r>
      <w:proofErr w:type="spellStart"/>
      <w:r w:rsidR="00A145E5">
        <w:rPr>
          <w:rFonts w:asciiTheme="minorHAnsi" w:eastAsia="Arial Unicode MS" w:hAnsiTheme="minorHAnsi" w:cstheme="minorHAnsi"/>
          <w:kern w:val="1"/>
          <w:lang w:eastAsia="zh-CN" w:bidi="hi-IN"/>
        </w:rPr>
        <w:t>saurians</w:t>
      </w:r>
      <w:proofErr w:type="spellEnd"/>
      <w:r w:rsidR="00A145E5">
        <w:rPr>
          <w:rFonts w:asciiTheme="minorHAnsi" w:eastAsia="Arial Unicode MS" w:hAnsiTheme="minorHAnsi" w:cstheme="minorHAnsi"/>
          <w:kern w:val="1"/>
          <w:lang w:eastAsia="zh-CN" w:bidi="hi-IN"/>
        </w:rPr>
        <w:t xml:space="preserve"> allow</w:t>
      </w:r>
      <w:bookmarkStart w:id="0" w:name="_GoBack"/>
      <w:bookmarkEnd w:id="0"/>
      <w:r w:rsidRPr="001B0F1B">
        <w:rPr>
          <w:rFonts w:asciiTheme="minorHAnsi" w:eastAsia="Arial Unicode MS" w:hAnsiTheme="minorHAnsi" w:cstheme="minorHAnsi"/>
          <w:kern w:val="1"/>
          <w:lang w:eastAsia="zh-CN" w:bidi="hi-IN"/>
        </w:rPr>
        <w:t xml:space="preserve"> estimation of embryonic dinosaur developmental stages</w:t>
      </w:r>
    </w:p>
    <w:p w14:paraId="589D14A7" w14:textId="77777777" w:rsidR="001B0F1B" w:rsidRDefault="001B0F1B" w:rsidP="004B70D7">
      <w:pPr>
        <w:pStyle w:val="NormalWeb"/>
        <w:rPr>
          <w:rFonts w:asciiTheme="minorHAnsi" w:eastAsia="Arial Unicode MS" w:hAnsiTheme="minorHAnsi" w:cstheme="minorHAnsi"/>
          <w:kern w:val="1"/>
          <w:lang w:eastAsia="zh-CN" w:bidi="hi-IN"/>
        </w:rPr>
      </w:pPr>
    </w:p>
    <w:p w14:paraId="2383F7E0" w14:textId="643822D4" w:rsidR="004B70D7" w:rsidRPr="004B70D7" w:rsidRDefault="004B70D7" w:rsidP="004B70D7">
      <w:pPr>
        <w:pStyle w:val="NormalWeb"/>
        <w:rPr>
          <w:rFonts w:asciiTheme="minorHAnsi" w:hAnsiTheme="minorHAnsi" w:cstheme="minorHAnsi"/>
          <w:lang w:val="fr-FR"/>
        </w:rPr>
      </w:pPr>
      <w:r w:rsidRPr="004B70D7">
        <w:rPr>
          <w:rFonts w:asciiTheme="minorHAnsi" w:hAnsiTheme="minorHAnsi" w:cstheme="minorHAnsi"/>
          <w:lang w:val="fr-FR"/>
        </w:rPr>
        <w:t>KIMBERLEY E. J. CHAPELLE</w:t>
      </w:r>
      <w:r w:rsidRPr="004B70D7">
        <w:rPr>
          <w:rFonts w:asciiTheme="minorHAnsi" w:hAnsiTheme="minorHAnsi" w:cstheme="minorHAnsi"/>
          <w:vertAlign w:val="superscript"/>
          <w:lang w:val="fr-FR"/>
        </w:rPr>
        <w:t>1,2</w:t>
      </w:r>
      <w:r w:rsidRPr="004B70D7">
        <w:rPr>
          <w:rFonts w:asciiTheme="minorHAnsi" w:hAnsiTheme="minorHAnsi" w:cstheme="minorHAnsi"/>
          <w:lang w:val="fr-FR"/>
        </w:rPr>
        <w:t>*, VINCENT FERNANDEZ</w:t>
      </w:r>
      <w:r w:rsidRPr="004B70D7">
        <w:rPr>
          <w:rFonts w:asciiTheme="minorHAnsi" w:hAnsiTheme="minorHAnsi" w:cstheme="minorHAnsi"/>
          <w:vertAlign w:val="superscript"/>
          <w:lang w:val="fr-FR"/>
        </w:rPr>
        <w:t>1,3,4</w:t>
      </w:r>
      <w:r w:rsidRPr="004B70D7">
        <w:rPr>
          <w:rFonts w:asciiTheme="minorHAnsi" w:hAnsiTheme="minorHAnsi" w:cstheme="minorHAnsi"/>
          <w:lang w:val="fr-FR"/>
        </w:rPr>
        <w:t>, JONAH N. CHOINIERE</w:t>
      </w:r>
      <w:r w:rsidRPr="004B70D7">
        <w:rPr>
          <w:rFonts w:asciiTheme="minorHAnsi" w:hAnsiTheme="minorHAnsi" w:cstheme="minorHAnsi"/>
          <w:vertAlign w:val="superscript"/>
          <w:lang w:val="fr-FR"/>
        </w:rPr>
        <w:t>1</w:t>
      </w:r>
    </w:p>
    <w:p w14:paraId="18C922EB" w14:textId="77777777" w:rsidR="004B70D7" w:rsidRPr="004B70D7" w:rsidRDefault="004B70D7" w:rsidP="004B70D7">
      <w:pPr>
        <w:pStyle w:val="NormalWeb"/>
        <w:rPr>
          <w:rFonts w:asciiTheme="minorHAnsi" w:hAnsiTheme="minorHAnsi" w:cstheme="minorHAnsi"/>
        </w:rPr>
      </w:pPr>
      <w:r w:rsidRPr="004B70D7">
        <w:rPr>
          <w:rFonts w:asciiTheme="minorHAnsi" w:hAnsiTheme="minorHAnsi" w:cstheme="minorHAnsi"/>
          <w:vertAlign w:val="superscript"/>
        </w:rPr>
        <w:t>1</w:t>
      </w:r>
      <w:r w:rsidRPr="004B70D7">
        <w:rPr>
          <w:rFonts w:asciiTheme="minorHAnsi" w:hAnsiTheme="minorHAnsi" w:cstheme="minorHAnsi"/>
        </w:rPr>
        <w:t xml:space="preserve"> Evolutionary Studies Institute, University of the Witwatersrand, Johannesburg, Gauteng, South Africa</w:t>
      </w:r>
    </w:p>
    <w:p w14:paraId="774D6357" w14:textId="77777777" w:rsidR="004B70D7" w:rsidRPr="004B70D7" w:rsidRDefault="004B70D7" w:rsidP="004B70D7">
      <w:pPr>
        <w:pStyle w:val="NormalWeb"/>
        <w:rPr>
          <w:rFonts w:asciiTheme="minorHAnsi" w:hAnsiTheme="minorHAnsi" w:cstheme="minorHAnsi"/>
        </w:rPr>
      </w:pPr>
      <w:r w:rsidRPr="004B70D7">
        <w:rPr>
          <w:rFonts w:asciiTheme="minorHAnsi" w:hAnsiTheme="minorHAnsi" w:cstheme="minorHAnsi"/>
          <w:vertAlign w:val="superscript"/>
        </w:rPr>
        <w:t>2</w:t>
      </w:r>
      <w:r w:rsidRPr="004B70D7">
        <w:rPr>
          <w:rFonts w:asciiTheme="minorHAnsi" w:hAnsiTheme="minorHAnsi" w:cstheme="minorHAnsi"/>
        </w:rPr>
        <w:t>School of Geosciences, University of the Witwatersrand, Johannesburg, Gauteng, South Africa</w:t>
      </w:r>
    </w:p>
    <w:p w14:paraId="6EE8F5DE" w14:textId="77777777" w:rsidR="004B70D7" w:rsidRPr="004B70D7" w:rsidRDefault="004B70D7" w:rsidP="004B70D7">
      <w:pPr>
        <w:pStyle w:val="NormalWeb"/>
        <w:rPr>
          <w:rFonts w:asciiTheme="minorHAnsi" w:hAnsiTheme="minorHAnsi" w:cstheme="minorHAnsi"/>
        </w:rPr>
      </w:pPr>
      <w:r w:rsidRPr="004B70D7">
        <w:rPr>
          <w:rFonts w:asciiTheme="minorHAnsi" w:hAnsiTheme="minorHAnsi" w:cstheme="minorHAnsi"/>
          <w:vertAlign w:val="superscript"/>
        </w:rPr>
        <w:t>3</w:t>
      </w:r>
      <w:r w:rsidRPr="004B70D7">
        <w:rPr>
          <w:rFonts w:asciiTheme="minorHAnsi" w:hAnsiTheme="minorHAnsi" w:cstheme="minorHAnsi"/>
        </w:rPr>
        <w:t xml:space="preserve"> European Synchrotron Radiation Facility, Grenoble, France</w:t>
      </w:r>
    </w:p>
    <w:p w14:paraId="7A2D29D3" w14:textId="77777777" w:rsidR="004B70D7" w:rsidRPr="004B70D7" w:rsidRDefault="004B70D7" w:rsidP="004B70D7">
      <w:pPr>
        <w:pStyle w:val="NormalWeb"/>
        <w:rPr>
          <w:rFonts w:asciiTheme="minorHAnsi" w:hAnsiTheme="minorHAnsi" w:cstheme="minorHAnsi"/>
        </w:rPr>
      </w:pPr>
      <w:r w:rsidRPr="004B70D7">
        <w:rPr>
          <w:rFonts w:asciiTheme="minorHAnsi" w:hAnsiTheme="minorHAnsi" w:cstheme="minorHAnsi"/>
          <w:vertAlign w:val="superscript"/>
        </w:rPr>
        <w:t>4</w:t>
      </w:r>
      <w:r w:rsidRPr="004B70D7">
        <w:rPr>
          <w:rFonts w:asciiTheme="minorHAnsi" w:hAnsiTheme="minorHAnsi" w:cstheme="minorHAnsi"/>
        </w:rPr>
        <w:t xml:space="preserve"> Imaging and Analyses Centre, Natural History Museum, London, United Kingdom</w:t>
      </w:r>
    </w:p>
    <w:p w14:paraId="31AA7E50" w14:textId="77777777" w:rsidR="004B70D7" w:rsidRPr="004B70D7" w:rsidRDefault="00A145E5" w:rsidP="004B70D7">
      <w:pPr>
        <w:pStyle w:val="NormalWeb"/>
        <w:rPr>
          <w:rFonts w:asciiTheme="minorHAnsi" w:hAnsiTheme="minorHAnsi" w:cstheme="minorHAnsi"/>
        </w:rPr>
      </w:pPr>
      <w:hyperlink r:id="rId4" w:history="1">
        <w:r w:rsidR="004B70D7" w:rsidRPr="004B70D7">
          <w:rPr>
            <w:rStyle w:val="Hyperlink"/>
            <w:rFonts w:asciiTheme="minorHAnsi" w:hAnsiTheme="minorHAnsi" w:cstheme="minorHAnsi"/>
          </w:rPr>
          <w:t>*kimi.chapelle@gmail.com</w:t>
        </w:r>
      </w:hyperlink>
    </w:p>
    <w:p w14:paraId="082EA382" w14:textId="77777777" w:rsidR="004B70D7" w:rsidRDefault="004B70D7">
      <w:pPr>
        <w:rPr>
          <w:b/>
          <w:lang w:val="en-US"/>
        </w:rPr>
      </w:pPr>
    </w:p>
    <w:p w14:paraId="549E2178" w14:textId="2FCDE09D" w:rsidR="00FC4F48" w:rsidRDefault="00FC4F48">
      <w:pPr>
        <w:rPr>
          <w:b/>
          <w:lang w:val="en-US"/>
        </w:rPr>
      </w:pPr>
      <w:r w:rsidRPr="00FC4F48">
        <w:rPr>
          <w:b/>
          <w:lang w:val="en-US"/>
        </w:rPr>
        <w:t>Supplementary information</w:t>
      </w:r>
    </w:p>
    <w:p w14:paraId="68C567EE" w14:textId="1ABE37FE" w:rsidR="004D3B35" w:rsidRDefault="001B0F1B">
      <w:pPr>
        <w:rPr>
          <w:b/>
          <w:lang w:val="en-US"/>
        </w:rPr>
      </w:pPr>
      <w:r>
        <w:rPr>
          <w:b/>
          <w:lang w:val="en-US"/>
        </w:rPr>
        <w:t xml:space="preserve">S1. </w:t>
      </w:r>
      <w:r w:rsidRPr="001B0F1B">
        <w:rPr>
          <w:lang w:val="en-US"/>
        </w:rPr>
        <w:t>S</w:t>
      </w:r>
      <w:r w:rsidR="004D3B35" w:rsidRPr="001B0F1B">
        <w:rPr>
          <w:lang w:val="en-US"/>
        </w:rPr>
        <w:t xml:space="preserve">canning parameters for </w:t>
      </w:r>
      <w:r w:rsidR="004D3B35" w:rsidRPr="001B0F1B">
        <w:rPr>
          <w:i/>
          <w:lang w:val="en-US"/>
        </w:rPr>
        <w:t>Massospondylus carinatus</w:t>
      </w:r>
      <w:r w:rsidR="004D3B35" w:rsidRPr="001B0F1B">
        <w:rPr>
          <w:lang w:val="en-US"/>
        </w:rPr>
        <w:t xml:space="preserve"> embryos.</w:t>
      </w:r>
    </w:p>
    <w:p w14:paraId="59567CC2" w14:textId="001CB7D7" w:rsidR="0063505C" w:rsidRDefault="0063505C">
      <w:pPr>
        <w:rPr>
          <w:lang w:val="en-US"/>
        </w:rPr>
      </w:pPr>
      <w:r>
        <w:rPr>
          <w:lang w:val="en-US"/>
        </w:rPr>
        <w:t xml:space="preserve">The seven eggs preserved on the clutch BP/1/5347A were </w:t>
      </w:r>
      <w:proofErr w:type="spellStart"/>
      <w:r>
        <w:rPr>
          <w:lang w:val="en-US"/>
        </w:rPr>
        <w:t>characterised</w:t>
      </w:r>
      <w:proofErr w:type="spellEnd"/>
      <w:r>
        <w:rPr>
          <w:lang w:val="en-US"/>
        </w:rPr>
        <w:t xml:space="preserve"> at the ID19 beamline of the European Synchrotron Radiation Facility (ESRF, Grenoble, France) using propagation phase contrast X-ray micro computed tomography.</w:t>
      </w:r>
      <w:r w:rsidR="00CD7A3E">
        <w:rPr>
          <w:lang w:val="en-US"/>
        </w:rPr>
        <w:t xml:space="preserve"> For the first part of the experiment, we imaged whole eggs individually</w:t>
      </w:r>
      <w:r w:rsidR="00627F54">
        <w:rPr>
          <w:lang w:val="en-US"/>
        </w:rPr>
        <w:t xml:space="preserve"> using a setup generating data with a voxel size of 13.11 µm</w:t>
      </w:r>
      <w:r w:rsidR="00CD7A3E">
        <w:rPr>
          <w:lang w:val="en-US"/>
        </w:rPr>
        <w:t xml:space="preserve">. This would allow for </w:t>
      </w:r>
      <w:proofErr w:type="spellStart"/>
      <w:r w:rsidR="00CD7A3E">
        <w:rPr>
          <w:lang w:val="en-US"/>
        </w:rPr>
        <w:t>visualising</w:t>
      </w:r>
      <w:proofErr w:type="spellEnd"/>
      <w:r w:rsidR="00CD7A3E">
        <w:rPr>
          <w:lang w:val="en-US"/>
        </w:rPr>
        <w:t xml:space="preserve"> the full skeleton of the two embryos visible from previous preparation and to inspect unprepared eggs for potential presence of bones. In a second part, we changed the setup to increase the resolution, focusing on the skulls of the two prepared embryos in order to get more details from the minute bones. </w:t>
      </w:r>
      <w:r w:rsidR="00627F54">
        <w:rPr>
          <w:lang w:val="en-US"/>
        </w:rPr>
        <w:t xml:space="preserve">This second setup generated data with a voxel size of 2.98 µm. </w:t>
      </w:r>
    </w:p>
    <w:p w14:paraId="65FD06ED" w14:textId="77777777" w:rsidR="00627F54" w:rsidRDefault="00627F54">
      <w:pPr>
        <w:rPr>
          <w:lang w:val="en-US"/>
        </w:rPr>
      </w:pPr>
      <w:r>
        <w:rPr>
          <w:lang w:val="en-US"/>
        </w:rPr>
        <w:t xml:space="preserve">The X-ray beam configuration was similar for both setups: white beam from a wiggler W150B filtered with a 1 mm diamond window, 2.8 mm of </w:t>
      </w:r>
      <w:r w:rsidRPr="00627F54">
        <w:t>Aluminium</w:t>
      </w:r>
      <w:r w:rsidR="003D1172">
        <w:t>, 12 mm of Copper</w:t>
      </w:r>
      <w:r>
        <w:rPr>
          <w:lang w:val="en-US"/>
        </w:rPr>
        <w:t xml:space="preserve"> and 0.3 mm of Tungsten. The wiggler gap was adapted depending on the detector setup: 32 mm gap for the 13.11 µm setup</w:t>
      </w:r>
      <w:r w:rsidR="003D1172">
        <w:rPr>
          <w:lang w:val="en-US"/>
        </w:rPr>
        <w:t xml:space="preserve"> (</w:t>
      </w:r>
      <w:r w:rsidR="003D1172" w:rsidRPr="003D1172">
        <w:rPr>
          <w:lang w:val="en-US"/>
        </w:rPr>
        <w:t>de</w:t>
      </w:r>
      <w:r w:rsidR="003D1172">
        <w:rPr>
          <w:lang w:val="en-US"/>
        </w:rPr>
        <w:t xml:space="preserve">tected total integrated energy of 175 </w:t>
      </w:r>
      <w:proofErr w:type="spellStart"/>
      <w:r w:rsidR="003D1172" w:rsidRPr="003D1172">
        <w:rPr>
          <w:lang w:val="en-US"/>
        </w:rPr>
        <w:t>keV</w:t>
      </w:r>
      <w:proofErr w:type="spellEnd"/>
      <w:r w:rsidR="003D1172">
        <w:rPr>
          <w:lang w:val="en-US"/>
        </w:rPr>
        <w:t>) a</w:t>
      </w:r>
      <w:r>
        <w:rPr>
          <w:lang w:val="en-US"/>
        </w:rPr>
        <w:t>nd 37 mm gap for the 2.98 µm setup</w:t>
      </w:r>
      <w:r w:rsidR="003D1172">
        <w:rPr>
          <w:lang w:val="en-US"/>
        </w:rPr>
        <w:t xml:space="preserve"> (</w:t>
      </w:r>
      <w:r w:rsidR="003D1172" w:rsidRPr="003D1172">
        <w:rPr>
          <w:lang w:val="en-US"/>
        </w:rPr>
        <w:t>de</w:t>
      </w:r>
      <w:r w:rsidR="003D1172">
        <w:rPr>
          <w:lang w:val="en-US"/>
        </w:rPr>
        <w:t xml:space="preserve">tected total integrated energy of 166 </w:t>
      </w:r>
      <w:proofErr w:type="spellStart"/>
      <w:r w:rsidR="003D1172" w:rsidRPr="003D1172">
        <w:rPr>
          <w:lang w:val="en-US"/>
        </w:rPr>
        <w:t>keV</w:t>
      </w:r>
      <w:proofErr w:type="spellEnd"/>
      <w:r w:rsidR="003D1172">
        <w:rPr>
          <w:lang w:val="en-US"/>
        </w:rPr>
        <w:t>)</w:t>
      </w:r>
      <w:r>
        <w:rPr>
          <w:lang w:val="en-US"/>
        </w:rPr>
        <w:t xml:space="preserve">. </w:t>
      </w:r>
    </w:p>
    <w:p w14:paraId="36FF93E1" w14:textId="77777777" w:rsidR="00627F54" w:rsidRDefault="00627F54">
      <w:pPr>
        <w:rPr>
          <w:lang w:val="en-US"/>
        </w:rPr>
      </w:pPr>
      <w:r>
        <w:rPr>
          <w:lang w:val="en-US"/>
        </w:rPr>
        <w:t xml:space="preserve">The 13.11 µm setup consisted of an indirect detector comprising a 500 </w:t>
      </w:r>
      <w:r w:rsidR="003D1172">
        <w:rPr>
          <w:lang w:val="en-US"/>
        </w:rPr>
        <w:t>µmm</w:t>
      </w:r>
      <w:r>
        <w:rPr>
          <w:lang w:val="en-US"/>
        </w:rPr>
        <w:t xml:space="preserve"> </w:t>
      </w:r>
      <w:proofErr w:type="spellStart"/>
      <w:r>
        <w:rPr>
          <w:lang w:val="en-US"/>
        </w:rPr>
        <w:t>LuAG</w:t>
      </w:r>
      <w:proofErr w:type="spellEnd"/>
      <w:r>
        <w:rPr>
          <w:lang w:val="en-US"/>
        </w:rPr>
        <w:t xml:space="preserve"> scintillator</w:t>
      </w:r>
      <w:r w:rsidR="003D1172">
        <w:rPr>
          <w:lang w:val="en-US"/>
        </w:rPr>
        <w:t xml:space="preserve"> (</w:t>
      </w:r>
      <w:r w:rsidR="003D1172" w:rsidRPr="003D1172">
        <w:rPr>
          <w:lang w:val="en-US"/>
        </w:rPr>
        <w:t xml:space="preserve">Lutetium </w:t>
      </w:r>
      <w:proofErr w:type="spellStart"/>
      <w:r w:rsidR="003D1172" w:rsidRPr="003D1172">
        <w:rPr>
          <w:lang w:val="en-US"/>
        </w:rPr>
        <w:t>Aluminium</w:t>
      </w:r>
      <w:proofErr w:type="spellEnd"/>
      <w:r w:rsidR="003D1172" w:rsidRPr="003D1172">
        <w:rPr>
          <w:lang w:val="en-US"/>
        </w:rPr>
        <w:t xml:space="preserve"> Garnet)</w:t>
      </w:r>
      <w:r>
        <w:rPr>
          <w:lang w:val="en-US"/>
        </w:rPr>
        <w:t xml:space="preserve">, a </w:t>
      </w:r>
      <w:r w:rsidR="003D1172">
        <w:rPr>
          <w:lang w:val="en-US"/>
        </w:rPr>
        <w:t xml:space="preserve">1x magnification from a </w:t>
      </w:r>
      <w:r>
        <w:rPr>
          <w:lang w:val="en-US"/>
        </w:rPr>
        <w:t>set of two 100 mm Hasselblad photographic lenses (</w:t>
      </w:r>
      <w:r w:rsidR="003D1172">
        <w:rPr>
          <w:lang w:val="en-US"/>
        </w:rPr>
        <w:t xml:space="preserve">Hasselblad, </w:t>
      </w:r>
      <w:r w:rsidR="0061152C">
        <w:rPr>
          <w:lang w:val="en-US"/>
        </w:rPr>
        <w:t>Gothenburg, Sweden</w:t>
      </w:r>
      <w:r>
        <w:rPr>
          <w:lang w:val="en-US"/>
        </w:rPr>
        <w:t xml:space="preserve">) and a </w:t>
      </w:r>
      <w:proofErr w:type="spellStart"/>
      <w:r>
        <w:rPr>
          <w:lang w:val="en-US"/>
        </w:rPr>
        <w:t>FReLoN</w:t>
      </w:r>
      <w:proofErr w:type="spellEnd"/>
      <w:r>
        <w:rPr>
          <w:lang w:val="en-US"/>
        </w:rPr>
        <w:t xml:space="preserve"> 2K CCD camera</w:t>
      </w:r>
      <w:r w:rsidR="0061152C">
        <w:rPr>
          <w:lang w:val="en-US"/>
        </w:rPr>
        <w:t xml:space="preserve"> (developed at the ESRF)</w:t>
      </w:r>
      <w:r>
        <w:rPr>
          <w:lang w:val="en-US"/>
        </w:rPr>
        <w:t xml:space="preserve">. </w:t>
      </w:r>
      <w:r w:rsidR="0061152C">
        <w:rPr>
          <w:lang w:val="en-US"/>
        </w:rPr>
        <w:t xml:space="preserve">With this setup, the detector was placed </w:t>
      </w:r>
      <w:r w:rsidR="00D95014">
        <w:rPr>
          <w:lang w:val="en-US"/>
        </w:rPr>
        <w:t>11</w:t>
      </w:r>
      <w:r w:rsidR="0061152C">
        <w:rPr>
          <w:lang w:val="en-US"/>
        </w:rPr>
        <w:t xml:space="preserve"> m downstream of the sample to maximize phase contrast imaging by free space propagation. </w:t>
      </w:r>
      <w:r w:rsidR="003D1172">
        <w:rPr>
          <w:lang w:val="en-US"/>
        </w:rPr>
        <w:t xml:space="preserve">The 2.98 µm setup consisted of an indirect detector comprising a 200 µm </w:t>
      </w:r>
      <w:proofErr w:type="spellStart"/>
      <w:r w:rsidR="003D1172">
        <w:rPr>
          <w:lang w:val="en-US"/>
        </w:rPr>
        <w:t>LuAG</w:t>
      </w:r>
      <w:proofErr w:type="spellEnd"/>
      <w:r w:rsidR="003D1172">
        <w:rPr>
          <w:lang w:val="en-US"/>
        </w:rPr>
        <w:t xml:space="preserve"> scintillator, a set of two Hasselblad photographic lenses (100 mm and 210 mm, 2.1x magnification) and a </w:t>
      </w:r>
      <w:proofErr w:type="spellStart"/>
      <w:r w:rsidR="003D1172">
        <w:rPr>
          <w:lang w:val="en-US"/>
        </w:rPr>
        <w:t>PCO.edge</w:t>
      </w:r>
      <w:proofErr w:type="spellEnd"/>
      <w:r w:rsidR="003D1172">
        <w:rPr>
          <w:lang w:val="en-US"/>
        </w:rPr>
        <w:t xml:space="preserve"> 5.5 </w:t>
      </w:r>
      <w:proofErr w:type="spellStart"/>
      <w:r w:rsidR="003D1172">
        <w:rPr>
          <w:lang w:val="en-US"/>
        </w:rPr>
        <w:t>sCMOS</w:t>
      </w:r>
      <w:proofErr w:type="spellEnd"/>
      <w:r w:rsidR="003D1172">
        <w:rPr>
          <w:lang w:val="en-US"/>
        </w:rPr>
        <w:t xml:space="preserve"> with camera link (PCO, </w:t>
      </w:r>
      <w:proofErr w:type="spellStart"/>
      <w:r w:rsidR="003D1172" w:rsidRPr="003D1172">
        <w:rPr>
          <w:lang w:val="en-US"/>
        </w:rPr>
        <w:t>Kelheim</w:t>
      </w:r>
      <w:proofErr w:type="spellEnd"/>
      <w:r w:rsidR="003D1172" w:rsidRPr="003D1172">
        <w:rPr>
          <w:lang w:val="en-US"/>
        </w:rPr>
        <w:t>, Germany</w:t>
      </w:r>
      <w:r w:rsidR="003D1172">
        <w:rPr>
          <w:lang w:val="en-US"/>
        </w:rPr>
        <w:t xml:space="preserve">). </w:t>
      </w:r>
      <w:r w:rsidR="0061152C">
        <w:rPr>
          <w:lang w:val="en-US"/>
        </w:rPr>
        <w:t xml:space="preserve">This detector was located </w:t>
      </w:r>
      <w:r w:rsidR="00D95014">
        <w:rPr>
          <w:lang w:val="en-US"/>
        </w:rPr>
        <w:t>7.5</w:t>
      </w:r>
      <w:r w:rsidR="0061152C">
        <w:rPr>
          <w:lang w:val="en-US"/>
        </w:rPr>
        <w:t xml:space="preserve"> m </w:t>
      </w:r>
      <w:r w:rsidR="00D95014">
        <w:rPr>
          <w:lang w:val="en-US"/>
        </w:rPr>
        <w:t>downstream from the sample. For both setup, the rotation axis was shifted near one edge of the recorded projection, resulting in almost doubling the reconstructed field of view (</w:t>
      </w:r>
      <w:proofErr w:type="spellStart"/>
      <w:r w:rsidR="00D95014">
        <w:rPr>
          <w:lang w:val="en-US"/>
        </w:rPr>
        <w:t>ie</w:t>
      </w:r>
      <w:proofErr w:type="spellEnd"/>
      <w:r w:rsidR="00D95014">
        <w:rPr>
          <w:lang w:val="en-US"/>
        </w:rPr>
        <w:t>. Half acquisition protocol</w:t>
      </w:r>
      <w:r w:rsidR="00896A41">
        <w:rPr>
          <w:lang w:val="en-US"/>
        </w:rPr>
        <w:t xml:space="preserve">, </w:t>
      </w:r>
      <w:r w:rsidR="00896A41">
        <w:rPr>
          <w:lang w:val="en-US"/>
        </w:rPr>
        <w:fldChar w:fldCharType="begin"/>
      </w:r>
      <w:r w:rsidR="00896A41">
        <w:rPr>
          <w:lang w:val="en-US"/>
        </w:rPr>
        <w:instrText xml:space="preserve"> ADDIN EN.CITE &lt;EndNote&gt;&lt;Cite AuthorYear="1"&gt;&lt;Author&gt;Carlson&lt;/Author&gt;&lt;Year&gt;2011&lt;/Year&gt;&lt;RecNum&gt;8&lt;/RecNum&gt;&lt;DisplayText&gt;Carlson et al. (2011)&lt;/DisplayText&gt;&lt;record&gt;&lt;rec-number&gt;8&lt;/rec-number&gt;&lt;foreign-keys&gt;&lt;key app="EN" db-id="xvwpvd50qttzrxetxzhxfrfyvzxrvparw2w2" timestamp="1337347209"&gt;8&lt;/key&gt;&lt;/foreign-keys&gt;&lt;ref-type name="Journal Article"&gt;17&lt;/ref-type&gt;&lt;contributors&gt;&lt;authors&gt;&lt;author&gt;Carlson, K.J.&lt;/author&gt;&lt;author&gt;Stout, D.&lt;/author&gt;&lt;author&gt;Jashashvili, T.&lt;/author&gt;&lt;author&gt;De Ruiter, D.J.&lt;/author&gt;&lt;author&gt;Tafforeau, P.&lt;/author&gt;&lt;author&gt;Carlson, K.&lt;/author&gt;&lt;author&gt;Berger, L.R.&lt;/author&gt;&lt;/authors&gt;&lt;/contributors&gt;&lt;titles&gt;&lt;title&gt;&lt;style face="normal" font="default" size="100%"&gt;The endocast of MH1, &lt;/style&gt;&lt;style face="italic" font="default" size="100%"&gt;Australopithecus sediba&lt;/style&gt;&lt;/title&gt;&lt;secondary-title&gt;Science&lt;/secondary-title&gt;&lt;/titles&gt;&lt;periodical&gt;&lt;full-title&gt;Science&lt;/full-title&gt;&lt;/periodical&gt;&lt;pages&gt;1402-1407&lt;/pages&gt;&lt;volume&gt;333&lt;/volume&gt;&lt;number&gt;6048&lt;/number&gt;&lt;dates&gt;&lt;year&gt;2011&lt;/year&gt;&lt;/dates&gt;&lt;isbn&gt;0036-8075&lt;/isbn&gt;&lt;urls&gt;&lt;/urls&gt;&lt;/record&gt;&lt;/Cite&gt;&lt;/EndNote&gt;</w:instrText>
      </w:r>
      <w:r w:rsidR="00896A41">
        <w:rPr>
          <w:lang w:val="en-US"/>
        </w:rPr>
        <w:fldChar w:fldCharType="separate"/>
      </w:r>
      <w:r w:rsidR="00896A41">
        <w:rPr>
          <w:noProof/>
          <w:lang w:val="en-US"/>
        </w:rPr>
        <w:t>Carlson et al. (2011)</w:t>
      </w:r>
      <w:r w:rsidR="00896A41">
        <w:rPr>
          <w:lang w:val="en-US"/>
        </w:rPr>
        <w:fldChar w:fldCharType="end"/>
      </w:r>
      <w:r w:rsidR="00D95014">
        <w:rPr>
          <w:lang w:val="en-US"/>
        </w:rPr>
        <w:t xml:space="preserve">). </w:t>
      </w:r>
      <w:r w:rsidR="00D95014">
        <w:rPr>
          <w:lang w:val="en-US"/>
        </w:rPr>
        <w:br/>
      </w:r>
    </w:p>
    <w:p w14:paraId="05D8FA28" w14:textId="77777777" w:rsidR="00D95014" w:rsidRDefault="00D95014">
      <w:pPr>
        <w:rPr>
          <w:lang w:val="en-US"/>
        </w:rPr>
      </w:pPr>
      <w:r>
        <w:rPr>
          <w:lang w:val="en-US"/>
        </w:rPr>
        <w:t xml:space="preserve">For the 13.11 µm setup, 4998 projections were recorded over a 360° rotation of the sample (necessary for half acquisition protocol). The exposure time was 0.1 s per projection. For the 2.98 µm setup, 8000 projections were recorded over a 360° rotation of the sample. The higher number of projection was chosen to compensate for the higher noise of the </w:t>
      </w:r>
      <w:proofErr w:type="spellStart"/>
      <w:r>
        <w:rPr>
          <w:lang w:val="en-US"/>
        </w:rPr>
        <w:t>PCO.edge</w:t>
      </w:r>
      <w:proofErr w:type="spellEnd"/>
      <w:r>
        <w:rPr>
          <w:lang w:val="en-US"/>
        </w:rPr>
        <w:t xml:space="preserve"> 5.5 camera compared to the </w:t>
      </w:r>
      <w:proofErr w:type="spellStart"/>
      <w:r>
        <w:rPr>
          <w:lang w:val="en-US"/>
        </w:rPr>
        <w:t>FReLoN</w:t>
      </w:r>
      <w:proofErr w:type="spellEnd"/>
      <w:r>
        <w:rPr>
          <w:lang w:val="en-US"/>
        </w:rPr>
        <w:t xml:space="preserve"> 2k. Exposure for this setup was 0.25 s per projection. </w:t>
      </w:r>
    </w:p>
    <w:p w14:paraId="700174B8" w14:textId="77777777" w:rsidR="00D95014" w:rsidRDefault="00F10A6F">
      <w:pPr>
        <w:rPr>
          <w:lang w:val="en-US"/>
        </w:rPr>
      </w:pPr>
      <w:r>
        <w:rPr>
          <w:lang w:val="en-US"/>
        </w:rPr>
        <w:t xml:space="preserve">For both setups, several acquisitions were necessary on the vertical axis to cover the full height of the scanned region. The sample was moved on the vertical axis by a distance ranging from 33% to 50% of the vertical field of view. The important overlap was subsequently used to concatenate the scans, using a weighted average, limiting artefact that could be caused by the beam profile. </w:t>
      </w:r>
    </w:p>
    <w:p w14:paraId="02E7ACC9" w14:textId="77777777" w:rsidR="00F10A6F" w:rsidRDefault="00F10A6F">
      <w:pPr>
        <w:rPr>
          <w:lang w:val="en-US"/>
        </w:rPr>
      </w:pPr>
      <w:r>
        <w:rPr>
          <w:lang w:val="en-US"/>
        </w:rPr>
        <w:lastRenderedPageBreak/>
        <w:t xml:space="preserve">For the imaging of the skulls using the 2.98 µm setup, several scans were also necessary on the horizontal axis. The sample was moved on the horizontal axis and final 16 </w:t>
      </w:r>
      <w:proofErr w:type="gramStart"/>
      <w:r>
        <w:rPr>
          <w:lang w:val="en-US"/>
        </w:rPr>
        <w:t>bits</w:t>
      </w:r>
      <w:proofErr w:type="gramEnd"/>
      <w:r>
        <w:rPr>
          <w:lang w:val="en-US"/>
        </w:rPr>
        <w:t xml:space="preserve"> volumes were stitched using a weighted average on the overlapping part. </w:t>
      </w:r>
    </w:p>
    <w:p w14:paraId="0CDC4AE7" w14:textId="77777777" w:rsidR="00F10A6F" w:rsidRDefault="00F10A6F">
      <w:pPr>
        <w:rPr>
          <w:b/>
          <w:lang w:val="en-US"/>
        </w:rPr>
      </w:pPr>
      <w:r>
        <w:rPr>
          <w:lang w:val="en-US"/>
        </w:rPr>
        <w:t xml:space="preserve">Tomographic reconstruction was performed using PyHST2 </w:t>
      </w:r>
      <w:r>
        <w:rPr>
          <w:lang w:val="en-US"/>
        </w:rPr>
        <w:fldChar w:fldCharType="begin"/>
      </w:r>
      <w:r w:rsidR="00896A41">
        <w:rPr>
          <w:lang w:val="en-US"/>
        </w:rPr>
        <w:instrText xml:space="preserve"> ADDIN EN.CITE &lt;EndNote&gt;&lt;Cite&gt;&lt;Author&gt;Mirone&lt;/Author&gt;&lt;Year&gt;2014&lt;/Year&gt;&lt;RecNum&gt;347&lt;/RecNum&gt;&lt;DisplayText&gt;(Mirone et al., 2014)&lt;/DisplayText&gt;&lt;record&gt;&lt;rec-number&gt;347&lt;/rec-number&gt;&lt;foreign-keys&gt;&lt;key app="EN" db-id="xvwpvd50qttzrxetxzhxfrfyvzxrvparw2w2" timestamp="1409836717"&gt;347&lt;/key&gt;&lt;/foreign-keys&gt;&lt;ref-type name="Journal Article"&gt;17&lt;/ref-type&gt;&lt;contributors&gt;&lt;authors&gt;&lt;author&gt;Mirone, Alessandro&lt;/author&gt;&lt;author&gt;Brun, Emmanuel&lt;/author&gt;&lt;author&gt;Gouillart, Emmanuelle&lt;/author&gt;&lt;author&gt;Tafforeau, Paul&lt;/author&gt;&lt;author&gt;Kieffer, Jerome&lt;/author&gt;&lt;/authors&gt;&lt;/contributors&gt;&lt;titles&gt;&lt;title&gt;The PyHST2 hybrid distributed code for high speed tomographic reconstruction with iterative reconstruction and a priori knowledge capabilities&lt;/title&gt;&lt;secondary-title&gt;Nuclear Instruments and Methods in Physics Research Section B: Beam Interactions with Materials and Atoms&lt;/secondary-title&gt;&lt;/titles&gt;&lt;periodical&gt;&lt;full-title&gt;Nuclear Instruments and Methods in Physics Research Section B: Beam Interactions with Materials and Atoms&lt;/full-title&gt;&lt;abbr-1&gt;Nucl. Instr. Meth. Phys. Res.&lt;/abbr-1&gt;&lt;/periodical&gt;&lt;pages&gt;41-48&lt;/pages&gt;&lt;volume&gt;324&lt;/volume&gt;&lt;dates&gt;&lt;year&gt;2014&lt;/year&gt;&lt;/dates&gt;&lt;isbn&gt;0168-583X&lt;/isbn&gt;&lt;urls&gt;&lt;/urls&gt;&lt;/record&gt;&lt;/Cite&gt;&lt;/EndNote&gt;</w:instrText>
      </w:r>
      <w:r>
        <w:rPr>
          <w:lang w:val="en-US"/>
        </w:rPr>
        <w:fldChar w:fldCharType="separate"/>
      </w:r>
      <w:r w:rsidR="00896A41">
        <w:rPr>
          <w:noProof/>
          <w:lang w:val="en-US"/>
        </w:rPr>
        <w:t>(Mirone et al., 2014)</w:t>
      </w:r>
      <w:r>
        <w:rPr>
          <w:lang w:val="en-US"/>
        </w:rPr>
        <w:fldChar w:fldCharType="end"/>
      </w:r>
      <w:r w:rsidR="00896A41">
        <w:rPr>
          <w:lang w:val="en-US"/>
        </w:rPr>
        <w:t xml:space="preserve"> using the single distance phase retrieval approach </w:t>
      </w:r>
      <w:r w:rsidR="00896A41">
        <w:rPr>
          <w:lang w:val="en-US"/>
        </w:rPr>
        <w:fldChar w:fldCharType="begin"/>
      </w:r>
      <w:r w:rsidR="00896A41">
        <w:rPr>
          <w:lang w:val="en-US"/>
        </w:rPr>
        <w:instrText xml:space="preserve"> ADDIN EN.CITE &lt;EndNote&gt;&lt;Cite&gt;&lt;Author&gt;Paganin&lt;/Author&gt;&lt;Year&gt;2002&lt;/Year&gt;&lt;RecNum&gt;157&lt;/RecNum&gt;&lt;DisplayText&gt;(Paganin et al., 2002)&lt;/DisplayText&gt;&lt;record&gt;&lt;rec-number&gt;157&lt;/rec-number&gt;&lt;foreign-keys&gt;&lt;key app="EN" db-id="xvwpvd50qttzrxetxzhxfrfyvzxrvparw2w2" timestamp="1340789314"&gt;157&lt;/key&gt;&lt;/foreign-keys&gt;&lt;ref-type name="Journal Article"&gt;17&lt;/ref-type&gt;&lt;contributors&gt;&lt;authors&gt;&lt;author&gt;Paganin, D.&lt;/author&gt;&lt;author&gt;Mayo, SC&lt;/author&gt;&lt;author&gt;Gureyev, T.E.&lt;/author&gt;&lt;author&gt;Miller, P.R.&lt;/author&gt;&lt;author&gt;Wilkins, S.W.&lt;/author&gt;&lt;/authors&gt;&lt;/contributors&gt;&lt;titles&gt;&lt;title&gt;Simultaneous phase and amplitude extraction from a single defocused image of a homogeneous object&lt;/title&gt;&lt;secondary-title&gt;Journal of microscopy&lt;/secondary-title&gt;&lt;/titles&gt;&lt;periodical&gt;&lt;full-title&gt;Journal of microscopy&lt;/full-title&gt;&lt;/periodical&gt;&lt;pages&gt;33-40&lt;/pages&gt;&lt;volume&gt;206&lt;/volume&gt;&lt;number&gt;1&lt;/number&gt;&lt;dates&gt;&lt;year&gt;2002&lt;/year&gt;&lt;/dates&gt;&lt;isbn&gt;1365-2818&lt;/isbn&gt;&lt;urls&gt;&lt;/urls&gt;&lt;/record&gt;&lt;/Cite&gt;&lt;/EndNote&gt;</w:instrText>
      </w:r>
      <w:r w:rsidR="00896A41">
        <w:rPr>
          <w:lang w:val="en-US"/>
        </w:rPr>
        <w:fldChar w:fldCharType="separate"/>
      </w:r>
      <w:r w:rsidR="00896A41">
        <w:rPr>
          <w:noProof/>
          <w:lang w:val="en-US"/>
        </w:rPr>
        <w:t>(Paganin et al., 2002)</w:t>
      </w:r>
      <w:r w:rsidR="00896A41">
        <w:rPr>
          <w:lang w:val="en-US"/>
        </w:rPr>
        <w:fldChar w:fldCharType="end"/>
      </w:r>
      <w:r w:rsidR="00896A41">
        <w:rPr>
          <w:lang w:val="en-US"/>
        </w:rPr>
        <w:t>. The obtained 32-bits data were converted to 16-bits stack of jpeg2000 (compression of 10)</w:t>
      </w:r>
      <w:r w:rsidR="007719CD">
        <w:rPr>
          <w:lang w:val="en-US"/>
        </w:rPr>
        <w:t>, using the 3D histogram from PyHST2 and a saturation of 0.002% of the 32-bits data</w:t>
      </w:r>
      <w:r w:rsidR="00896A41">
        <w:rPr>
          <w:lang w:val="en-US"/>
        </w:rPr>
        <w:t xml:space="preserve">. </w:t>
      </w:r>
      <w:r w:rsidR="007719CD">
        <w:rPr>
          <w:lang w:val="en-US"/>
        </w:rPr>
        <w:t xml:space="preserve">Additional processing included ring correction </w:t>
      </w:r>
      <w:r w:rsidR="007719CD">
        <w:rPr>
          <w:lang w:val="en-US"/>
        </w:rPr>
        <w:fldChar w:fldCharType="begin"/>
      </w:r>
      <w:r w:rsidR="007719CD">
        <w:rPr>
          <w:lang w:val="en-US"/>
        </w:rPr>
        <w:instrText xml:space="preserve"> ADDIN EN.CITE &lt;EndNote&gt;&lt;Cite&gt;&lt;Author&gt;Lyckegaard&lt;/Author&gt;&lt;Year&gt;2011&lt;/Year&gt;&lt;RecNum&gt;565&lt;/RecNum&gt;&lt;DisplayText&gt;(Lyckegaard et al., 2011)&lt;/DisplayText&gt;&lt;record&gt;&lt;rec-number&gt;565&lt;/rec-number&gt;&lt;foreign-keys&gt;&lt;key app="EN" db-id="xvwpvd50qttzrxetxzhxfrfyvzxrvparw2w2" timestamp="1537269232"&gt;565&lt;/key&gt;&lt;/foreign-keys&gt;&lt;ref-type name="Journal Article"&gt;17&lt;/ref-type&gt;&lt;contributors&gt;&lt;authors&gt;&lt;author&gt;Lyckegaard, Allan&lt;/author&gt;&lt;author&gt;Johnson, Greg&lt;/author&gt;&lt;author&gt;Tafforeau, Paul&lt;/author&gt;&lt;/authors&gt;&lt;/contributors&gt;&lt;titles&gt;&lt;title&gt;Correction of ring artifacts in X-ray tomographic images&lt;/title&gt;&lt;secondary-title&gt;Int. J. Tomo. Stat&lt;/secondary-title&gt;&lt;/titles&gt;&lt;periodical&gt;&lt;full-title&gt;Int. J. Tomo. Stat&lt;/full-title&gt;&lt;/periodical&gt;&lt;pages&gt;1-9&lt;/pages&gt;&lt;volume&gt;18&lt;/volume&gt;&lt;dates&gt;&lt;year&gt;2011&lt;/year&gt;&lt;/dates&gt;&lt;urls&gt;&lt;/urls&gt;&lt;/record&gt;&lt;/Cite&gt;&lt;/EndNote&gt;</w:instrText>
      </w:r>
      <w:r w:rsidR="007719CD">
        <w:rPr>
          <w:lang w:val="en-US"/>
        </w:rPr>
        <w:fldChar w:fldCharType="separate"/>
      </w:r>
      <w:r w:rsidR="007719CD">
        <w:rPr>
          <w:noProof/>
          <w:lang w:val="en-US"/>
        </w:rPr>
        <w:t>(Lyckegaard et al., 2011)</w:t>
      </w:r>
      <w:r w:rsidR="007719CD">
        <w:rPr>
          <w:lang w:val="en-US"/>
        </w:rPr>
        <w:fldChar w:fldCharType="end"/>
      </w:r>
      <w:r w:rsidR="007719CD">
        <w:rPr>
          <w:lang w:val="en-US"/>
        </w:rPr>
        <w:t xml:space="preserve"> and cropping of the volume to limit the size of the data. For the data produce with the 2.98 µm setup, general grey level distribution was affected by the local tomography condition (inspected region much smaller than the size of the object). This was corrected by normalizing the data against a version of the data on which we applied a low pass filter (obtained with a </w:t>
      </w:r>
      <w:proofErr w:type="spellStart"/>
      <w:r w:rsidR="007719CD">
        <w:rPr>
          <w:lang w:val="en-US"/>
        </w:rPr>
        <w:t>gaussian</w:t>
      </w:r>
      <w:proofErr w:type="spellEnd"/>
      <w:r w:rsidR="007719CD">
        <w:rPr>
          <w:lang w:val="en-US"/>
        </w:rPr>
        <w:t xml:space="preserve"> blur with a radius of 100-200 pixels depending on the case). </w:t>
      </w:r>
    </w:p>
    <w:p w14:paraId="7A323604" w14:textId="77777777" w:rsidR="006A617F" w:rsidRDefault="006A617F" w:rsidP="006A617F">
      <w:pPr>
        <w:rPr>
          <w:b/>
          <w:lang w:val="en-US"/>
        </w:rPr>
      </w:pPr>
    </w:p>
    <w:p w14:paraId="734F2DD4" w14:textId="77777777" w:rsidR="00F10A6F" w:rsidRDefault="00F10A6F">
      <w:pPr>
        <w:rPr>
          <w:b/>
          <w:lang w:val="en-US"/>
        </w:rPr>
      </w:pPr>
    </w:p>
    <w:p w14:paraId="3F9E0EC8" w14:textId="77777777" w:rsidR="00F10A6F" w:rsidRDefault="00F10A6F">
      <w:pPr>
        <w:rPr>
          <w:b/>
          <w:lang w:val="en-US"/>
        </w:rPr>
      </w:pPr>
    </w:p>
    <w:p w14:paraId="2DA9F6BC" w14:textId="77777777" w:rsidR="007719CD" w:rsidRPr="007719CD" w:rsidRDefault="00F10A6F" w:rsidP="007719CD">
      <w:pPr>
        <w:pStyle w:val="EndNoteBibliography"/>
        <w:ind w:left="720" w:hanging="720"/>
      </w:pPr>
      <w:r>
        <w:fldChar w:fldCharType="begin"/>
      </w:r>
      <w:r w:rsidRPr="0088450A">
        <w:rPr>
          <w:lang w:val="fr-FR"/>
        </w:rPr>
        <w:instrText xml:space="preserve"> ADDIN EN.REFLIST </w:instrText>
      </w:r>
      <w:r>
        <w:fldChar w:fldCharType="separate"/>
      </w:r>
      <w:r w:rsidR="007719CD" w:rsidRPr="0088450A">
        <w:rPr>
          <w:lang w:val="fr-FR"/>
        </w:rPr>
        <w:t xml:space="preserve">Carlson K.J., Stout D., Jashashvili T., De Ruiter D.J., Tafforeau P., Carlson K.&amp; Berger L.R. </w:t>
      </w:r>
      <w:r w:rsidR="007719CD" w:rsidRPr="0088450A">
        <w:rPr>
          <w:b/>
          <w:lang w:val="fr-FR"/>
        </w:rPr>
        <w:t>2011</w:t>
      </w:r>
      <w:r w:rsidR="007719CD" w:rsidRPr="0088450A">
        <w:rPr>
          <w:lang w:val="fr-FR"/>
        </w:rPr>
        <w:t xml:space="preserve">. </w:t>
      </w:r>
      <w:r w:rsidR="007719CD" w:rsidRPr="007719CD">
        <w:t xml:space="preserve">The endocast of MH1, </w:t>
      </w:r>
      <w:r w:rsidR="007719CD" w:rsidRPr="007719CD">
        <w:rPr>
          <w:i/>
        </w:rPr>
        <w:t>Australopithecus sediba</w:t>
      </w:r>
      <w:r w:rsidR="007719CD" w:rsidRPr="007719CD">
        <w:t xml:space="preserve">. </w:t>
      </w:r>
      <w:r w:rsidR="007719CD" w:rsidRPr="007719CD">
        <w:rPr>
          <w:i/>
        </w:rPr>
        <w:t>Science.</w:t>
      </w:r>
      <w:r w:rsidR="007719CD" w:rsidRPr="007719CD">
        <w:t xml:space="preserve"> 333, 1402-1407.</w:t>
      </w:r>
    </w:p>
    <w:p w14:paraId="6C6B493C" w14:textId="77777777" w:rsidR="007719CD" w:rsidRPr="007719CD" w:rsidRDefault="007719CD" w:rsidP="007719CD">
      <w:pPr>
        <w:pStyle w:val="EndNoteBibliography"/>
        <w:spacing w:after="0"/>
      </w:pPr>
    </w:p>
    <w:p w14:paraId="6AE572D0" w14:textId="77777777" w:rsidR="007719CD" w:rsidRPr="007719CD" w:rsidRDefault="007719CD" w:rsidP="007719CD">
      <w:pPr>
        <w:pStyle w:val="EndNoteBibliography"/>
        <w:ind w:left="720" w:hanging="720"/>
      </w:pPr>
      <w:r w:rsidRPr="007719CD">
        <w:t xml:space="preserve">Lyckegaard A., Johnson G.&amp; Tafforeau P. </w:t>
      </w:r>
      <w:r w:rsidRPr="007719CD">
        <w:rPr>
          <w:b/>
        </w:rPr>
        <w:t>2011</w:t>
      </w:r>
      <w:r w:rsidRPr="007719CD">
        <w:t xml:space="preserve">. Correction of ring artifacts in X-ray tomographic images. </w:t>
      </w:r>
      <w:r w:rsidRPr="007719CD">
        <w:rPr>
          <w:i/>
        </w:rPr>
        <w:t>Int. J. Tomo. Stat.</w:t>
      </w:r>
      <w:r w:rsidRPr="007719CD">
        <w:t xml:space="preserve"> 18, 1-9.</w:t>
      </w:r>
    </w:p>
    <w:p w14:paraId="7F7284AD" w14:textId="77777777" w:rsidR="007719CD" w:rsidRPr="007719CD" w:rsidRDefault="007719CD" w:rsidP="007719CD">
      <w:pPr>
        <w:pStyle w:val="EndNoteBibliography"/>
        <w:spacing w:after="0"/>
      </w:pPr>
    </w:p>
    <w:p w14:paraId="6758EF6F" w14:textId="77777777" w:rsidR="007719CD" w:rsidRPr="007719CD" w:rsidRDefault="007719CD" w:rsidP="007719CD">
      <w:pPr>
        <w:pStyle w:val="EndNoteBibliography"/>
        <w:ind w:left="720" w:hanging="720"/>
      </w:pPr>
      <w:r w:rsidRPr="007719CD">
        <w:t xml:space="preserve">Mirone A., Brun E., Gouillart E., Tafforeau P.&amp; Kieffer J. </w:t>
      </w:r>
      <w:r w:rsidRPr="007719CD">
        <w:rPr>
          <w:b/>
        </w:rPr>
        <w:t>2014</w:t>
      </w:r>
      <w:r w:rsidRPr="007719CD">
        <w:t xml:space="preserve">. The PyHST2 hybrid distributed code for high speed tomographic reconstruction with iterative reconstruction and a priori knowledge capabilities. </w:t>
      </w:r>
      <w:r w:rsidRPr="007719CD">
        <w:rPr>
          <w:i/>
        </w:rPr>
        <w:t>Nuclear Instruments and Methods in Physics Research Section B: Beam Interactions with Materials and Atoms.</w:t>
      </w:r>
      <w:r w:rsidRPr="007719CD">
        <w:t xml:space="preserve"> 324, 41-48.</w:t>
      </w:r>
    </w:p>
    <w:p w14:paraId="59E668A3" w14:textId="77777777" w:rsidR="007719CD" w:rsidRPr="007719CD" w:rsidRDefault="007719CD" w:rsidP="007719CD">
      <w:pPr>
        <w:pStyle w:val="EndNoteBibliography"/>
        <w:spacing w:after="0"/>
      </w:pPr>
    </w:p>
    <w:p w14:paraId="774923F5" w14:textId="77777777" w:rsidR="007719CD" w:rsidRPr="007719CD" w:rsidRDefault="007719CD" w:rsidP="007719CD">
      <w:pPr>
        <w:pStyle w:val="EndNoteBibliography"/>
        <w:ind w:left="720" w:hanging="720"/>
      </w:pPr>
      <w:r w:rsidRPr="007719CD">
        <w:t xml:space="preserve">Paganin D., Mayo S., Gureyev T.E., Miller P.R.&amp; Wilkins S.W. </w:t>
      </w:r>
      <w:r w:rsidRPr="007719CD">
        <w:rPr>
          <w:b/>
        </w:rPr>
        <w:t>2002</w:t>
      </w:r>
      <w:r w:rsidRPr="007719CD">
        <w:t xml:space="preserve">. Simultaneous phase and amplitude extraction from a single defocused image of a homogeneous object. </w:t>
      </w:r>
      <w:r w:rsidRPr="007719CD">
        <w:rPr>
          <w:i/>
        </w:rPr>
        <w:t>Journal of microscopy.</w:t>
      </w:r>
      <w:r w:rsidRPr="007719CD">
        <w:t xml:space="preserve"> 206, 33-40.</w:t>
      </w:r>
    </w:p>
    <w:p w14:paraId="4BF559AD" w14:textId="77777777" w:rsidR="007719CD" w:rsidRPr="007719CD" w:rsidRDefault="007719CD" w:rsidP="007719CD">
      <w:pPr>
        <w:pStyle w:val="EndNoteBibliography"/>
      </w:pPr>
    </w:p>
    <w:p w14:paraId="74859CB9" w14:textId="77777777" w:rsidR="004D3B35" w:rsidRDefault="00F10A6F" w:rsidP="004D3B35">
      <w:pPr>
        <w:rPr>
          <w:b/>
          <w:lang w:val="en-US"/>
        </w:rPr>
      </w:pPr>
      <w:r>
        <w:rPr>
          <w:b/>
          <w:lang w:val="en-US"/>
        </w:rPr>
        <w:fldChar w:fldCharType="end"/>
      </w:r>
    </w:p>
    <w:p w14:paraId="05DF2805" w14:textId="77777777" w:rsidR="004D3B35" w:rsidRDefault="004D3B35" w:rsidP="004D3B35">
      <w:pPr>
        <w:rPr>
          <w:b/>
          <w:lang w:val="en-US"/>
        </w:rPr>
      </w:pPr>
    </w:p>
    <w:p w14:paraId="24B10810" w14:textId="77777777" w:rsidR="004D3B35" w:rsidRDefault="004D3B35" w:rsidP="004D3B35">
      <w:pPr>
        <w:rPr>
          <w:b/>
          <w:lang w:val="en-US"/>
        </w:rPr>
      </w:pPr>
    </w:p>
    <w:p w14:paraId="2BFCAE56" w14:textId="77777777" w:rsidR="004D3B35" w:rsidRDefault="004D3B35" w:rsidP="004D3B35">
      <w:pPr>
        <w:rPr>
          <w:b/>
          <w:lang w:val="en-US"/>
        </w:rPr>
      </w:pPr>
    </w:p>
    <w:p w14:paraId="2841D8A1" w14:textId="77777777" w:rsidR="004D3B35" w:rsidRDefault="004D3B35" w:rsidP="004D3B35">
      <w:pPr>
        <w:rPr>
          <w:b/>
          <w:lang w:val="en-US"/>
        </w:rPr>
      </w:pPr>
    </w:p>
    <w:p w14:paraId="51901790" w14:textId="77777777" w:rsidR="004D3B35" w:rsidRDefault="004D3B35" w:rsidP="004D3B35">
      <w:pPr>
        <w:rPr>
          <w:b/>
          <w:lang w:val="en-US"/>
        </w:rPr>
      </w:pPr>
    </w:p>
    <w:p w14:paraId="2736981B" w14:textId="77777777" w:rsidR="004D3B35" w:rsidRDefault="004D3B35" w:rsidP="004D3B35">
      <w:pPr>
        <w:rPr>
          <w:b/>
          <w:lang w:val="en-US"/>
        </w:rPr>
      </w:pPr>
    </w:p>
    <w:p w14:paraId="72173E14" w14:textId="77777777" w:rsidR="004D3B35" w:rsidRDefault="004D3B35" w:rsidP="004D3B35">
      <w:pPr>
        <w:rPr>
          <w:b/>
          <w:lang w:val="en-US"/>
        </w:rPr>
      </w:pPr>
    </w:p>
    <w:p w14:paraId="4C55BACB" w14:textId="77777777" w:rsidR="004D3B35" w:rsidRDefault="004D3B35" w:rsidP="004D3B35">
      <w:pPr>
        <w:rPr>
          <w:b/>
          <w:lang w:val="en-US"/>
        </w:rPr>
      </w:pPr>
    </w:p>
    <w:p w14:paraId="64981FB0" w14:textId="77777777" w:rsidR="004D3B35" w:rsidRDefault="004D3B35" w:rsidP="004D3B35">
      <w:pPr>
        <w:rPr>
          <w:b/>
          <w:lang w:val="en-US"/>
        </w:rPr>
      </w:pPr>
    </w:p>
    <w:p w14:paraId="39D14653" w14:textId="77777777" w:rsidR="004D3B35" w:rsidRDefault="004D3B35" w:rsidP="004D3B35">
      <w:pPr>
        <w:rPr>
          <w:b/>
          <w:lang w:val="en-US"/>
        </w:rPr>
      </w:pPr>
    </w:p>
    <w:p w14:paraId="50C104C7" w14:textId="77777777" w:rsidR="004D3B35" w:rsidRDefault="004D3B35" w:rsidP="004D3B35">
      <w:pPr>
        <w:rPr>
          <w:b/>
          <w:lang w:val="en-US"/>
        </w:rPr>
      </w:pPr>
    </w:p>
    <w:p w14:paraId="3307C51C" w14:textId="77777777" w:rsidR="004D3B35" w:rsidRDefault="004D3B35" w:rsidP="004D3B35">
      <w:pPr>
        <w:rPr>
          <w:b/>
          <w:lang w:val="en-US"/>
        </w:rPr>
      </w:pPr>
    </w:p>
    <w:p w14:paraId="400753F8" w14:textId="77777777" w:rsidR="004D3B35" w:rsidRDefault="004D3B35" w:rsidP="004D3B35">
      <w:pPr>
        <w:rPr>
          <w:b/>
          <w:lang w:val="en-US"/>
        </w:rPr>
      </w:pPr>
    </w:p>
    <w:p w14:paraId="04A99AEE" w14:textId="77777777" w:rsidR="004D3B35" w:rsidRDefault="004D3B35" w:rsidP="004D3B35">
      <w:pPr>
        <w:rPr>
          <w:b/>
          <w:lang w:val="en-US"/>
        </w:rPr>
      </w:pPr>
    </w:p>
    <w:p w14:paraId="6FA5F945" w14:textId="77777777" w:rsidR="004D3B35" w:rsidRDefault="004D3B35" w:rsidP="004D3B35">
      <w:pPr>
        <w:rPr>
          <w:b/>
          <w:lang w:val="en-US"/>
        </w:rPr>
      </w:pPr>
    </w:p>
    <w:p w14:paraId="61BB4F28" w14:textId="77777777" w:rsidR="004D3B35" w:rsidRDefault="004D3B35" w:rsidP="004D3B35">
      <w:pPr>
        <w:rPr>
          <w:b/>
          <w:lang w:val="en-US"/>
        </w:rPr>
      </w:pPr>
    </w:p>
    <w:p w14:paraId="37CB7A9E" w14:textId="77777777" w:rsidR="004D3B35" w:rsidRDefault="004D3B35" w:rsidP="004D3B35">
      <w:pPr>
        <w:rPr>
          <w:b/>
          <w:lang w:val="en-US"/>
        </w:rPr>
      </w:pPr>
    </w:p>
    <w:p w14:paraId="7125ABBC" w14:textId="5EBD8E37" w:rsidR="004D3B35" w:rsidRDefault="004D3B35" w:rsidP="004D3B35">
      <w:pPr>
        <w:rPr>
          <w:b/>
          <w:lang w:val="en-US"/>
        </w:rPr>
      </w:pPr>
    </w:p>
    <w:sectPr w:rsidR="004D3B35" w:rsidSect="004D3B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draft_pap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wpvd50qttzrxetxzhxfrfyvzxrvparw2w2&quot;&gt;My EndNote Library Copy&lt;record-ids&gt;&lt;item&gt;8&lt;/item&gt;&lt;item&gt;157&lt;/item&gt;&lt;item&gt;347&lt;/item&gt;&lt;item&gt;565&lt;/item&gt;&lt;/record-ids&gt;&lt;/item&gt;&lt;/Libraries&gt;"/>
  </w:docVars>
  <w:rsids>
    <w:rsidRoot w:val="00FC4F48"/>
    <w:rsid w:val="001B0F1B"/>
    <w:rsid w:val="003D1172"/>
    <w:rsid w:val="004A29A5"/>
    <w:rsid w:val="004B70D7"/>
    <w:rsid w:val="004D3B35"/>
    <w:rsid w:val="0061152C"/>
    <w:rsid w:val="00627F54"/>
    <w:rsid w:val="0063505C"/>
    <w:rsid w:val="006A617F"/>
    <w:rsid w:val="007719CD"/>
    <w:rsid w:val="00782AA0"/>
    <w:rsid w:val="0088450A"/>
    <w:rsid w:val="00896A41"/>
    <w:rsid w:val="009944B3"/>
    <w:rsid w:val="00A145E5"/>
    <w:rsid w:val="00CD7A3E"/>
    <w:rsid w:val="00D95014"/>
    <w:rsid w:val="00F10A6F"/>
    <w:rsid w:val="00FC4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565D"/>
  <w15:docId w15:val="{B757D4EA-BA08-4B50-8DB2-3AF237A9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F10A6F"/>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10A6F"/>
    <w:rPr>
      <w:rFonts w:ascii="Calibri" w:hAnsi="Calibri"/>
      <w:noProof/>
      <w:lang w:val="en-US"/>
    </w:rPr>
  </w:style>
  <w:style w:type="paragraph" w:customStyle="1" w:styleId="EndNoteBibliography">
    <w:name w:val="EndNote Bibliography"/>
    <w:basedOn w:val="Normal"/>
    <w:link w:val="EndNoteBibliographyChar"/>
    <w:rsid w:val="00F10A6F"/>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10A6F"/>
    <w:rPr>
      <w:rFonts w:ascii="Calibri" w:hAnsi="Calibri"/>
      <w:noProof/>
      <w:lang w:val="en-US"/>
    </w:rPr>
  </w:style>
  <w:style w:type="character" w:styleId="CommentReference">
    <w:name w:val="annotation reference"/>
    <w:basedOn w:val="DefaultParagraphFont"/>
    <w:uiPriority w:val="99"/>
    <w:semiHidden/>
    <w:unhideWhenUsed/>
    <w:rsid w:val="00896A41"/>
    <w:rPr>
      <w:sz w:val="16"/>
      <w:szCs w:val="16"/>
    </w:rPr>
  </w:style>
  <w:style w:type="paragraph" w:styleId="CommentText">
    <w:name w:val="annotation text"/>
    <w:basedOn w:val="Normal"/>
    <w:link w:val="CommentTextChar"/>
    <w:uiPriority w:val="99"/>
    <w:semiHidden/>
    <w:unhideWhenUsed/>
    <w:rsid w:val="00896A41"/>
    <w:pPr>
      <w:spacing w:line="240" w:lineRule="auto"/>
    </w:pPr>
    <w:rPr>
      <w:sz w:val="20"/>
      <w:szCs w:val="20"/>
    </w:rPr>
  </w:style>
  <w:style w:type="character" w:customStyle="1" w:styleId="CommentTextChar">
    <w:name w:val="Comment Text Char"/>
    <w:basedOn w:val="DefaultParagraphFont"/>
    <w:link w:val="CommentText"/>
    <w:uiPriority w:val="99"/>
    <w:semiHidden/>
    <w:rsid w:val="00896A41"/>
    <w:rPr>
      <w:sz w:val="20"/>
      <w:szCs w:val="20"/>
    </w:rPr>
  </w:style>
  <w:style w:type="paragraph" w:styleId="CommentSubject">
    <w:name w:val="annotation subject"/>
    <w:basedOn w:val="CommentText"/>
    <w:next w:val="CommentText"/>
    <w:link w:val="CommentSubjectChar"/>
    <w:uiPriority w:val="99"/>
    <w:semiHidden/>
    <w:unhideWhenUsed/>
    <w:rsid w:val="00896A41"/>
    <w:rPr>
      <w:b/>
      <w:bCs/>
    </w:rPr>
  </w:style>
  <w:style w:type="character" w:customStyle="1" w:styleId="CommentSubjectChar">
    <w:name w:val="Comment Subject Char"/>
    <w:basedOn w:val="CommentTextChar"/>
    <w:link w:val="CommentSubject"/>
    <w:uiPriority w:val="99"/>
    <w:semiHidden/>
    <w:rsid w:val="00896A41"/>
    <w:rPr>
      <w:b/>
      <w:bCs/>
      <w:sz w:val="20"/>
      <w:szCs w:val="20"/>
    </w:rPr>
  </w:style>
  <w:style w:type="paragraph" w:styleId="BalloonText">
    <w:name w:val="Balloon Text"/>
    <w:basedOn w:val="Normal"/>
    <w:link w:val="BalloonTextChar"/>
    <w:uiPriority w:val="99"/>
    <w:semiHidden/>
    <w:unhideWhenUsed/>
    <w:rsid w:val="00896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A41"/>
    <w:rPr>
      <w:rFonts w:ascii="Tahoma" w:hAnsi="Tahoma" w:cs="Tahoma"/>
      <w:sz w:val="16"/>
      <w:szCs w:val="16"/>
    </w:rPr>
  </w:style>
  <w:style w:type="character" w:styleId="Hyperlink">
    <w:name w:val="Hyperlink"/>
    <w:basedOn w:val="DefaultParagraphFont"/>
    <w:uiPriority w:val="99"/>
    <w:semiHidden/>
    <w:unhideWhenUsed/>
    <w:rsid w:val="006A617F"/>
    <w:rPr>
      <w:color w:val="0000FF"/>
      <w:u w:val="single"/>
    </w:rPr>
  </w:style>
  <w:style w:type="character" w:styleId="FollowedHyperlink">
    <w:name w:val="FollowedHyperlink"/>
    <w:basedOn w:val="DefaultParagraphFont"/>
    <w:uiPriority w:val="99"/>
    <w:semiHidden/>
    <w:unhideWhenUsed/>
    <w:rsid w:val="004D3B35"/>
    <w:rPr>
      <w:color w:val="954F72"/>
      <w:u w:val="single"/>
    </w:rPr>
  </w:style>
  <w:style w:type="paragraph" w:customStyle="1" w:styleId="msonormal0">
    <w:name w:val="msonormal"/>
    <w:basedOn w:val="Normal"/>
    <w:rsid w:val="004D3B35"/>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styleId="NormalWeb">
    <w:name w:val="Normal (Web)"/>
    <w:basedOn w:val="Normal"/>
    <w:uiPriority w:val="99"/>
    <w:unhideWhenUsed/>
    <w:rsid w:val="004B70D7"/>
    <w:pPr>
      <w:spacing w:after="0" w:line="240" w:lineRule="auto"/>
    </w:pPr>
    <w:rPr>
      <w:rFonts w:ascii="Times New Roman" w:hAnsi="Times New Roman" w:cs="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62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imi.chapel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Natural History Museum</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Fernandez</dc:creator>
  <cp:lastModifiedBy>Kimi Chapelle</cp:lastModifiedBy>
  <cp:revision>7</cp:revision>
  <dcterms:created xsi:type="dcterms:W3CDTF">2019-06-28T06:24:00Z</dcterms:created>
  <dcterms:modified xsi:type="dcterms:W3CDTF">2020-01-27T07:55:00Z</dcterms:modified>
</cp:coreProperties>
</file>