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DDEDD" w14:textId="507C0ED2" w:rsidR="0051283E" w:rsidRPr="0051283E" w:rsidRDefault="0051283E" w:rsidP="0051283E">
      <w:pPr>
        <w:rPr>
          <w:rFonts w:ascii="Times New Roman" w:eastAsia="Times New Roman" w:hAnsi="Times New Roman" w:cs="Times New Roman"/>
          <w:sz w:val="36"/>
          <w:szCs w:val="36"/>
        </w:rPr>
      </w:pPr>
      <w:r w:rsidRPr="0051283E">
        <w:rPr>
          <w:rFonts w:ascii="Times New Roman" w:eastAsia="Times New Roman" w:hAnsi="Times New Roman" w:cs="Times New Roman"/>
          <w:sz w:val="36"/>
          <w:szCs w:val="36"/>
        </w:rPr>
        <w:t>Supplementary Information for</w:t>
      </w:r>
    </w:p>
    <w:p w14:paraId="3C7BAED5" w14:textId="77777777" w:rsidR="0051283E" w:rsidRPr="0051283E" w:rsidRDefault="0051283E" w:rsidP="0051283E">
      <w:pPr>
        <w:spacing w:after="0" w:line="240" w:lineRule="auto"/>
        <w:rPr>
          <w:rFonts w:ascii="Times New Roman" w:eastAsia="Times New Roman" w:hAnsi="Times New Roman" w:cs="Times New Roman"/>
          <w:sz w:val="24"/>
          <w:szCs w:val="20"/>
        </w:rPr>
      </w:pPr>
    </w:p>
    <w:p w14:paraId="3FA6ACA7" w14:textId="77777777" w:rsidR="007C09A6" w:rsidRDefault="007C09A6" w:rsidP="0051283E">
      <w:pPr>
        <w:spacing w:after="0" w:line="240" w:lineRule="auto"/>
        <w:rPr>
          <w:b/>
          <w:sz w:val="32"/>
        </w:rPr>
      </w:pPr>
      <w:r w:rsidRPr="007C09A6">
        <w:rPr>
          <w:b/>
          <w:sz w:val="32"/>
        </w:rPr>
        <w:t>Droplet-based digital antibiotic susceptibility screen reveals single-cell clonal heteroresistance in an isogenic bacterial population</w:t>
      </w:r>
    </w:p>
    <w:p w14:paraId="67867309" w14:textId="623FAB97" w:rsidR="0051283E" w:rsidRPr="0051283E" w:rsidRDefault="0051283E" w:rsidP="0051283E">
      <w:pPr>
        <w:spacing w:after="0" w:line="240" w:lineRule="auto"/>
        <w:rPr>
          <w:rFonts w:ascii="Times New Roman" w:eastAsia="Times New Roman" w:hAnsi="Times New Roman" w:cs="Times New Roman"/>
          <w:sz w:val="24"/>
          <w:szCs w:val="24"/>
          <w:vertAlign w:val="superscript"/>
        </w:rPr>
      </w:pPr>
      <w:bookmarkStart w:id="0" w:name="_GoBack"/>
      <w:bookmarkEnd w:id="0"/>
      <w:r w:rsidRPr="0051283E">
        <w:rPr>
          <w:rFonts w:ascii="Times New Roman" w:eastAsia="Times New Roman" w:hAnsi="Times New Roman" w:cs="Times New Roman"/>
          <w:sz w:val="24"/>
          <w:szCs w:val="24"/>
        </w:rPr>
        <w:t xml:space="preserve">Ott Scheler, Karol </w:t>
      </w:r>
      <w:proofErr w:type="spellStart"/>
      <w:r w:rsidRPr="0051283E">
        <w:rPr>
          <w:rFonts w:ascii="Times New Roman" w:eastAsia="Times New Roman" w:hAnsi="Times New Roman" w:cs="Times New Roman"/>
          <w:sz w:val="24"/>
          <w:szCs w:val="24"/>
        </w:rPr>
        <w:t>Makuch</w:t>
      </w:r>
      <w:proofErr w:type="spellEnd"/>
      <w:r w:rsidRPr="0051283E">
        <w:rPr>
          <w:rFonts w:ascii="Times New Roman" w:eastAsia="Times New Roman" w:hAnsi="Times New Roman" w:cs="Times New Roman"/>
          <w:sz w:val="24"/>
          <w:szCs w:val="24"/>
        </w:rPr>
        <w:t xml:space="preserve">, </w:t>
      </w:r>
      <w:proofErr w:type="spellStart"/>
      <w:r w:rsidRPr="0051283E">
        <w:rPr>
          <w:rFonts w:ascii="Times New Roman" w:eastAsia="Times New Roman" w:hAnsi="Times New Roman" w:cs="Times New Roman"/>
          <w:sz w:val="24"/>
          <w:szCs w:val="24"/>
        </w:rPr>
        <w:t>Pawel</w:t>
      </w:r>
      <w:proofErr w:type="spellEnd"/>
      <w:r w:rsidRPr="0051283E">
        <w:rPr>
          <w:rFonts w:ascii="Times New Roman" w:eastAsia="Times New Roman" w:hAnsi="Times New Roman" w:cs="Times New Roman"/>
          <w:sz w:val="24"/>
          <w:szCs w:val="24"/>
        </w:rPr>
        <w:t xml:space="preserve"> R. </w:t>
      </w:r>
      <w:proofErr w:type="spellStart"/>
      <w:r w:rsidRPr="0051283E">
        <w:rPr>
          <w:rFonts w:ascii="Times New Roman" w:eastAsia="Times New Roman" w:hAnsi="Times New Roman" w:cs="Times New Roman"/>
          <w:sz w:val="24"/>
          <w:szCs w:val="24"/>
        </w:rPr>
        <w:t>Debski</w:t>
      </w:r>
      <w:proofErr w:type="spellEnd"/>
      <w:r w:rsidRPr="0051283E">
        <w:rPr>
          <w:rFonts w:ascii="Times New Roman" w:eastAsia="Times New Roman" w:hAnsi="Times New Roman" w:cs="Times New Roman"/>
          <w:sz w:val="24"/>
          <w:szCs w:val="24"/>
        </w:rPr>
        <w:t xml:space="preserve">, Michal </w:t>
      </w:r>
      <w:proofErr w:type="spellStart"/>
      <w:r w:rsidRPr="0051283E">
        <w:rPr>
          <w:rFonts w:ascii="Times New Roman" w:eastAsia="Times New Roman" w:hAnsi="Times New Roman" w:cs="Times New Roman"/>
          <w:sz w:val="24"/>
          <w:szCs w:val="24"/>
        </w:rPr>
        <w:t>Horka</w:t>
      </w:r>
      <w:proofErr w:type="spellEnd"/>
      <w:r w:rsidRPr="0051283E">
        <w:rPr>
          <w:rFonts w:ascii="Times New Roman" w:eastAsia="Times New Roman" w:hAnsi="Times New Roman" w:cs="Times New Roman"/>
          <w:sz w:val="24"/>
          <w:szCs w:val="24"/>
        </w:rPr>
        <w:t xml:space="preserve">, </w:t>
      </w:r>
      <w:proofErr w:type="spellStart"/>
      <w:r w:rsidRPr="0051283E">
        <w:rPr>
          <w:rFonts w:ascii="Times New Roman" w:eastAsia="Times New Roman" w:hAnsi="Times New Roman" w:cs="Times New Roman"/>
          <w:sz w:val="24"/>
          <w:szCs w:val="24"/>
        </w:rPr>
        <w:t>Artur</w:t>
      </w:r>
      <w:proofErr w:type="spellEnd"/>
      <w:r w:rsidRPr="0051283E">
        <w:rPr>
          <w:rFonts w:ascii="Times New Roman" w:eastAsia="Times New Roman" w:hAnsi="Times New Roman" w:cs="Times New Roman"/>
          <w:sz w:val="24"/>
          <w:szCs w:val="24"/>
        </w:rPr>
        <w:t xml:space="preserve"> </w:t>
      </w:r>
      <w:proofErr w:type="spellStart"/>
      <w:r w:rsidRPr="0051283E">
        <w:rPr>
          <w:rFonts w:ascii="Times New Roman" w:eastAsia="Times New Roman" w:hAnsi="Times New Roman" w:cs="Times New Roman"/>
          <w:sz w:val="24"/>
          <w:szCs w:val="24"/>
        </w:rPr>
        <w:t>Ruszczak</w:t>
      </w:r>
      <w:proofErr w:type="spellEnd"/>
      <w:r w:rsidRPr="0051283E">
        <w:rPr>
          <w:rFonts w:ascii="Times New Roman" w:eastAsia="Times New Roman" w:hAnsi="Times New Roman" w:cs="Times New Roman"/>
          <w:sz w:val="24"/>
          <w:szCs w:val="24"/>
        </w:rPr>
        <w:t xml:space="preserve">, Natalia </w:t>
      </w:r>
      <w:proofErr w:type="spellStart"/>
      <w:r w:rsidRPr="0051283E">
        <w:rPr>
          <w:rFonts w:ascii="Times New Roman" w:eastAsia="Times New Roman" w:hAnsi="Times New Roman" w:cs="Times New Roman"/>
          <w:sz w:val="24"/>
          <w:szCs w:val="24"/>
        </w:rPr>
        <w:t>Pacocha</w:t>
      </w:r>
      <w:proofErr w:type="spellEnd"/>
      <w:r w:rsidRPr="0051283E">
        <w:rPr>
          <w:rFonts w:ascii="Times New Roman" w:eastAsia="Times New Roman" w:hAnsi="Times New Roman" w:cs="Times New Roman"/>
          <w:sz w:val="24"/>
          <w:szCs w:val="24"/>
        </w:rPr>
        <w:t xml:space="preserve">, Krzysztof </w:t>
      </w:r>
      <w:proofErr w:type="spellStart"/>
      <w:r w:rsidRPr="0051283E">
        <w:rPr>
          <w:rFonts w:ascii="Times New Roman" w:eastAsia="Times New Roman" w:hAnsi="Times New Roman" w:cs="Times New Roman"/>
          <w:sz w:val="24"/>
          <w:szCs w:val="24"/>
        </w:rPr>
        <w:t>Sozański</w:t>
      </w:r>
      <w:proofErr w:type="spellEnd"/>
      <w:r w:rsidRPr="0051283E">
        <w:rPr>
          <w:rFonts w:ascii="Times New Roman" w:eastAsia="Times New Roman" w:hAnsi="Times New Roman" w:cs="Times New Roman"/>
          <w:sz w:val="24"/>
          <w:szCs w:val="24"/>
        </w:rPr>
        <w:t>, Olli-</w:t>
      </w:r>
      <w:proofErr w:type="spellStart"/>
      <w:r w:rsidRPr="0051283E">
        <w:rPr>
          <w:rFonts w:ascii="Times New Roman" w:eastAsia="Times New Roman" w:hAnsi="Times New Roman" w:cs="Times New Roman"/>
          <w:sz w:val="24"/>
          <w:szCs w:val="24"/>
        </w:rPr>
        <w:t>Pekka</w:t>
      </w:r>
      <w:proofErr w:type="spellEnd"/>
      <w:r w:rsidRPr="0051283E">
        <w:rPr>
          <w:rFonts w:ascii="Times New Roman" w:eastAsia="Times New Roman" w:hAnsi="Times New Roman" w:cs="Times New Roman"/>
          <w:sz w:val="24"/>
          <w:szCs w:val="24"/>
        </w:rPr>
        <w:t xml:space="preserve"> </w:t>
      </w:r>
      <w:proofErr w:type="spellStart"/>
      <w:r w:rsidRPr="0051283E">
        <w:rPr>
          <w:rFonts w:ascii="Times New Roman" w:eastAsia="Times New Roman" w:hAnsi="Times New Roman" w:cs="Times New Roman"/>
          <w:sz w:val="24"/>
          <w:szCs w:val="24"/>
        </w:rPr>
        <w:t>Smolander</w:t>
      </w:r>
      <w:proofErr w:type="spellEnd"/>
      <w:r w:rsidRPr="0051283E">
        <w:rPr>
          <w:rFonts w:ascii="Times New Roman" w:eastAsia="Times New Roman" w:hAnsi="Times New Roman" w:cs="Times New Roman"/>
          <w:sz w:val="24"/>
          <w:szCs w:val="24"/>
        </w:rPr>
        <w:t xml:space="preserve">, </w:t>
      </w:r>
      <w:proofErr w:type="spellStart"/>
      <w:r w:rsidRPr="0051283E">
        <w:rPr>
          <w:rFonts w:ascii="Times New Roman" w:eastAsia="Times New Roman" w:hAnsi="Times New Roman" w:cs="Times New Roman"/>
          <w:sz w:val="24"/>
          <w:szCs w:val="24"/>
        </w:rPr>
        <w:t>Witold</w:t>
      </w:r>
      <w:proofErr w:type="spellEnd"/>
      <w:r w:rsidRPr="0051283E">
        <w:rPr>
          <w:rFonts w:ascii="Times New Roman" w:eastAsia="Times New Roman" w:hAnsi="Times New Roman" w:cs="Times New Roman"/>
          <w:sz w:val="24"/>
          <w:szCs w:val="24"/>
        </w:rPr>
        <w:t xml:space="preserve"> </w:t>
      </w:r>
      <w:proofErr w:type="spellStart"/>
      <w:r w:rsidRPr="0051283E">
        <w:rPr>
          <w:rFonts w:ascii="Times New Roman" w:eastAsia="Times New Roman" w:hAnsi="Times New Roman" w:cs="Times New Roman"/>
          <w:sz w:val="24"/>
          <w:szCs w:val="24"/>
        </w:rPr>
        <w:t>Postek</w:t>
      </w:r>
      <w:proofErr w:type="spellEnd"/>
      <w:r w:rsidRPr="0051283E">
        <w:rPr>
          <w:rFonts w:ascii="Times New Roman" w:eastAsia="Times New Roman" w:hAnsi="Times New Roman" w:cs="Times New Roman"/>
          <w:sz w:val="24"/>
          <w:szCs w:val="24"/>
        </w:rPr>
        <w:t xml:space="preserve"> and Piotr </w:t>
      </w:r>
      <w:proofErr w:type="spellStart"/>
      <w:r w:rsidRPr="0051283E">
        <w:rPr>
          <w:rFonts w:ascii="Times New Roman" w:eastAsia="Times New Roman" w:hAnsi="Times New Roman" w:cs="Times New Roman"/>
          <w:sz w:val="24"/>
          <w:szCs w:val="24"/>
        </w:rPr>
        <w:t>Garstecki</w:t>
      </w:r>
      <w:proofErr w:type="spellEnd"/>
    </w:p>
    <w:p w14:paraId="57FAE21C" w14:textId="77777777" w:rsidR="0051283E" w:rsidRPr="0051283E" w:rsidRDefault="0051283E" w:rsidP="0051283E">
      <w:pPr>
        <w:spacing w:after="0" w:line="240" w:lineRule="auto"/>
        <w:rPr>
          <w:rFonts w:ascii="Times New Roman" w:eastAsia="Times New Roman" w:hAnsi="Times New Roman" w:cs="Times New Roman"/>
          <w:sz w:val="24"/>
          <w:szCs w:val="24"/>
        </w:rPr>
      </w:pPr>
    </w:p>
    <w:p w14:paraId="4EC120C4" w14:textId="76BCC96B" w:rsidR="0051283E" w:rsidRPr="0051283E" w:rsidRDefault="007E0B82" w:rsidP="005128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51283E" w:rsidRPr="0051283E">
        <w:rPr>
          <w:rFonts w:ascii="Times New Roman" w:eastAsia="Times New Roman" w:hAnsi="Times New Roman" w:cs="Times New Roman"/>
          <w:sz w:val="24"/>
          <w:szCs w:val="24"/>
        </w:rPr>
        <w:t>orresponding author</w:t>
      </w:r>
      <w:r>
        <w:rPr>
          <w:rFonts w:ascii="Times New Roman" w:eastAsia="Times New Roman" w:hAnsi="Times New Roman" w:cs="Times New Roman"/>
          <w:sz w:val="24"/>
          <w:szCs w:val="24"/>
        </w:rPr>
        <w:t>s:</w:t>
      </w:r>
      <w:r w:rsidR="0051283E" w:rsidRPr="0051283E">
        <w:rPr>
          <w:rFonts w:ascii="Times New Roman" w:eastAsia="Times New Roman" w:hAnsi="Times New Roman" w:cs="Times New Roman"/>
          <w:sz w:val="24"/>
          <w:szCs w:val="24"/>
        </w:rPr>
        <w:t xml:space="preserve"> </w:t>
      </w:r>
      <w:r w:rsidR="0051283E">
        <w:rPr>
          <w:rFonts w:ascii="Times New Roman" w:eastAsia="Times New Roman" w:hAnsi="Times New Roman" w:cs="Times New Roman"/>
          <w:sz w:val="24"/>
          <w:szCs w:val="24"/>
        </w:rPr>
        <w:t xml:space="preserve">Ott Scheler and Piotr </w:t>
      </w:r>
      <w:proofErr w:type="spellStart"/>
      <w:r w:rsidR="0051283E">
        <w:rPr>
          <w:rFonts w:ascii="Times New Roman" w:eastAsia="Times New Roman" w:hAnsi="Times New Roman" w:cs="Times New Roman"/>
          <w:sz w:val="24"/>
          <w:szCs w:val="24"/>
        </w:rPr>
        <w:t>Garstecki</w:t>
      </w:r>
      <w:proofErr w:type="spellEnd"/>
    </w:p>
    <w:p w14:paraId="6212DBD0" w14:textId="302DB919" w:rsidR="0051283E" w:rsidRPr="0051283E" w:rsidRDefault="0051283E" w:rsidP="0051283E">
      <w:pPr>
        <w:spacing w:after="0" w:line="240" w:lineRule="auto"/>
        <w:rPr>
          <w:rFonts w:ascii="Times New Roman" w:eastAsia="Times New Roman" w:hAnsi="Times New Roman" w:cs="Times New Roman"/>
          <w:sz w:val="24"/>
          <w:szCs w:val="24"/>
        </w:rPr>
      </w:pPr>
      <w:r w:rsidRPr="0051283E">
        <w:rPr>
          <w:rFonts w:ascii="Times New Roman" w:eastAsia="Times New Roman" w:hAnsi="Times New Roman" w:cs="Times New Roman"/>
          <w:sz w:val="24"/>
          <w:szCs w:val="24"/>
        </w:rPr>
        <w:t xml:space="preserve">Email: </w:t>
      </w:r>
      <w:r w:rsidRPr="0051283E">
        <w:rPr>
          <w:rFonts w:ascii="Times New Roman" w:eastAsia="Times New Roman" w:hAnsi="Times New Roman" w:cs="Times New Roman"/>
          <w:i/>
          <w:sz w:val="24"/>
          <w:szCs w:val="20"/>
        </w:rPr>
        <w:t>ott.scheler@taltech.ee,</w:t>
      </w:r>
      <w:r>
        <w:rPr>
          <w:rFonts w:ascii="Times New Roman" w:eastAsia="Times New Roman" w:hAnsi="Times New Roman" w:cs="Times New Roman"/>
          <w:i/>
          <w:sz w:val="24"/>
          <w:szCs w:val="20"/>
        </w:rPr>
        <w:t xml:space="preserve"> </w:t>
      </w:r>
      <w:r w:rsidRPr="0051283E">
        <w:rPr>
          <w:rFonts w:ascii="Times New Roman" w:eastAsia="Times New Roman" w:hAnsi="Times New Roman" w:cs="Times New Roman"/>
          <w:i/>
          <w:sz w:val="24"/>
          <w:szCs w:val="20"/>
        </w:rPr>
        <w:t>garst@ichf.edu.pl</w:t>
      </w:r>
    </w:p>
    <w:p w14:paraId="00A6C4D2" w14:textId="0B5BF910" w:rsidR="0051283E" w:rsidRDefault="0051283E">
      <w:pPr>
        <w:rPr>
          <w:rFonts w:ascii="Times New Roman" w:eastAsia="Times New Roman" w:hAnsi="Times New Roman" w:cs="Times New Roman"/>
          <w:sz w:val="24"/>
          <w:szCs w:val="20"/>
        </w:rPr>
      </w:pPr>
      <w:r>
        <w:rPr>
          <w:rFonts w:ascii="Times New Roman" w:eastAsia="Times New Roman" w:hAnsi="Times New Roman" w:cs="Times New Roman"/>
          <w:sz w:val="24"/>
          <w:szCs w:val="20"/>
        </w:rPr>
        <w:br w:type="page"/>
      </w:r>
    </w:p>
    <w:p w14:paraId="7580FE75" w14:textId="77777777" w:rsidR="00EB7F7A" w:rsidRDefault="00EB7F7A" w:rsidP="00EB7F7A">
      <w:pPr>
        <w:pStyle w:val="SIheading"/>
        <w:keepNext/>
      </w:pPr>
      <w:r w:rsidRPr="00EB7F7A">
        <w:rPr>
          <w:noProof/>
        </w:rPr>
        <w:lastRenderedPageBreak/>
        <w:drawing>
          <wp:inline distT="0" distB="0" distL="0" distR="0" wp14:anchorId="09989E80" wp14:editId="5F491B69">
            <wp:extent cx="4204875" cy="461739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07336" cy="4620093"/>
                    </a:xfrm>
                    <a:prstGeom prst="rect">
                      <a:avLst/>
                    </a:prstGeom>
                  </pic:spPr>
                </pic:pic>
              </a:graphicData>
            </a:graphic>
          </wp:inline>
        </w:drawing>
      </w:r>
    </w:p>
    <w:p w14:paraId="70AEBB72" w14:textId="1405F181" w:rsidR="00EB7F7A" w:rsidRPr="00294F04" w:rsidRDefault="00EB7F7A" w:rsidP="008F35A7">
      <w:pPr>
        <w:pStyle w:val="SIcaption"/>
      </w:pPr>
      <w:r w:rsidRPr="008F35A7">
        <w:rPr>
          <w:b/>
        </w:rPr>
        <w:t xml:space="preserve">Fig. S </w:t>
      </w:r>
      <w:r w:rsidRPr="008F35A7">
        <w:rPr>
          <w:b/>
        </w:rPr>
        <w:fldChar w:fldCharType="begin"/>
      </w:r>
      <w:r w:rsidRPr="008F35A7">
        <w:rPr>
          <w:b/>
        </w:rPr>
        <w:instrText xml:space="preserve"> SEQ Fig._S \* ARABIC </w:instrText>
      </w:r>
      <w:r w:rsidRPr="008F35A7">
        <w:rPr>
          <w:b/>
        </w:rPr>
        <w:fldChar w:fldCharType="separate"/>
      </w:r>
      <w:r w:rsidR="003E237F">
        <w:rPr>
          <w:b/>
          <w:noProof/>
        </w:rPr>
        <w:t>1</w:t>
      </w:r>
      <w:r w:rsidRPr="008F35A7">
        <w:rPr>
          <w:b/>
        </w:rPr>
        <w:fldChar w:fldCharType="end"/>
      </w:r>
      <w:r w:rsidR="008F35A7" w:rsidRPr="008F35A7">
        <w:rPr>
          <w:b/>
        </w:rPr>
        <w:t>.</w:t>
      </w:r>
      <w:r w:rsidRPr="00294F04">
        <w:t xml:space="preserve"> Microfluidic chips. Schematics of </w:t>
      </w:r>
      <w:proofErr w:type="spellStart"/>
      <w:r w:rsidRPr="00294F04">
        <w:t>i</w:t>
      </w:r>
      <w:proofErr w:type="spellEnd"/>
      <w:r w:rsidRPr="00294F04">
        <w:t xml:space="preserve">) droplet generation and ii) droplet counting chip. Red scale bar in the figures is </w:t>
      </w:r>
      <w:proofErr w:type="gramStart"/>
      <w:r w:rsidRPr="00294F04">
        <w:t>1</w:t>
      </w:r>
      <w:proofErr w:type="gramEnd"/>
      <w:r w:rsidRPr="00294F04">
        <w:t xml:space="preserve"> cm. Schematics on the right are representative and do not show the exact size or proportions of the geometries. The exact CAD files are available upon request from the authors.</w:t>
      </w:r>
    </w:p>
    <w:p w14:paraId="792F0CAF" w14:textId="77777777" w:rsidR="00EB7F7A" w:rsidRDefault="00EB7F7A">
      <w:pPr>
        <w:rPr>
          <w:i/>
          <w:iCs/>
          <w:color w:val="44546A" w:themeColor="text2"/>
          <w:sz w:val="18"/>
          <w:szCs w:val="18"/>
        </w:rPr>
      </w:pPr>
      <w:r>
        <w:br w:type="page"/>
      </w:r>
    </w:p>
    <w:p w14:paraId="3BFC87F1" w14:textId="77777777" w:rsidR="00EB7F7A" w:rsidRDefault="00EB7F7A" w:rsidP="00EB7F7A">
      <w:pPr>
        <w:pStyle w:val="Caption"/>
        <w:keepNext/>
      </w:pPr>
      <w:r w:rsidRPr="00DE0FC1">
        <w:rPr>
          <w:noProof/>
        </w:rPr>
        <w:lastRenderedPageBreak/>
        <w:drawing>
          <wp:inline distT="0" distB="0" distL="0" distR="0" wp14:anchorId="51A085C5" wp14:editId="72905FF4">
            <wp:extent cx="5760720" cy="7381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738170"/>
                    </a:xfrm>
                    <a:prstGeom prst="rect">
                      <a:avLst/>
                    </a:prstGeom>
                    <a:noFill/>
                    <a:ln>
                      <a:noFill/>
                    </a:ln>
                  </pic:spPr>
                </pic:pic>
              </a:graphicData>
            </a:graphic>
          </wp:inline>
        </w:drawing>
      </w:r>
    </w:p>
    <w:p w14:paraId="068F2120" w14:textId="5AD3FF97" w:rsidR="00B15FA9" w:rsidRDefault="00EB7F7A" w:rsidP="008F35A7">
      <w:pPr>
        <w:pStyle w:val="SIcaption"/>
      </w:pPr>
      <w:r w:rsidRPr="008F35A7">
        <w:rPr>
          <w:b/>
        </w:rPr>
        <w:t xml:space="preserve">Table S </w:t>
      </w:r>
      <w:r w:rsidRPr="008F35A7">
        <w:rPr>
          <w:b/>
        </w:rPr>
        <w:fldChar w:fldCharType="begin"/>
      </w:r>
      <w:r w:rsidRPr="008F35A7">
        <w:rPr>
          <w:b/>
        </w:rPr>
        <w:instrText xml:space="preserve"> SEQ Table_S \* ARABIC </w:instrText>
      </w:r>
      <w:r w:rsidRPr="008F35A7">
        <w:rPr>
          <w:b/>
        </w:rPr>
        <w:fldChar w:fldCharType="separate"/>
      </w:r>
      <w:r w:rsidR="003E237F">
        <w:rPr>
          <w:b/>
          <w:noProof/>
        </w:rPr>
        <w:t>1</w:t>
      </w:r>
      <w:r w:rsidRPr="008F35A7">
        <w:rPr>
          <w:b/>
        </w:rPr>
        <w:fldChar w:fldCharType="end"/>
      </w:r>
      <w:r>
        <w:t>. Droplet size and variation. For</w:t>
      </w:r>
      <w:r w:rsidRPr="00DB666F">
        <w:t xml:space="preserve"> measur</w:t>
      </w:r>
      <w:r>
        <w:t>ing</w:t>
      </w:r>
      <w:r w:rsidRPr="00DB666F">
        <w:t xml:space="preserve"> the size dispersion of the droplets </w:t>
      </w:r>
      <w:r>
        <w:t xml:space="preserve">that </w:t>
      </w:r>
      <w:proofErr w:type="gramStart"/>
      <w:r>
        <w:t xml:space="preserve">were </w:t>
      </w:r>
      <w:r w:rsidRPr="00DB666F">
        <w:t>generated</w:t>
      </w:r>
      <w:proofErr w:type="gramEnd"/>
      <w:r w:rsidRPr="00DB666F">
        <w:t xml:space="preserve"> from 3µL plugs, we recorded the droplet formation using </w:t>
      </w:r>
      <w:proofErr w:type="spellStart"/>
      <w:r w:rsidRPr="00DB666F">
        <w:t>Photron</w:t>
      </w:r>
      <w:proofErr w:type="spellEnd"/>
      <w:r w:rsidRPr="00DB666F">
        <w:t xml:space="preserve"> Fast-Cam 1000K (Japan) camera that was mounted on </w:t>
      </w:r>
      <w:r>
        <w:t xml:space="preserve">a </w:t>
      </w:r>
      <w:r w:rsidRPr="00DB666F">
        <w:t xml:space="preserve">Nikon SMZ1000 stereoscope (Japan). We measured the whole droplet formation process of a </w:t>
      </w:r>
      <w:proofErr w:type="gramStart"/>
      <w:r w:rsidRPr="00DB666F">
        <w:t>3</w:t>
      </w:r>
      <w:r>
        <w:t xml:space="preserve"> µL</w:t>
      </w:r>
      <w:proofErr w:type="gramEnd"/>
      <w:r>
        <w:t xml:space="preserve"> plug. We picked randomly four</w:t>
      </w:r>
      <w:r w:rsidRPr="00DB666F">
        <w:t xml:space="preserve"> different plugs from </w:t>
      </w:r>
      <w:r>
        <w:t>a</w:t>
      </w:r>
      <w:r w:rsidRPr="00DB666F">
        <w:t xml:space="preserve"> dilution series.</w:t>
      </w:r>
      <w:r w:rsidR="00B15FA9">
        <w:t xml:space="preserve"> </w:t>
      </w:r>
      <w:proofErr w:type="gramStart"/>
      <w:r w:rsidR="00B15FA9" w:rsidRPr="00B15FA9">
        <w:t>We measured the area of each generated droplet in Image J software and used this data to calculate the volume of each droplet according to the model described previously.(1–3) Briefly, the volume can be calculated by the following formula: V=(π/12)[2D3-(D-h)2(2D+h)], where D is the diameter of a droplet and h is the height of the channel.</w:t>
      </w:r>
      <w:proofErr w:type="gramEnd"/>
    </w:p>
    <w:p w14:paraId="6C53C914" w14:textId="77777777" w:rsidR="00B15FA9" w:rsidRDefault="00B15FA9">
      <w:pPr>
        <w:rPr>
          <w:i/>
          <w:iCs/>
          <w:color w:val="44546A" w:themeColor="text2"/>
          <w:sz w:val="18"/>
          <w:szCs w:val="18"/>
        </w:rPr>
      </w:pPr>
      <w:r>
        <w:br w:type="page"/>
      </w:r>
    </w:p>
    <w:p w14:paraId="48EFF2D1" w14:textId="77777777" w:rsidR="00B15FA9" w:rsidRDefault="00B15FA9" w:rsidP="00B15FA9">
      <w:pPr>
        <w:pStyle w:val="Caption"/>
        <w:keepNext/>
        <w:jc w:val="both"/>
      </w:pPr>
      <w:r>
        <w:rPr>
          <w:noProof/>
        </w:rPr>
        <w:lastRenderedPageBreak/>
        <w:drawing>
          <wp:inline distT="0" distB="0" distL="0" distR="0" wp14:anchorId="06A042FA" wp14:editId="4D363514">
            <wp:extent cx="5257800" cy="2591165"/>
            <wp:effectExtent l="0" t="0" r="0" b="0"/>
            <wp:docPr id="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1173" cy="2592827"/>
                    </a:xfrm>
                    <a:prstGeom prst="rect">
                      <a:avLst/>
                    </a:prstGeom>
                    <a:noFill/>
                    <a:ln>
                      <a:noFill/>
                    </a:ln>
                  </pic:spPr>
                </pic:pic>
              </a:graphicData>
            </a:graphic>
          </wp:inline>
        </w:drawing>
      </w:r>
    </w:p>
    <w:p w14:paraId="6405C82F" w14:textId="5E6FC7C8" w:rsidR="00B15FA9" w:rsidRPr="008F35A7" w:rsidRDefault="00B15FA9" w:rsidP="008F35A7">
      <w:pPr>
        <w:pStyle w:val="SIcaption"/>
      </w:pPr>
      <w:r w:rsidRPr="008F35A7">
        <w:rPr>
          <w:b/>
        </w:rPr>
        <w:t xml:space="preserve">Fig. S </w:t>
      </w:r>
      <w:r w:rsidRPr="008F35A7">
        <w:rPr>
          <w:b/>
        </w:rPr>
        <w:fldChar w:fldCharType="begin"/>
      </w:r>
      <w:r w:rsidRPr="008F35A7">
        <w:rPr>
          <w:b/>
        </w:rPr>
        <w:instrText xml:space="preserve"> SEQ Fig._S \* ARABIC </w:instrText>
      </w:r>
      <w:r w:rsidRPr="008F35A7">
        <w:rPr>
          <w:b/>
        </w:rPr>
        <w:fldChar w:fldCharType="separate"/>
      </w:r>
      <w:r w:rsidR="003E237F">
        <w:rPr>
          <w:b/>
          <w:noProof/>
        </w:rPr>
        <w:t>2</w:t>
      </w:r>
      <w:r w:rsidRPr="008F35A7">
        <w:rPr>
          <w:b/>
        </w:rPr>
        <w:fldChar w:fldCharType="end"/>
      </w:r>
      <w:r w:rsidRPr="008F35A7">
        <w:rPr>
          <w:b/>
        </w:rPr>
        <w:t>.</w:t>
      </w:r>
      <w:r w:rsidRPr="008F35A7">
        <w:t xml:space="preserve"> Confocal microscopy data acquisition. All confocal microscopy experiments </w:t>
      </w:r>
      <w:proofErr w:type="gramStart"/>
      <w:r w:rsidRPr="008F35A7">
        <w:t>were performed</w:t>
      </w:r>
      <w:proofErr w:type="gramEnd"/>
      <w:r w:rsidRPr="008F35A7">
        <w:t xml:space="preserve"> using a Nikon A1R setup, based on an inverted confocal microscope Nikon Eclipse </w:t>
      </w:r>
      <w:proofErr w:type="spellStart"/>
      <w:r w:rsidRPr="008F35A7">
        <w:t>Ti</w:t>
      </w:r>
      <w:proofErr w:type="spellEnd"/>
      <w:r w:rsidRPr="008F35A7">
        <w:t xml:space="preserve">-E, equipped with the LU4A laser unit and four-channel detector unit (all by Nikon, Japan). A Nikon Plan Fluor 10x, NA=0.3 objective was used. The microscope </w:t>
      </w:r>
      <w:proofErr w:type="gramStart"/>
      <w:r w:rsidRPr="008F35A7">
        <w:t>was controlled</w:t>
      </w:r>
      <w:proofErr w:type="gramEnd"/>
      <w:r w:rsidRPr="008F35A7">
        <w:t xml:space="preserve"> via Nikon NIS-Elements AR 4.13 (64-bit) software. To maximize the throughput of the system, we acquired fluorescence data using a resonant scanner in a bi-directional single-line mode, with scanning path perpendicular to the microfluidic channel. This allowed for a recording speed of 15360 lines per second (pixel dwell of 0.1 </w:t>
      </w:r>
      <w:proofErr w:type="spellStart"/>
      <w:r w:rsidRPr="008F35A7">
        <w:t>μs</w:t>
      </w:r>
      <w:proofErr w:type="spellEnd"/>
      <w:r w:rsidRPr="008F35A7">
        <w:t xml:space="preserve">, line time of around 65 </w:t>
      </w:r>
      <w:proofErr w:type="spellStart"/>
      <w:r w:rsidRPr="008F35A7">
        <w:t>μs</w:t>
      </w:r>
      <w:proofErr w:type="spellEnd"/>
      <w:r w:rsidRPr="008F35A7">
        <w:t xml:space="preserve">). At 488 nm, the width of the beam at the focus plane (calculated as doubled 1/e2 radius) was around 1.4 </w:t>
      </w:r>
      <w:proofErr w:type="spellStart"/>
      <w:r w:rsidRPr="008F35A7">
        <w:t>μm</w:t>
      </w:r>
      <w:proofErr w:type="spellEnd"/>
      <w:r w:rsidRPr="008F35A7">
        <w:t xml:space="preserve">. Taking the length of an average droplet in the channel of 145 </w:t>
      </w:r>
      <w:proofErr w:type="spellStart"/>
      <w:r w:rsidRPr="008F35A7">
        <w:t>μm</w:t>
      </w:r>
      <w:proofErr w:type="spellEnd"/>
      <w:r w:rsidRPr="008F35A7">
        <w:t xml:space="preserve"> and an average of 40 line scans across each droplet during its passage through the detection zone, we obtain a 37% coverage of the total cross-sectional area of a droplet with the scanning beam (see figure below). With a widely open pinhole (115 </w:t>
      </w:r>
      <w:proofErr w:type="spellStart"/>
      <w:r w:rsidRPr="008F35A7">
        <w:t>μm</w:t>
      </w:r>
      <w:proofErr w:type="spellEnd"/>
      <w:r w:rsidRPr="008F35A7">
        <w:t xml:space="preserve">), excitation wavelength of 488 nm and a numerical aperture of the objective of 0.3, the thickness of the optical section (i.e. the axial dimension of the detection area) was 57 </w:t>
      </w:r>
      <w:proofErr w:type="spellStart"/>
      <w:r w:rsidRPr="008F35A7">
        <w:t>μm</w:t>
      </w:r>
      <w:proofErr w:type="spellEnd"/>
      <w:r w:rsidRPr="008F35A7">
        <w:t xml:space="preserve">, as reported by the NIS software. This is 41% of the total height of the microfluidic channel. Thus, we can estimate that around 15% of the total volume of the droplet </w:t>
      </w:r>
      <w:proofErr w:type="gramStart"/>
      <w:r w:rsidRPr="008F35A7">
        <w:t>was effectively sampled</w:t>
      </w:r>
      <w:proofErr w:type="gramEnd"/>
      <w:r w:rsidRPr="008F35A7">
        <w:t xml:space="preserve"> during the fluorescence data acquisition. Importantly, the scanned lines </w:t>
      </w:r>
      <w:proofErr w:type="gramStart"/>
      <w:r w:rsidRPr="008F35A7">
        <w:t>were distributed</w:t>
      </w:r>
      <w:proofErr w:type="gramEnd"/>
      <w:r w:rsidRPr="008F35A7">
        <w:t xml:space="preserve"> evenly along the length of the droplets and the focus plane was set in the center of the channel height. Therefore, we can assume that the data we recorded for each droplet was representative for its whole volume. During data acquisition in line mode, the laser beam is only scanned perpendicularly to the channel (along the </w:t>
      </w:r>
      <w:proofErr w:type="gramStart"/>
      <w:r w:rsidRPr="008F35A7">
        <w:t>x axis</w:t>
      </w:r>
      <w:proofErr w:type="gramEnd"/>
      <w:r w:rsidRPr="008F35A7">
        <w:t>). However, the droplet is constantly moving in the y direction. Therefore, in a droplet-bound frame of reference (</w:t>
      </w:r>
      <w:proofErr w:type="spellStart"/>
      <w:r w:rsidRPr="008F35A7">
        <w:t>x’,y</w:t>
      </w:r>
      <w:proofErr w:type="spellEnd"/>
      <w:r w:rsidRPr="008F35A7">
        <w:t>’), this situation is equivalent to the laser beam scanning through consecutive sections of the droplet in a zig-zagging manner – as schematically depicted in the figure.</w:t>
      </w:r>
    </w:p>
    <w:p w14:paraId="7917F504" w14:textId="77777777" w:rsidR="00B15FA9" w:rsidRDefault="00B15FA9">
      <w:pPr>
        <w:rPr>
          <w:i/>
          <w:iCs/>
          <w:color w:val="44546A" w:themeColor="text2"/>
          <w:sz w:val="18"/>
          <w:szCs w:val="18"/>
        </w:rPr>
      </w:pPr>
      <w:r>
        <w:br w:type="page"/>
      </w:r>
    </w:p>
    <w:p w14:paraId="1C32D0BF" w14:textId="77777777" w:rsidR="00294F04" w:rsidRDefault="00294F04" w:rsidP="00294F04">
      <w:pPr>
        <w:pStyle w:val="Caption"/>
        <w:keepNext/>
        <w:jc w:val="both"/>
      </w:pPr>
      <w:r w:rsidRPr="004F5291">
        <w:rPr>
          <w:noProof/>
        </w:rPr>
        <w:lastRenderedPageBreak/>
        <w:drawing>
          <wp:inline distT="0" distB="0" distL="0" distR="0" wp14:anchorId="0A35C63D" wp14:editId="1BA5F8BA">
            <wp:extent cx="5760720" cy="35856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585679"/>
                    </a:xfrm>
                    <a:prstGeom prst="rect">
                      <a:avLst/>
                    </a:prstGeom>
                  </pic:spPr>
                </pic:pic>
              </a:graphicData>
            </a:graphic>
          </wp:inline>
        </w:drawing>
      </w:r>
    </w:p>
    <w:p w14:paraId="0D91FD6D" w14:textId="2B8541B3" w:rsidR="008F35A7" w:rsidRDefault="00294F04" w:rsidP="008F35A7">
      <w:pPr>
        <w:pStyle w:val="SIcaption"/>
      </w:pPr>
      <w:r w:rsidRPr="008F35A7">
        <w:rPr>
          <w:b/>
        </w:rPr>
        <w:t xml:space="preserve">Fig. S </w:t>
      </w:r>
      <w:r w:rsidRPr="008F35A7">
        <w:rPr>
          <w:b/>
        </w:rPr>
        <w:fldChar w:fldCharType="begin"/>
      </w:r>
      <w:r w:rsidRPr="008F35A7">
        <w:rPr>
          <w:b/>
        </w:rPr>
        <w:instrText xml:space="preserve"> SEQ Fig._S \* ARABIC </w:instrText>
      </w:r>
      <w:r w:rsidRPr="008F35A7">
        <w:rPr>
          <w:b/>
        </w:rPr>
        <w:fldChar w:fldCharType="separate"/>
      </w:r>
      <w:r w:rsidR="003E237F">
        <w:rPr>
          <w:b/>
          <w:noProof/>
        </w:rPr>
        <w:t>3</w:t>
      </w:r>
      <w:r w:rsidRPr="008F35A7">
        <w:rPr>
          <w:b/>
        </w:rPr>
        <w:fldChar w:fldCharType="end"/>
      </w:r>
      <w:r w:rsidR="008F35A7" w:rsidRPr="008F35A7">
        <w:rPr>
          <w:b/>
        </w:rPr>
        <w:t>.</w:t>
      </w:r>
      <w:r w:rsidR="008F35A7">
        <w:t xml:space="preserve"> </w:t>
      </w:r>
      <w:r w:rsidR="008F35A7" w:rsidRPr="008F35A7">
        <w:t xml:space="preserve">Color-codes were generated with Alexa 647 10000 MW and Cascade Blue 3000 MW dextran conjugate dyes (both from </w:t>
      </w:r>
      <w:proofErr w:type="spellStart"/>
      <w:r w:rsidR="008F35A7" w:rsidRPr="008F35A7">
        <w:t>Thermo</w:t>
      </w:r>
      <w:proofErr w:type="spellEnd"/>
      <w:r w:rsidR="008F35A7" w:rsidRPr="008F35A7">
        <w:t xml:space="preserve"> Fisher). The respective 4x4 dye matrix consisted of following concentrations: </w:t>
      </w:r>
      <w:proofErr w:type="spellStart"/>
      <w:r w:rsidR="008F35A7" w:rsidRPr="008F35A7">
        <w:t>i</w:t>
      </w:r>
      <w:proofErr w:type="spellEnd"/>
      <w:r w:rsidR="008F35A7" w:rsidRPr="008F35A7">
        <w:t>) Cascade Blue (2, 15, 30 and 60 µg/mL) and Alexa 647 (0.5, 1.5, 3 and 6 µg/mL).</w:t>
      </w:r>
      <w:r w:rsidR="008F35A7">
        <w:t xml:space="preserve"> Two-fold serial dilutions of bacteria were color-coded and introduced to microfluidic tubing as oil-separated </w:t>
      </w:r>
      <w:proofErr w:type="gramStart"/>
      <w:r w:rsidR="008F35A7">
        <w:t>3</w:t>
      </w:r>
      <w:proofErr w:type="gramEnd"/>
      <w:r w:rsidR="008F35A7">
        <w:t xml:space="preserve"> µl plugs. Plugs were split into 2 </w:t>
      </w:r>
      <w:proofErr w:type="spellStart"/>
      <w:proofErr w:type="gramStart"/>
      <w:r w:rsidR="008F35A7">
        <w:t>nL</w:t>
      </w:r>
      <w:proofErr w:type="spellEnd"/>
      <w:proofErr w:type="gramEnd"/>
      <w:r w:rsidR="008F35A7">
        <w:t xml:space="preserve"> droplets and pooled together into a single library. After </w:t>
      </w:r>
      <w:proofErr w:type="gramStart"/>
      <w:r w:rsidR="008F35A7">
        <w:t>incubation</w:t>
      </w:r>
      <w:proofErr w:type="gramEnd"/>
      <w:r w:rsidR="008F35A7">
        <w:t xml:space="preserve"> the virtual array was inserted into the counting chip that was fixed in a confocal microscope stage to measure the intensity of fluorescence emitted by the droplets. For spacing the droplets during the measurement, an additional stream of carrier oil </w:t>
      </w:r>
      <w:proofErr w:type="gramStart"/>
      <w:r w:rsidR="008F35A7">
        <w:t>was introduced</w:t>
      </w:r>
      <w:proofErr w:type="gramEnd"/>
      <w:r w:rsidR="008F35A7">
        <w:t xml:space="preserve"> into the flow-focusing junction immediately before the acquisition area. Each droplet </w:t>
      </w:r>
      <w:proofErr w:type="gramStart"/>
      <w:r w:rsidR="008F35A7">
        <w:t>was then assigned</w:t>
      </w:r>
      <w:proofErr w:type="gramEnd"/>
      <w:r w:rsidR="008F35A7">
        <w:t xml:space="preserve"> “the address” in the virtual array based on its gating into the bounding box. First, raw image stack time-lapse .nd2 files </w:t>
      </w:r>
      <w:proofErr w:type="gramStart"/>
      <w:r w:rsidR="008F35A7">
        <w:t>were analyzed</w:t>
      </w:r>
      <w:proofErr w:type="gramEnd"/>
      <w:r w:rsidR="008F35A7">
        <w:t xml:space="preserve"> with Nikon NIS software and the results were exported as .txt files. Next, the files were analyzed with custom-made LabVIEW script to assign each droplet </w:t>
      </w:r>
      <w:proofErr w:type="spellStart"/>
      <w:r w:rsidR="008F35A7">
        <w:t>i</w:t>
      </w:r>
      <w:proofErr w:type="spellEnd"/>
      <w:r w:rsidR="008F35A7">
        <w:t xml:space="preserve">) color-code address (Cascade Blue and Alexa Fluor 647 channels) and ii) bacteria fluorescence intensity (YFP channel). The LabVIEW script is available from the authors upon request. In brief, the script plots color-codes in the 2D space after which the droplets </w:t>
      </w:r>
      <w:proofErr w:type="gramStart"/>
      <w:r w:rsidR="008F35A7">
        <w:t>are assigned</w:t>
      </w:r>
      <w:proofErr w:type="gramEnd"/>
      <w:r w:rsidR="008F35A7">
        <w:t xml:space="preserve"> addresses according to their clustering into groups.</w:t>
      </w:r>
    </w:p>
    <w:p w14:paraId="5CFA18CA" w14:textId="77777777" w:rsidR="008F35A7" w:rsidRDefault="008F35A7">
      <w:pPr>
        <w:rPr>
          <w:rFonts w:ascii="Times New Roman" w:hAnsi="Times New Roman" w:cs="Times New Roman"/>
          <w:iCs/>
          <w:color w:val="000000" w:themeColor="text1"/>
          <w:szCs w:val="18"/>
        </w:rPr>
      </w:pPr>
      <w:r>
        <w:br w:type="page"/>
      </w:r>
    </w:p>
    <w:p w14:paraId="242AEBD8" w14:textId="77777777" w:rsidR="008F35A7" w:rsidRDefault="008F35A7" w:rsidP="008F35A7">
      <w:pPr>
        <w:jc w:val="both"/>
      </w:pPr>
      <w:r>
        <w:rPr>
          <w:noProof/>
        </w:rPr>
        <w:lastRenderedPageBreak/>
        <w:drawing>
          <wp:inline distT="0" distB="0" distL="0" distR="0" wp14:anchorId="4E158019" wp14:editId="7334FD7A">
            <wp:extent cx="2838735" cy="234755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7784" cy="2371575"/>
                    </a:xfrm>
                    <a:prstGeom prst="rect">
                      <a:avLst/>
                    </a:prstGeom>
                    <a:noFill/>
                  </pic:spPr>
                </pic:pic>
              </a:graphicData>
            </a:graphic>
          </wp:inline>
        </w:drawing>
      </w:r>
      <w:r>
        <w:rPr>
          <w:noProof/>
        </w:rPr>
        <w:drawing>
          <wp:inline distT="0" distB="0" distL="0" distR="0" wp14:anchorId="1345FD23" wp14:editId="7F0CDC89">
            <wp:extent cx="2921000" cy="2392818"/>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28139" cy="2398666"/>
                    </a:xfrm>
                    <a:prstGeom prst="rect">
                      <a:avLst/>
                    </a:prstGeom>
                    <a:noFill/>
                  </pic:spPr>
                </pic:pic>
              </a:graphicData>
            </a:graphic>
          </wp:inline>
        </w:drawing>
      </w:r>
    </w:p>
    <w:p w14:paraId="1DA678D0" w14:textId="77777777" w:rsidR="008F35A7" w:rsidRDefault="008F35A7" w:rsidP="008F35A7">
      <w:pPr>
        <w:jc w:val="both"/>
      </w:pPr>
      <w:r>
        <w:rPr>
          <w:noProof/>
        </w:rPr>
        <w:drawing>
          <wp:inline distT="0" distB="0" distL="0" distR="0" wp14:anchorId="2B757625" wp14:editId="19F958A5">
            <wp:extent cx="2838735" cy="229378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1471" cy="2304080"/>
                    </a:xfrm>
                    <a:prstGeom prst="rect">
                      <a:avLst/>
                    </a:prstGeom>
                    <a:noFill/>
                  </pic:spPr>
                </pic:pic>
              </a:graphicData>
            </a:graphic>
          </wp:inline>
        </w:drawing>
      </w:r>
      <w:r>
        <w:rPr>
          <w:noProof/>
        </w:rPr>
        <w:drawing>
          <wp:inline distT="0" distB="0" distL="0" distR="0" wp14:anchorId="0D6C6F36" wp14:editId="64BD62C7">
            <wp:extent cx="2818263" cy="2294401"/>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1305" cy="2305019"/>
                    </a:xfrm>
                    <a:prstGeom prst="rect">
                      <a:avLst/>
                    </a:prstGeom>
                    <a:noFill/>
                  </pic:spPr>
                </pic:pic>
              </a:graphicData>
            </a:graphic>
          </wp:inline>
        </w:drawing>
      </w:r>
    </w:p>
    <w:p w14:paraId="16759802" w14:textId="77777777" w:rsidR="008F35A7" w:rsidRDefault="008F35A7" w:rsidP="008F35A7">
      <w:pPr>
        <w:jc w:val="both"/>
      </w:pPr>
      <w:r>
        <w:rPr>
          <w:noProof/>
        </w:rPr>
        <w:drawing>
          <wp:inline distT="0" distB="0" distL="0" distR="0" wp14:anchorId="70B991AE" wp14:editId="10398BF0">
            <wp:extent cx="2818263" cy="2290906"/>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37547" cy="2306581"/>
                    </a:xfrm>
                    <a:prstGeom prst="rect">
                      <a:avLst/>
                    </a:prstGeom>
                    <a:noFill/>
                  </pic:spPr>
                </pic:pic>
              </a:graphicData>
            </a:graphic>
          </wp:inline>
        </w:drawing>
      </w:r>
      <w:r>
        <w:rPr>
          <w:noProof/>
        </w:rPr>
        <w:drawing>
          <wp:inline distT="0" distB="0" distL="0" distR="0" wp14:anchorId="763C701D" wp14:editId="07A5FE7A">
            <wp:extent cx="2882900" cy="2341491"/>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95417" cy="2351657"/>
                    </a:xfrm>
                    <a:prstGeom prst="rect">
                      <a:avLst/>
                    </a:prstGeom>
                    <a:noFill/>
                  </pic:spPr>
                </pic:pic>
              </a:graphicData>
            </a:graphic>
          </wp:inline>
        </w:drawing>
      </w:r>
    </w:p>
    <w:p w14:paraId="38555367" w14:textId="77777777" w:rsidR="008F35A7" w:rsidRDefault="008F35A7" w:rsidP="008F35A7">
      <w:pPr>
        <w:jc w:val="both"/>
      </w:pPr>
      <w:r>
        <w:rPr>
          <w:noProof/>
        </w:rPr>
        <w:lastRenderedPageBreak/>
        <w:drawing>
          <wp:inline distT="0" distB="0" distL="0" distR="0" wp14:anchorId="06203E34" wp14:editId="608C47C9">
            <wp:extent cx="2831911" cy="2246373"/>
            <wp:effectExtent l="0" t="0" r="6985"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47401" cy="2258660"/>
                    </a:xfrm>
                    <a:prstGeom prst="rect">
                      <a:avLst/>
                    </a:prstGeom>
                    <a:noFill/>
                  </pic:spPr>
                </pic:pic>
              </a:graphicData>
            </a:graphic>
          </wp:inline>
        </w:drawing>
      </w:r>
      <w:r>
        <w:rPr>
          <w:noProof/>
        </w:rPr>
        <w:drawing>
          <wp:inline distT="0" distB="0" distL="0" distR="0" wp14:anchorId="5BBBF74B" wp14:editId="7A5425DC">
            <wp:extent cx="2903976" cy="230808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19829" cy="2320683"/>
                    </a:xfrm>
                    <a:prstGeom prst="rect">
                      <a:avLst/>
                    </a:prstGeom>
                    <a:noFill/>
                  </pic:spPr>
                </pic:pic>
              </a:graphicData>
            </a:graphic>
          </wp:inline>
        </w:drawing>
      </w:r>
    </w:p>
    <w:p w14:paraId="3C6D659E" w14:textId="77777777" w:rsidR="008F35A7" w:rsidRDefault="008F35A7" w:rsidP="008F35A7">
      <w:pPr>
        <w:jc w:val="both"/>
      </w:pPr>
      <w:r>
        <w:rPr>
          <w:noProof/>
        </w:rPr>
        <w:drawing>
          <wp:inline distT="0" distB="0" distL="0" distR="0" wp14:anchorId="1C7AB889" wp14:editId="54ED048C">
            <wp:extent cx="2902210" cy="228774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29762" cy="2309458"/>
                    </a:xfrm>
                    <a:prstGeom prst="rect">
                      <a:avLst/>
                    </a:prstGeom>
                    <a:noFill/>
                  </pic:spPr>
                </pic:pic>
              </a:graphicData>
            </a:graphic>
          </wp:inline>
        </w:drawing>
      </w:r>
      <w:r>
        <w:rPr>
          <w:noProof/>
        </w:rPr>
        <w:drawing>
          <wp:inline distT="0" distB="0" distL="0" distR="0" wp14:anchorId="25872DC1" wp14:editId="4DF31AD5">
            <wp:extent cx="2833255" cy="2333800"/>
            <wp:effectExtent l="0" t="0" r="571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52693" cy="2349811"/>
                    </a:xfrm>
                    <a:prstGeom prst="rect">
                      <a:avLst/>
                    </a:prstGeom>
                    <a:noFill/>
                  </pic:spPr>
                </pic:pic>
              </a:graphicData>
            </a:graphic>
          </wp:inline>
        </w:drawing>
      </w:r>
    </w:p>
    <w:p w14:paraId="4BE03803" w14:textId="77777777" w:rsidR="008F35A7" w:rsidRDefault="008F35A7" w:rsidP="008F35A7">
      <w:pPr>
        <w:jc w:val="both"/>
      </w:pPr>
      <w:r>
        <w:rPr>
          <w:noProof/>
        </w:rPr>
        <w:drawing>
          <wp:inline distT="0" distB="0" distL="0" distR="0" wp14:anchorId="02592F6E" wp14:editId="41EC91DF">
            <wp:extent cx="2756848" cy="2256017"/>
            <wp:effectExtent l="0" t="0" r="571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74375" cy="2270360"/>
                    </a:xfrm>
                    <a:prstGeom prst="rect">
                      <a:avLst/>
                    </a:prstGeom>
                    <a:noFill/>
                  </pic:spPr>
                </pic:pic>
              </a:graphicData>
            </a:graphic>
          </wp:inline>
        </w:drawing>
      </w:r>
      <w:r>
        <w:rPr>
          <w:noProof/>
        </w:rPr>
        <w:drawing>
          <wp:inline distT="0" distB="0" distL="0" distR="0" wp14:anchorId="09D23B38" wp14:editId="6136919C">
            <wp:extent cx="2978727" cy="237095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93732" cy="2382898"/>
                    </a:xfrm>
                    <a:prstGeom prst="rect">
                      <a:avLst/>
                    </a:prstGeom>
                    <a:noFill/>
                  </pic:spPr>
                </pic:pic>
              </a:graphicData>
            </a:graphic>
          </wp:inline>
        </w:drawing>
      </w:r>
    </w:p>
    <w:p w14:paraId="091DB732" w14:textId="77777777" w:rsidR="008F35A7" w:rsidRDefault="008F35A7" w:rsidP="008F35A7">
      <w:pPr>
        <w:keepNext/>
        <w:jc w:val="both"/>
      </w:pPr>
      <w:r>
        <w:rPr>
          <w:noProof/>
        </w:rPr>
        <w:lastRenderedPageBreak/>
        <w:drawing>
          <wp:inline distT="0" distB="0" distL="0" distR="0" wp14:anchorId="057CE558" wp14:editId="144C7DC8">
            <wp:extent cx="2789680" cy="2202379"/>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04423" cy="2214018"/>
                    </a:xfrm>
                    <a:prstGeom prst="rect">
                      <a:avLst/>
                    </a:prstGeom>
                    <a:noFill/>
                  </pic:spPr>
                </pic:pic>
              </a:graphicData>
            </a:graphic>
          </wp:inline>
        </w:drawing>
      </w:r>
      <w:r>
        <w:rPr>
          <w:noProof/>
        </w:rPr>
        <w:drawing>
          <wp:inline distT="0" distB="0" distL="0" distR="0" wp14:anchorId="27950AE7" wp14:editId="7BAC779B">
            <wp:extent cx="2825087" cy="223761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39367" cy="2248924"/>
                    </a:xfrm>
                    <a:prstGeom prst="rect">
                      <a:avLst/>
                    </a:prstGeom>
                    <a:noFill/>
                  </pic:spPr>
                </pic:pic>
              </a:graphicData>
            </a:graphic>
          </wp:inline>
        </w:drawing>
      </w:r>
    </w:p>
    <w:p w14:paraId="03DBD68D" w14:textId="7B072C53" w:rsidR="00BD66E4" w:rsidRDefault="008F35A7" w:rsidP="00BD66E4">
      <w:pPr>
        <w:pStyle w:val="SIcaption"/>
      </w:pPr>
      <w:r w:rsidRPr="008F35A7">
        <w:rPr>
          <w:b/>
        </w:rPr>
        <w:t xml:space="preserve">Fig. S </w:t>
      </w:r>
      <w:r w:rsidRPr="008F35A7">
        <w:rPr>
          <w:b/>
        </w:rPr>
        <w:fldChar w:fldCharType="begin"/>
      </w:r>
      <w:r w:rsidRPr="008F35A7">
        <w:rPr>
          <w:b/>
        </w:rPr>
        <w:instrText xml:space="preserve"> SEQ Fig._S \* ARABIC </w:instrText>
      </w:r>
      <w:r w:rsidRPr="008F35A7">
        <w:rPr>
          <w:b/>
        </w:rPr>
        <w:fldChar w:fldCharType="separate"/>
      </w:r>
      <w:r w:rsidR="003E237F">
        <w:rPr>
          <w:b/>
          <w:noProof/>
        </w:rPr>
        <w:t>4</w:t>
      </w:r>
      <w:r w:rsidRPr="008F35A7">
        <w:rPr>
          <w:b/>
        </w:rPr>
        <w:fldChar w:fldCharType="end"/>
      </w:r>
      <w:r w:rsidRPr="008F35A7">
        <w:rPr>
          <w:b/>
        </w:rPr>
        <w:t>.</w:t>
      </w:r>
      <w:r w:rsidRPr="008F35A7">
        <w:t xml:space="preserve"> </w:t>
      </w:r>
      <w:r>
        <w:t>P</w:t>
      </w:r>
      <w:r w:rsidRPr="008F35A7">
        <w:t xml:space="preserve">lots showing the virtual arrays according to Cascade Blue (Ch1) and Alexa Fluor 647 (Ch2) intensities. Rectangular boxes mark the gating conditions for each color-code calculated by LabVIEW script. Color-codes from </w:t>
      </w:r>
      <w:proofErr w:type="gramStart"/>
      <w:r w:rsidRPr="008F35A7">
        <w:t>1</w:t>
      </w:r>
      <w:proofErr w:type="gramEnd"/>
      <w:r w:rsidRPr="008F35A7">
        <w:t xml:space="preserve"> to 16 represent bacteria densities from highest to lowest, respectively. Only droplets that fall within gated boundaries </w:t>
      </w:r>
      <w:proofErr w:type="gramStart"/>
      <w:r w:rsidRPr="008F35A7">
        <w:t>are used</w:t>
      </w:r>
      <w:proofErr w:type="gramEnd"/>
      <w:r w:rsidRPr="008F35A7">
        <w:t xml:space="preserve"> for further data analysis. Non-color-coded plugs with pure medium </w:t>
      </w:r>
      <w:proofErr w:type="gramStart"/>
      <w:r w:rsidRPr="008F35A7">
        <w:t>were added</w:t>
      </w:r>
      <w:proofErr w:type="gramEnd"/>
      <w:r w:rsidRPr="008F35A7">
        <w:t xml:space="preserve"> to the beginning and the end of plug train during droplet generation to minimize possible flow rate fluctuations. These droplets locate as color-code 17 in the bottom left and they </w:t>
      </w:r>
      <w:proofErr w:type="gramStart"/>
      <w:r w:rsidRPr="008F35A7">
        <w:t>are omitted</w:t>
      </w:r>
      <w:proofErr w:type="gramEnd"/>
      <w:r w:rsidRPr="008F35A7">
        <w:t xml:space="preserve"> from further analysis.  Roman numerals I to XIV stand for different virtual arrays with increasing cefotaxime concentration from </w:t>
      </w:r>
      <w:proofErr w:type="gramStart"/>
      <w:r w:rsidRPr="008F35A7">
        <w:t>0</w:t>
      </w:r>
      <w:proofErr w:type="gramEnd"/>
      <w:r w:rsidRPr="008F35A7">
        <w:t xml:space="preserve"> to 1024 </w:t>
      </w:r>
      <w:proofErr w:type="spellStart"/>
      <w:r w:rsidRPr="008F35A7">
        <w:t>μg</w:t>
      </w:r>
      <w:proofErr w:type="spellEnd"/>
      <w:r w:rsidRPr="008F35A7">
        <w:t>/mL, respectively.</w:t>
      </w:r>
      <w:r>
        <w:t xml:space="preserve"> </w:t>
      </w:r>
      <w:r w:rsidRPr="008F35A7">
        <w:t xml:space="preserve">We note that color-code </w:t>
      </w:r>
      <w:proofErr w:type="gramStart"/>
      <w:r w:rsidRPr="008F35A7">
        <w:t>1</w:t>
      </w:r>
      <w:proofErr w:type="gramEnd"/>
      <w:r w:rsidRPr="008F35A7">
        <w:t xml:space="preserve"> is missing from virtual array XII due to the human error during droplet generation. However, this does not affect the scientific conclusions drawn in the manuscript.</w:t>
      </w:r>
    </w:p>
    <w:p w14:paraId="5056DBB0" w14:textId="77777777" w:rsidR="00BD66E4" w:rsidRDefault="00BD66E4">
      <w:pPr>
        <w:rPr>
          <w:rFonts w:ascii="Times New Roman" w:hAnsi="Times New Roman" w:cs="Times New Roman"/>
          <w:iCs/>
          <w:color w:val="000000" w:themeColor="text1"/>
          <w:szCs w:val="18"/>
        </w:rPr>
      </w:pPr>
      <w:r>
        <w:br w:type="page"/>
      </w:r>
    </w:p>
    <w:p w14:paraId="0BD370AF" w14:textId="77777777" w:rsidR="00BD66E4" w:rsidRDefault="00BD66E4" w:rsidP="00BD66E4">
      <w:pPr>
        <w:pStyle w:val="SIcaption"/>
        <w:keepNext/>
      </w:pPr>
      <w:r w:rsidRPr="00B35CF6">
        <w:rPr>
          <w:noProof/>
        </w:rPr>
        <w:lastRenderedPageBreak/>
        <w:drawing>
          <wp:inline distT="0" distB="0" distL="0" distR="0" wp14:anchorId="275E5510" wp14:editId="195B16DA">
            <wp:extent cx="5760720" cy="2925904"/>
            <wp:effectExtent l="0" t="0" r="0"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2925904"/>
                    </a:xfrm>
                    <a:prstGeom prst="rect">
                      <a:avLst/>
                    </a:prstGeom>
                    <a:noFill/>
                    <a:ln>
                      <a:noFill/>
                    </a:ln>
                  </pic:spPr>
                </pic:pic>
              </a:graphicData>
            </a:graphic>
          </wp:inline>
        </w:drawing>
      </w:r>
    </w:p>
    <w:p w14:paraId="0A91226C" w14:textId="469371F1" w:rsidR="00D454CD" w:rsidRDefault="00BD66E4" w:rsidP="00D454CD">
      <w:pPr>
        <w:pStyle w:val="SIcaption"/>
      </w:pPr>
      <w:r w:rsidRPr="00BD66E4">
        <w:rPr>
          <w:b/>
        </w:rPr>
        <w:t xml:space="preserve">Table S </w:t>
      </w:r>
      <w:r w:rsidRPr="00BD66E4">
        <w:rPr>
          <w:b/>
        </w:rPr>
        <w:fldChar w:fldCharType="begin"/>
      </w:r>
      <w:r w:rsidRPr="00BD66E4">
        <w:rPr>
          <w:b/>
        </w:rPr>
        <w:instrText xml:space="preserve"> SEQ Table_S \* ARABIC </w:instrText>
      </w:r>
      <w:r w:rsidRPr="00BD66E4">
        <w:rPr>
          <w:b/>
        </w:rPr>
        <w:fldChar w:fldCharType="separate"/>
      </w:r>
      <w:r w:rsidR="003E237F">
        <w:rPr>
          <w:b/>
          <w:noProof/>
        </w:rPr>
        <w:t>2</w:t>
      </w:r>
      <w:r w:rsidRPr="00BD66E4">
        <w:rPr>
          <w:b/>
        </w:rPr>
        <w:fldChar w:fldCharType="end"/>
      </w:r>
      <w:r w:rsidRPr="00BD66E4">
        <w:rPr>
          <w:b/>
        </w:rPr>
        <w:t>.</w:t>
      </w:r>
      <w:r>
        <w:t xml:space="preserve"> Table </w:t>
      </w:r>
      <w:r w:rsidRPr="00BD66E4">
        <w:t xml:space="preserve">showing the number of droplets analyzed per each virtual array with average number of droplets/color code shown. Last column shows the percentage of droplets that </w:t>
      </w:r>
      <w:proofErr w:type="gramStart"/>
      <w:r w:rsidRPr="00BD66E4">
        <w:t>was gated and assigned with</w:t>
      </w:r>
      <w:proofErr w:type="gramEnd"/>
      <w:r w:rsidRPr="00BD66E4">
        <w:t xml:space="preserve"> color-code address during the analysis.</w:t>
      </w:r>
    </w:p>
    <w:p w14:paraId="7F79F91B" w14:textId="77777777" w:rsidR="00D454CD" w:rsidRDefault="00D454CD">
      <w:pPr>
        <w:rPr>
          <w:rFonts w:ascii="Times New Roman" w:hAnsi="Times New Roman" w:cs="Times New Roman"/>
          <w:iCs/>
          <w:color w:val="000000" w:themeColor="text1"/>
          <w:szCs w:val="18"/>
        </w:rPr>
      </w:pPr>
      <w:r>
        <w:br w:type="page"/>
      </w:r>
    </w:p>
    <w:p w14:paraId="21E07739" w14:textId="77777777" w:rsidR="00D454CD" w:rsidRDefault="00D454CD" w:rsidP="00D454CD">
      <w:pPr>
        <w:keepNext/>
        <w:jc w:val="both"/>
      </w:pPr>
      <w:r w:rsidRPr="00CC0FCF">
        <w:rPr>
          <w:noProof/>
        </w:rPr>
        <w:lastRenderedPageBreak/>
        <w:drawing>
          <wp:inline distT="0" distB="0" distL="0" distR="0" wp14:anchorId="70E1AF47" wp14:editId="1D0E2B3C">
            <wp:extent cx="3781016" cy="2519697"/>
            <wp:effectExtent l="0" t="0" r="0" b="0"/>
            <wp:docPr id="7" name="Picture 7" descr="C:\Users\otsche\Dropbox\01. Poland\project B-bacteria in nL droplets\3. MIC project\dropletMIC Outlines\2. makuch\20181128 figures\NCFU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tsche\Dropbox\01. Poland\project B-bacteria in nL droplets\3. MIC project\dropletMIC Outlines\2. makuch\20181128 figures\NCFU_pos.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89855" cy="2525587"/>
                    </a:xfrm>
                    <a:prstGeom prst="rect">
                      <a:avLst/>
                    </a:prstGeom>
                    <a:noFill/>
                    <a:ln>
                      <a:noFill/>
                    </a:ln>
                  </pic:spPr>
                </pic:pic>
              </a:graphicData>
            </a:graphic>
          </wp:inline>
        </w:drawing>
      </w:r>
      <w:r w:rsidRPr="00F5221C">
        <w:t xml:space="preserve"> </w:t>
      </w:r>
      <w:r w:rsidRPr="00CC0FCF">
        <w:rPr>
          <w:noProof/>
        </w:rPr>
        <w:drawing>
          <wp:inline distT="0" distB="0" distL="0" distR="0" wp14:anchorId="439D5AC3" wp14:editId="06AFCD00">
            <wp:extent cx="1382171" cy="243954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87703" cy="2449308"/>
                    </a:xfrm>
                    <a:prstGeom prst="rect">
                      <a:avLst/>
                    </a:prstGeom>
                    <a:noFill/>
                    <a:ln>
                      <a:noFill/>
                    </a:ln>
                  </pic:spPr>
                </pic:pic>
              </a:graphicData>
            </a:graphic>
          </wp:inline>
        </w:drawing>
      </w:r>
    </w:p>
    <w:p w14:paraId="3F2BEF2B" w14:textId="676523C3" w:rsidR="00D5596A" w:rsidRDefault="00D454CD" w:rsidP="00D454CD">
      <w:pPr>
        <w:pStyle w:val="SIcaption"/>
        <w:rPr>
          <w:rFonts w:eastAsiaTheme="minorEastAsia"/>
        </w:rPr>
      </w:pPr>
      <w:r w:rsidRPr="00D454CD">
        <w:rPr>
          <w:b/>
        </w:rPr>
        <w:t xml:space="preserve">Fig. S </w:t>
      </w:r>
      <w:r w:rsidRPr="00D454CD">
        <w:rPr>
          <w:b/>
        </w:rPr>
        <w:fldChar w:fldCharType="begin"/>
      </w:r>
      <w:r w:rsidRPr="00D454CD">
        <w:rPr>
          <w:b/>
        </w:rPr>
        <w:instrText xml:space="preserve"> SEQ Fig._S \* ARABIC </w:instrText>
      </w:r>
      <w:r w:rsidRPr="00D454CD">
        <w:rPr>
          <w:b/>
        </w:rPr>
        <w:fldChar w:fldCharType="separate"/>
      </w:r>
      <w:r w:rsidR="003E237F">
        <w:rPr>
          <w:b/>
          <w:noProof/>
        </w:rPr>
        <w:t>5</w:t>
      </w:r>
      <w:r w:rsidRPr="00D454CD">
        <w:rPr>
          <w:b/>
        </w:rPr>
        <w:fldChar w:fldCharType="end"/>
      </w:r>
      <w:r w:rsidRPr="00D454CD">
        <w:rPr>
          <w:b/>
        </w:rPr>
        <w:t>.</w:t>
      </w:r>
      <w:r>
        <w:t xml:space="preserve"> Number of bacteria inside droplets. We scan the droplets after incubation to measure how many droplets we have, </w:t>
      </w:r>
      <m:oMath>
        <m:r>
          <w:rPr>
            <w:rFonts w:ascii="Cambria Math" w:hAnsi="Cambria Math"/>
          </w:rPr>
          <m:t>N,</m:t>
        </m:r>
      </m:oMath>
      <w:r>
        <w:rPr>
          <w:rFonts w:eastAsiaTheme="minorEastAsia"/>
        </w:rPr>
        <w:t xml:space="preserve"> and</w:t>
      </w:r>
      <w:r>
        <w:t xml:space="preserve"> the number of droplets which give a positive signal</w:t>
      </w:r>
      <w:proofErr w:type="gramStart"/>
      <w:r>
        <w:t xml:space="preserve">, </w:t>
      </w:r>
      <w:r>
        <w:rPr>
          <w:rFonts w:eastAsiaTheme="minorEastAsia"/>
        </w:rPr>
        <w:t xml:space="preserve"> </w:t>
      </w:r>
      <w:proofErr w:type="gramEnd"/>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m:t>
            </m:r>
          </m:sub>
        </m:sSub>
      </m:oMath>
      <w:r>
        <w:rPr>
          <w:rFonts w:eastAsiaTheme="minorEastAsia"/>
        </w:rPr>
        <w:t>.</w:t>
      </w:r>
      <w:r>
        <w:t xml:space="preserve"> The fraction of positive droplets is denoted by</w:t>
      </w:r>
      <w:proofErr w:type="gramStart"/>
      <w:r>
        <w:t>,</w:t>
      </w:r>
      <w:r>
        <w:rPr>
          <w:rFonts w:eastAsiaTheme="minorEastAsia"/>
        </w:rPr>
        <w:t xml:space="preserve"> </w:t>
      </w:r>
      <w:proofErr w:type="gramEnd"/>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m:t>
            </m:r>
          </m:sub>
        </m:sSub>
        <m:r>
          <w:rPr>
            <w:rFonts w:ascii="Cambria Math" w:eastAsiaTheme="minorEastAsia" w:hAnsi="Cambria Math"/>
          </w:rPr>
          <m:t>/N</m:t>
        </m:r>
      </m:oMath>
      <w:r>
        <w:rPr>
          <w:rFonts w:eastAsiaTheme="minorEastAsia"/>
        </w:rPr>
        <w:t xml:space="preserve">. In further </w:t>
      </w:r>
      <w:proofErr w:type="gramStart"/>
      <w:r>
        <w:rPr>
          <w:rFonts w:eastAsiaTheme="minorEastAsia"/>
        </w:rPr>
        <w:t>analysis</w:t>
      </w:r>
      <w:proofErr w:type="gramEnd"/>
      <w:r>
        <w:rPr>
          <w:rFonts w:eastAsiaTheme="minorEastAsia"/>
        </w:rPr>
        <w:t xml:space="preserve"> we assume that in each droplet there is a random number of bacteria after the initial emulsification. Therefore, there is the probability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oMath>
      <w:r>
        <w:rPr>
          <w:rFonts w:eastAsiaTheme="minorEastAsia"/>
        </w:rPr>
        <w:t xml:space="preserve"> that a droplet gives a positive signal (i.e. contains at least one bacterium after the emulsification) and the probability </w:t>
      </w:r>
      <m:oMath>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oMath>
      <w:r>
        <w:rPr>
          <w:rFonts w:eastAsiaTheme="minorEastAsia"/>
        </w:rPr>
        <w:t xml:space="preserve"> that a droplet gives a negative signal (contains no bacteria after the emulsification). From this perspective our experiment with droplets relies on performing </w:t>
      </w:r>
      <m:oMath>
        <m:r>
          <w:rPr>
            <w:rFonts w:ascii="Cambria Math" w:eastAsiaTheme="minorEastAsia" w:hAnsi="Cambria Math"/>
          </w:rPr>
          <m:t>N</m:t>
        </m:r>
      </m:oMath>
      <w:r>
        <w:rPr>
          <w:rFonts w:eastAsiaTheme="minorEastAsia"/>
        </w:rPr>
        <w:t xml:space="preserve"> Bernoulli trials with the probability of success equal </w:t>
      </w:r>
      <w:proofErr w:type="gramStart"/>
      <w:r>
        <w:rPr>
          <w:rFonts w:eastAsiaTheme="minorEastAsia"/>
        </w:rPr>
        <w:t xml:space="preserve">to </w:t>
      </w:r>
      <w:proofErr w:type="gramEnd"/>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oMath>
      <w:r>
        <w:rPr>
          <w:rFonts w:eastAsiaTheme="minorEastAsia"/>
        </w:rPr>
        <w:t xml:space="preserve">. It follows from the central limit theorem that in the limit of large number of droplets (i.e. large number of Bernoulli trials) the fraction of positive droplets have a Gaussian distribution with the average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oMath>
      <w:r>
        <w:rPr>
          <w:rFonts w:eastAsiaTheme="minorEastAsia"/>
        </w:rPr>
        <w:t xml:space="preserve"> and the </w:t>
      </w:r>
      <w:proofErr w:type="gramStart"/>
      <w:r>
        <w:rPr>
          <w:rFonts w:eastAsiaTheme="minorEastAsia"/>
        </w:rPr>
        <w:t xml:space="preserve">dispersion </w:t>
      </w:r>
      <w:proofErr w:type="gramEnd"/>
      <m:oMath>
        <m:r>
          <w:rPr>
            <w:rFonts w:ascii="Cambria Math" w:eastAsiaTheme="minorEastAsia" w:hAnsi="Cambria Math"/>
          </w:rPr>
          <m:t>σ_f_+  =√(</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r>
          <w:rPr>
            <w:rFonts w:ascii="Cambria Math" w:eastAsiaTheme="minorEastAsia" w:hAnsi="Cambria Math"/>
          </w:rPr>
          <m:t xml:space="preserve"> (1-</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r>
          <w:rPr>
            <w:rFonts w:ascii="Cambria Math" w:eastAsiaTheme="minorEastAsia" w:hAnsi="Cambria Math"/>
          </w:rPr>
          <m:t xml:space="preserve"> )/N)</m:t>
        </m:r>
      </m:oMath>
      <w:r>
        <w:rPr>
          <w:rFonts w:eastAsiaTheme="minorEastAsia"/>
        </w:rPr>
        <w:t>. T</w:t>
      </w:r>
      <w:r w:rsidRPr="0057361B">
        <w:rPr>
          <w:rFonts w:eastAsiaTheme="minorEastAsia"/>
        </w:rPr>
        <w:t xml:space="preserve">he central limit theorem cannot </w:t>
      </w:r>
      <w:r>
        <w:rPr>
          <w:rFonts w:eastAsiaTheme="minorEastAsia"/>
        </w:rPr>
        <w:t xml:space="preserve">be applied for the case when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r>
          <w:rPr>
            <w:rFonts w:ascii="Cambria Math" w:eastAsiaTheme="minorEastAsia" w:hAnsi="Cambria Math"/>
          </w:rPr>
          <m:t>=0</m:t>
        </m:r>
      </m:oMath>
      <w:r w:rsidRPr="0057361B">
        <w:rPr>
          <w:rFonts w:eastAsiaTheme="minorEastAsia"/>
        </w:rPr>
        <w:t xml:space="preserve"> </w:t>
      </w:r>
      <w:proofErr w:type="gramStart"/>
      <w:r>
        <w:rPr>
          <w:rFonts w:eastAsiaTheme="minorEastAsia"/>
        </w:rPr>
        <w:t>or</w:t>
      </w:r>
      <w:r w:rsidRPr="0057361B">
        <w:rPr>
          <w:rFonts w:eastAsiaTheme="minorEastAsia"/>
        </w:rPr>
        <w:t xml:space="preserve"> </w:t>
      </w:r>
      <w:proofErr w:type="gramEnd"/>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r>
          <w:rPr>
            <w:rFonts w:ascii="Cambria Math" w:eastAsiaTheme="minorEastAsia" w:hAnsi="Cambria Math"/>
          </w:rPr>
          <m:t>=1</m:t>
        </m:r>
      </m:oMath>
      <w:r w:rsidRPr="0057361B">
        <w:rPr>
          <w:rFonts w:eastAsiaTheme="minorEastAsia"/>
        </w:rPr>
        <w:t>.</w:t>
      </w:r>
      <w:r>
        <w:rPr>
          <w:rFonts w:eastAsiaTheme="minorEastAsia"/>
        </w:rPr>
        <w:t xml:space="preserve"> In this case we estimate error of the measurement of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oMath>
      <w:r>
        <w:rPr>
          <w:rFonts w:eastAsiaTheme="minorEastAsia"/>
        </w:rPr>
        <w:t xml:space="preserve"> using Bayesian inference by</w:t>
      </w:r>
      <w:proofErr w:type="gramStart"/>
      <w:r>
        <w:rPr>
          <w:rFonts w:eastAsiaTheme="minorEastAsia"/>
        </w:rPr>
        <w:t>,</w:t>
      </w:r>
      <w:r w:rsidRPr="0057361B">
        <w:rPr>
          <w:rFonts w:eastAsiaTheme="minorEastAsia"/>
        </w:rPr>
        <w:t xml:space="preserve"> </w:t>
      </w:r>
      <w:proofErr w:type="gramEnd"/>
      <m:oMath>
        <m:sSub>
          <m:sSubPr>
            <m:ctrlPr>
              <w:rPr>
                <w:rFonts w:ascii="Cambria Math" w:eastAsiaTheme="minorEastAsia" w:hAnsi="Cambria Math"/>
                <w:i/>
              </w:rPr>
            </m:ctrlPr>
          </m:sSubPr>
          <m:e>
            <m:r>
              <w:rPr>
                <w:rFonts w:ascii="Cambria Math" w:eastAsiaTheme="minorEastAsia" w:hAnsi="Cambria Math"/>
              </w:rPr>
              <m:t>σ</m:t>
            </m:r>
          </m:e>
          <m:sub>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sub>
        </m:sSub>
        <m:r>
          <w:rPr>
            <w:rFonts w:ascii="Cambria Math" w:eastAsiaTheme="minorEastAsia" w:hAnsi="Cambria Math"/>
          </w:rPr>
          <m:t>=1/N</m:t>
        </m:r>
      </m:oMath>
      <w:r>
        <w:rPr>
          <w:rFonts w:eastAsiaTheme="minorEastAsia"/>
        </w:rPr>
        <w:t>. The fraction of positive droplets can be used to calculate the average number of bacteria inside a droplet</w:t>
      </w:r>
      <w:proofErr w:type="gramStart"/>
      <w:r>
        <w:rPr>
          <w:rFonts w:eastAsiaTheme="minorEastAsia"/>
        </w:rPr>
        <w:t xml:space="preserve">, </w:t>
      </w:r>
      <w:proofErr w:type="gramEnd"/>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CFU</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bact</m:t>
            </m:r>
          </m:sub>
        </m:sSub>
        <m:r>
          <w:rPr>
            <w:rFonts w:ascii="Cambria Math" w:eastAsiaTheme="minorEastAsia" w:hAnsi="Cambria Math"/>
          </w:rPr>
          <m:t>/N</m:t>
        </m:r>
      </m:oMath>
      <w:r>
        <w:rPr>
          <w:rFonts w:eastAsiaTheme="minorEastAsia"/>
        </w:rPr>
        <w:t xml:space="preserve">, where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bact</m:t>
            </m:r>
          </m:sub>
        </m:sSub>
      </m:oMath>
      <w:r>
        <w:rPr>
          <w:rFonts w:eastAsiaTheme="minorEastAsia"/>
        </w:rPr>
        <w:t xml:space="preserve"> denotes total number of bacteria inside all droplets. It is possible after assumption that bacteria are closed in droplets according to Poisson statistics.</w:t>
      </w:r>
      <w:r>
        <w:fldChar w:fldCharType="begin" w:fldLock="1"/>
      </w:r>
      <w:r>
        <w:instrText>ADDIN CSL_CITATION {"citationItems":[{"id":"ITEM-1","itemData":{"DOI":"10.1039/C7LC00206H","ISSN":"1473-0197","author":[{"dropping-particle":"","family":"Scheler","given":"Ott","non-dropping-particle":"","parse-names":false,"suffix":""},{"dropping-particle":"","family":"Pacocha","given":"Natalia","non-dropping-particle":"","parse-names":false,"suffix":""},{"dropping-particle":"","family":"Debski","given":"Pawel Rafal","non-dropping-particle":"","parse-names":false,"suffix":""},{"dropping-particle":"","family":"Ruszczak","given":"Artur","non-dropping-particle":"","parse-names":false,"suffix":""},{"dropping-particle":"","family":"Kaminski","given":"Tomasz","non-dropping-particle":"","parse-names":false,"suffix":""},{"dropping-particle":"","family":"Garstecki","given":"Piotr","non-dropping-particle":"","parse-names":false,"suffix":""}],"container-title":"Lab Chip","id":"ITEM-1","issued":{"date-parts":[["2017"]]},"page":"1980-87","publisher":"Royal Society of Chemistry","title":"Optimized droplet digital CFU assay (ddCFU) provides precise quantification of bacteria over dynamic range of 6 logs and beyond","type":"article-journal","volume":"17"},"uris":["http://www.mendeley.com/documents/?uuid=6e4ab98c-e9a8-4743-a8b7-383aed37611c"]},{"id":"ITEM-2","itemData":{"DOI":"10.1016/j.bdq.2016.04.002","ISSN":"22147535","abstract":"We explain how to design classic digital assays, comprising identical partitions, in order to obtain the required precision of the estimate within a defined range of concentrations. The design, including the number and volume of partitions, depends significantly on whether the assay is to assess the concentration of the target analyte in the sample or in the source of the sample (e.g. a patient body) with a given precision. We also show how to translate the result referring to the concentration in the sample into the concentration in the source of the sample, including the significant change in the breath of the confidence intervals.","author":[{"dropping-particle":"","family":"Debski","given":"Pawel R.","non-dropping-particle":"","parse-names":false,"suffix":""},{"dropping-particle":"","family":"Garstecki","given":"P","non-dropping-particle":"","parse-names":false,"suffix":""}],"container-title":"Biomolecular Detection and Quantification","id":"ITEM-2","issued":{"date-parts":[["2016"]]},"page":"24-30","publisher":"Elsevier GmbH.","title":"Designing and interpretation of digital assays: Concentration of target in the sample and in the source of sample","type":"article-journal","volume":"10"},"uris":["http://www.mendeley.com/documents/?uuid=bff2e1ce-5109-4b58-951e-94228c37e390"]},{"id":"ITEM-3","itemData":{"DOI":"10.1016/j.snb.2018.05.047","ISBN":"9780692941836","ISSN":"09254005","abstract":"Antibiotic resistance has emerged as an imminent threat to public health. It is also increasingly recognized to be a heterogeneous phenomenon: a population of bacteria, found in vivo or in vitro, often consists of a mixture of cells that have different degrees of resistance to antibiotics. The conventional metric to measure antibiotic resistance based on an ensemble-average minimum inhibitory concentration (MIC) fails to characterize the heterogeneity present within a bacterial population. This work describes a droplet microfluidics method to encapsulate single cells from a population consisting of a mixture of antibiotic-sensitive and antibiotic-resistant bacteria. Co-encapsulating viability probe alamarBlue with the cells allows the use of fluorescent drops as a read-out for drops that contain live cells after their exposure to antibiotics. Enumerating the fluorescent drops thus gives the number of resistant cells in the population. Our method enables the quantitative phenotyping of heterogeneous resistance, or heteroresistance, with single-cell resolution. We show that it is possible to detect a resistant sub-population that comprises as low as 10−6of the entire population of cells. Such high resolution further allows us to measure the evolution of heteroresistance arising from the exposure of a homogeneous isogenic culture of susceptible cells to sub-lethal dosages of antibiotics. We demonstrate an application of this system to characterize genetic determinants of antimicrobial resistance emergence. The high resolution of phenotypic detection and quantification of minority variants demonstrated in this work has the potential to facilitate the elucidation of the mechanisms underlying heteroresistance. Such understanding will in turn inform the best practices for antibiotic use and containment of antimicrobial resistance in a wide range of settings from agriculture and aquaculture to disease management. Clinically, the ability to quantify and track the composition of a bacterial population will benefit the decision-making process in both the diagnosis and the treatment of bacterial infections, and will ultimately improve patient outcome and avert the spread of resistant populations.","author":[{"dropping-particle":"","family":"Lyu","given":"Fengjiao","non-dropping-particle":"","parse-names":false,"suffix":""},{"dropping-particle":"","family":"Pan","given":"Ming","non-dropping-particle":"","parse-names":false,"suffix":""},{"dropping-particle":"","family":"Patil","given":"Sunita","non-dropping-particle":"","parse-names":false,"suffix":""},{"dropping-particle":"","family":"Wang","given":"Jing-Hung","non-dropping-particle":"","parse-names":false,"suffix":""},{"dropping-particle":"","family":"Matin","given":"A. C.","non-dropping-particle":"","parse-names":false,"suffix":""},{"dropping-particle":"","family":"Andrews","given":"Jason R.","non-dropping-particle":"","parse-names":false,"suffix":""},{"dropping-particle":"","family":"Tang","given":"Sindy K.Y.","non-dropping-particle":"","parse-names":false,"suffix":""}],"container-title":"Sensors and Actuators, B: Chemical","id":"ITEM-3","issue":"February","issued":{"date-parts":[["2018"]]},"page":"396-404","publisher":"Elsevier","title":"Phenotyping antibiotic resistance with single-cell resolution for the detection of heteroresistance","type":"article-journal","volume":"270"},"uris":["http://www.mendeley.com/documents/?uuid=49215ce6-2b95-4ce5-ba18-c2193c7d82fa"]}],"mendeley":{"formattedCitation":"(4–6)","plainTextFormattedCitation":"(4–6)","previouslyFormattedCitation":"&lt;sup&gt;4–6&lt;/sup&gt;"},"properties":{"noteIndex":0},"schema":"https://github.com/citation-style-language/schema/raw/master/csl-citation.json"}</w:instrText>
      </w:r>
      <w:r>
        <w:fldChar w:fldCharType="separate"/>
      </w:r>
      <w:r w:rsidRPr="00BC5D29">
        <w:rPr>
          <w:noProof/>
        </w:rPr>
        <w:t>(4–6)</w:t>
      </w:r>
      <w:r>
        <w:fldChar w:fldCharType="end"/>
      </w:r>
      <w:r>
        <w:t xml:space="preserve"> It follows </w:t>
      </w:r>
      <w:proofErr w:type="gramStart"/>
      <w:r>
        <w:t>that</w:t>
      </w:r>
      <w:r>
        <w:rPr>
          <w:rFonts w:eastAsiaTheme="minorEastAsia"/>
        </w:rPr>
        <w:t xml:space="preserve"> </w:t>
      </w:r>
      <w:proofErr w:type="gramEnd"/>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CFU</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e>
        </m:d>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hAnsi="Cambria Math"/>
              </w:rPr>
              <m:t>ln</m:t>
            </m:r>
          </m:fName>
          <m:e>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r>
                  <w:rPr>
                    <w:rFonts w:ascii="Cambria Math" w:eastAsiaTheme="minorEastAsia" w:hAnsi="Cambria Math"/>
                  </w:rPr>
                  <m:t xml:space="preserve"> </m:t>
                </m:r>
              </m:e>
            </m:d>
          </m:e>
        </m:func>
      </m:oMath>
      <w:r>
        <w:rPr>
          <w:rFonts w:eastAsiaTheme="minorEastAsia"/>
        </w:rPr>
        <w:t xml:space="preserve">. For the interpretation of our data we use the average number of bacteria inside droplets which gives a positive signal,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CFU+</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bact</m:t>
            </m:r>
          </m:sub>
        </m:sSub>
        <m:r>
          <w:rPr>
            <w:rFonts w:ascii="Cambria Math" w:eastAsiaTheme="minorEastAsia" w:hAnsi="Cambria Math"/>
          </w:rPr>
          <m:t>/(N-</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m:t>
            </m:r>
          </m:sub>
        </m:sSub>
        <m:r>
          <w:rPr>
            <w:rFonts w:ascii="Cambria Math" w:eastAsiaTheme="minorEastAsia" w:hAnsi="Cambria Math"/>
          </w:rPr>
          <m:t xml:space="preserve">). </m:t>
        </m:r>
        <m:r>
          <w:rPr>
            <w:rFonts w:ascii="Cambria Math" w:eastAsiaTheme="minorEastAsia" w:hAnsi="Cambria Math"/>
            <w:vanish/>
          </w:rPr>
          <m:t xml:space="preserve">_l iven by iven by  signaledta we used nian statistics </m:t>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r>
          <m:rPr>
            <m:sty m:val="p"/>
          </m:rPr>
          <w:rPr>
            <w:rFonts w:ascii="Cambria Math" w:eastAsiaTheme="minorEastAsia" w:hAnsi="Cambria Math"/>
            <w:vanish/>
          </w:rPr>
          <w:pgNum/>
        </m:r>
      </m:oMath>
      <w:r>
        <w:rPr>
          <w:rFonts w:eastAsiaTheme="minorEastAsia"/>
        </w:rPr>
        <w:t xml:space="preserve"> In terms of the fraction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oMath>
      <w:r>
        <w:rPr>
          <w:rFonts w:eastAsiaTheme="minorEastAsia"/>
        </w:rPr>
        <w:t xml:space="preserve"> it is given by the following formula,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CFU+</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e>
        </m:d>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hAnsi="Cambria Math"/>
              </w:rPr>
              <m:t>ln</m:t>
            </m:r>
          </m:fName>
          <m:e>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e>
            </m:d>
          </m:e>
        </m:func>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oMath>
      <w:r>
        <w:rPr>
          <w:rFonts w:eastAsiaTheme="minorEastAsia"/>
        </w:rPr>
        <w:t xml:space="preserve">. The above formulas </w:t>
      </w:r>
      <w:proofErr w:type="gramStart"/>
      <w:r>
        <w:rPr>
          <w:rFonts w:eastAsiaTheme="minorEastAsia"/>
        </w:rPr>
        <w:t xml:space="preserve">are used to determine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CFU</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e>
        </m:d>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CFU+</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e>
        </m:d>
      </m:oMath>
      <w:r>
        <w:rPr>
          <w:rFonts w:eastAsiaTheme="minorEastAsia"/>
        </w:rPr>
        <w:t xml:space="preserve"> in our experiments shown in Fig. 1 from the main text</w:t>
      </w:r>
      <w:proofErr w:type="gramEnd"/>
      <w:r>
        <w:rPr>
          <w:rFonts w:eastAsiaTheme="minorEastAsia"/>
        </w:rPr>
        <w:t>. Their errors are determined from the error propagation formula</w:t>
      </w:r>
      <w:r>
        <w:rPr>
          <w:rFonts w:eastAsiaTheme="minorEastAsia"/>
        </w:rPr>
        <w:fldChar w:fldCharType="begin" w:fldLock="1"/>
      </w:r>
      <w:r>
        <w:rPr>
          <w:rFonts w:eastAsiaTheme="minorEastAsia"/>
        </w:rPr>
        <w:instrText>ADDIN CSL_CITATION {"citationItems":[{"id":"ITEM-1","itemData":{"author":[{"dropping-particle":"","family":"Taylor","given":"John","non-dropping-particle":"","parse-names":false,"suffix":""}],"id":"ITEM-1","issued":{"date-parts":[["1997"]]},"title":"Introduction to error analysis: The study of uncerntainties in physical measurements","type":"book"},"uris":["http://www.mendeley.com/documents/?uuid=49dbde95-10ec-4f7f-b699-e1f42b1e4459"]}],"mendeley":{"formattedCitation":"(7)","plainTextFormattedCitation":"(7)","previouslyFormattedCitation":"&lt;sup&gt;7&lt;/sup&gt;"},"properties":{"noteIndex":0},"schema":"https://github.com/citation-style-language/schema/raw/master/csl-citation.json"}</w:instrText>
      </w:r>
      <w:r>
        <w:rPr>
          <w:rFonts w:eastAsiaTheme="minorEastAsia"/>
        </w:rPr>
        <w:fldChar w:fldCharType="separate"/>
      </w:r>
      <w:r w:rsidRPr="00BC5D29">
        <w:rPr>
          <w:rFonts w:eastAsiaTheme="minorEastAsia"/>
          <w:noProof/>
        </w:rPr>
        <w:t>(7)</w:t>
      </w:r>
      <w:r>
        <w:rPr>
          <w:rFonts w:eastAsiaTheme="minorEastAsia"/>
        </w:rPr>
        <w:fldChar w:fldCharType="end"/>
      </w:r>
      <w:r>
        <w:rPr>
          <w:rFonts w:eastAsiaTheme="minorEastAsia"/>
        </w:rPr>
        <w:t xml:space="preserve"> and the error of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oMath>
      <w:r>
        <w:rPr>
          <w:rFonts w:eastAsiaTheme="minorEastAsia"/>
        </w:rPr>
        <w:t xml:space="preserve">, i.e. </w:t>
      </w:r>
      <m:oMath>
        <m:sSub>
          <m:sSubPr>
            <m:ctrlPr>
              <w:rPr>
                <w:rFonts w:ascii="Cambria Math" w:eastAsiaTheme="minorEastAsia" w:hAnsi="Cambria Math"/>
                <w:i/>
              </w:rPr>
            </m:ctrlPr>
          </m:sSubPr>
          <m:e>
            <m:r>
              <w:rPr>
                <w:rFonts w:ascii="Cambria Math" w:eastAsiaTheme="minorEastAsia" w:hAnsi="Cambria Math"/>
              </w:rPr>
              <m:t>σ</m:t>
            </m:r>
          </m:e>
          <m:sub>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sub>
        </m:sSub>
      </m:oMath>
      <w:r>
        <w:rPr>
          <w:rFonts w:eastAsiaTheme="minorEastAsia"/>
        </w:rPr>
        <w:t xml:space="preserve">. The above two expressions for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CFU</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e>
        </m:d>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CFU+</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t>
                </m:r>
              </m:sub>
            </m:sSub>
          </m:e>
        </m:d>
      </m:oMath>
      <w:r>
        <w:rPr>
          <w:rFonts w:eastAsiaTheme="minorEastAsia"/>
        </w:rPr>
        <w:t xml:space="preserve"> lead to the relation</w:t>
      </w:r>
      <m:oMath>
        <m:r>
          <m:rPr>
            <m:sty m:val="p"/>
          </m:rP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CFU+</m:t>
            </m:r>
          </m:sub>
        </m:sSub>
        <m:r>
          <m:rPr>
            <m:sty m:val="p"/>
          </m:rP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CFU</m:t>
            </m:r>
          </m:sub>
        </m:sSub>
        <m:r>
          <m:rPr>
            <m:sty m:val="p"/>
          </m:rPr>
          <w:rPr>
            <w:rFonts w:ascii="Cambria Math" w:eastAsiaTheme="minorEastAsia" w:hAnsi="Cambria Math"/>
          </w:rPr>
          <m:t>/</m:t>
        </m:r>
        <m:d>
          <m:dPr>
            <m:ctrlPr>
              <w:rPr>
                <w:rFonts w:ascii="Cambria Math" w:eastAsiaTheme="minorEastAsia" w:hAnsi="Cambria Math"/>
              </w:rPr>
            </m:ctrlPr>
          </m:dPr>
          <m:e>
            <m:r>
              <w:rPr>
                <w:rFonts w:ascii="Cambria Math" w:eastAsiaTheme="minorEastAsia" w:hAnsi="Cambria Math"/>
              </w:rPr>
              <m:t>1-exp</m:t>
            </m:r>
            <m:d>
              <m:dPr>
                <m:ctrlPr>
                  <w:rPr>
                    <w:rFonts w:ascii="Cambria Math" w:eastAsiaTheme="minorEastAsia" w:hAnsi="Cambria Math"/>
                    <w:i/>
                  </w:rPr>
                </m:ctrlPr>
              </m:d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CFU</m:t>
                    </m:r>
                  </m:sub>
                </m:sSub>
              </m:e>
            </m:d>
          </m:e>
        </m:d>
      </m:oMath>
      <w:r>
        <w:rPr>
          <w:rFonts w:eastAsiaTheme="minorEastAsia"/>
        </w:rPr>
        <w:t xml:space="preserve">. </w:t>
      </w:r>
      <w:r>
        <w:t xml:space="preserve">The above formula for average number of bacteria in droplets </w:t>
      </w:r>
      <w:proofErr w:type="gramStart"/>
      <w:r>
        <w:t>cannot be used</w:t>
      </w:r>
      <w:proofErr w:type="gramEnd"/>
      <w:r>
        <w:t xml:space="preserve"> when all droplets give a positive signal. It happens in some of our 16 dilutions. To calculate density in all dilutions, we assessed first only the libraries that contained less than 100% positive droplets (libraries 6-16). </w:t>
      </w:r>
      <w:r>
        <w:rPr>
          <w:rFonts w:eastAsiaTheme="minorEastAsia"/>
        </w:rPr>
        <w:t xml:space="preserve">For these </w:t>
      </w:r>
      <w:proofErr w:type="gramStart"/>
      <w:r>
        <w:rPr>
          <w:rFonts w:eastAsiaTheme="minorEastAsia"/>
        </w:rPr>
        <w:t>libraries</w:t>
      </w:r>
      <w:proofErr w:type="gramEnd"/>
      <w:r>
        <w:rPr>
          <w:rFonts w:eastAsiaTheme="minorEastAsia"/>
        </w:rPr>
        <w:t xml:space="preserve"> we determined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CFU</m:t>
            </m:r>
          </m:sub>
        </m:sSub>
      </m:oMath>
      <w:r>
        <w:rPr>
          <w:rFonts w:eastAsiaTheme="minorEastAsia"/>
        </w:rPr>
        <w:t xml:space="preserve"> values with errors using the method described in the previous paragraph. </w:t>
      </w:r>
      <w:r>
        <w:t>As the consecutive libraries were serially diluted, the estimated numbers of bacteria provide also the dilution ratio between the libraries</w:t>
      </w:r>
      <w:proofErr w:type="gramStart"/>
      <w:r>
        <w:t xml:space="preserve">, </w:t>
      </w:r>
      <w:proofErr w:type="gramEnd"/>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CFU,i</m:t>
            </m:r>
          </m:sub>
        </m:sSub>
        <m:r>
          <w:rPr>
            <w:rFonts w:ascii="Cambria Math" w:eastAsiaTheme="minorEastAsia" w:hAnsi="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i-1</m:t>
            </m:r>
          </m:sup>
        </m:sSup>
      </m:oMath>
      <w:r>
        <w:rPr>
          <w:rFonts w:eastAsiaTheme="minorEastAsia"/>
        </w:rPr>
        <w:t xml:space="preserve">. We calculate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1</m:t>
            </m:r>
          </m:sub>
        </m:sSub>
      </m:oMath>
      <w:r>
        <w:rPr>
          <w:rFonts w:eastAsiaTheme="minorEastAsia"/>
        </w:rPr>
        <w:t xml:space="preserve"> and </w:t>
      </w:r>
      <m:oMath>
        <m:r>
          <w:rPr>
            <w:rFonts w:ascii="Cambria Math" w:eastAsiaTheme="minorEastAsia" w:hAnsi="Cambria Math"/>
          </w:rPr>
          <m:t>x</m:t>
        </m:r>
      </m:oMath>
      <w:r>
        <w:rPr>
          <w:rFonts w:eastAsiaTheme="minorEastAsia"/>
        </w:rPr>
        <w:t xml:space="preserve"> parameters by fitting this curve to the numbers of bacteria (and their errors) obtained for the libraries 6-16 using least squares method. </w:t>
      </w:r>
      <w:r>
        <w:t xml:space="preserve">The estimated dilution ratio between the libraries was equal to </w:t>
      </w:r>
      <m:oMath>
        <m:r>
          <w:rPr>
            <w:rFonts w:ascii="Cambria Math" w:hAnsi="Cambria Math"/>
          </w:rPr>
          <m:t>x=2.23±0.03</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1</m:t>
            </m:r>
          </m:sub>
        </m:sSub>
        <m:r>
          <w:rPr>
            <w:rFonts w:ascii="Cambria Math" w:eastAsiaTheme="minorEastAsia" w:hAnsi="Cambria Math"/>
          </w:rPr>
          <m:t>=340±40</m:t>
        </m:r>
      </m:oMath>
      <w:r>
        <w:t xml:space="preserve"> which we use to calculate densities in all samples. For each experiment we also determine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CFU+</m:t>
            </m:r>
          </m:sub>
        </m:sSub>
      </m:oMath>
      <w:r>
        <w:rPr>
          <w:rFonts w:eastAsiaTheme="minorEastAsia"/>
        </w:rPr>
        <w:t xml:space="preserve"> from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CFU</m:t>
            </m:r>
          </m:sub>
        </m:sSub>
      </m:oMath>
      <w:r>
        <w:rPr>
          <w:rFonts w:eastAsiaTheme="minorEastAsia"/>
        </w:rPr>
        <w:t xml:space="preserve">  (and its error from the error propagation formula), as described at the end of the previous paragraph.</w:t>
      </w:r>
    </w:p>
    <w:p w14:paraId="14C4B9AA" w14:textId="77777777" w:rsidR="00D5596A" w:rsidRDefault="00D5596A">
      <w:pPr>
        <w:rPr>
          <w:rFonts w:ascii="Times New Roman" w:eastAsiaTheme="minorEastAsia" w:hAnsi="Times New Roman" w:cs="Times New Roman"/>
          <w:iCs/>
          <w:color w:val="000000" w:themeColor="text1"/>
          <w:szCs w:val="18"/>
        </w:rPr>
      </w:pPr>
      <w:r>
        <w:rPr>
          <w:rFonts w:eastAsiaTheme="minorEastAsia"/>
        </w:rPr>
        <w:br w:type="page"/>
      </w:r>
    </w:p>
    <w:p w14:paraId="5EC9F49A" w14:textId="77777777" w:rsidR="000E4537" w:rsidRDefault="000E4537" w:rsidP="000E4537">
      <w:pPr>
        <w:pStyle w:val="SIcaption"/>
        <w:keepNext/>
      </w:pPr>
      <w:r>
        <w:rPr>
          <w:rFonts w:eastAsiaTheme="minorEastAsia"/>
          <w:noProof/>
        </w:rPr>
        <w:lastRenderedPageBreak/>
        <w:drawing>
          <wp:inline distT="0" distB="0" distL="0" distR="0" wp14:anchorId="57A2631A" wp14:editId="1E27C9E4">
            <wp:extent cx="5760720" cy="3876960"/>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3876960"/>
                    </a:xfrm>
                    <a:prstGeom prst="rect">
                      <a:avLst/>
                    </a:prstGeom>
                    <a:noFill/>
                  </pic:spPr>
                </pic:pic>
              </a:graphicData>
            </a:graphic>
          </wp:inline>
        </w:drawing>
      </w:r>
    </w:p>
    <w:p w14:paraId="10F2E541" w14:textId="0A3476D7" w:rsidR="000E4537" w:rsidRDefault="000E4537" w:rsidP="000E4537">
      <w:pPr>
        <w:pStyle w:val="SIcaption"/>
        <w:rPr>
          <w:rFonts w:eastAsiaTheme="minorEastAsia"/>
        </w:rPr>
      </w:pPr>
      <w:r w:rsidRPr="000E4537">
        <w:rPr>
          <w:b/>
        </w:rPr>
        <w:t xml:space="preserve">Fig. S </w:t>
      </w:r>
      <w:r w:rsidRPr="000E4537">
        <w:rPr>
          <w:b/>
        </w:rPr>
        <w:fldChar w:fldCharType="begin"/>
      </w:r>
      <w:r w:rsidRPr="000E4537">
        <w:rPr>
          <w:b/>
        </w:rPr>
        <w:instrText xml:space="preserve"> SEQ Fig._S \* ARABIC </w:instrText>
      </w:r>
      <w:r w:rsidRPr="000E4537">
        <w:rPr>
          <w:b/>
        </w:rPr>
        <w:fldChar w:fldCharType="separate"/>
      </w:r>
      <w:r w:rsidR="003E237F">
        <w:rPr>
          <w:b/>
          <w:noProof/>
        </w:rPr>
        <w:t>6</w:t>
      </w:r>
      <w:r w:rsidRPr="000E4537">
        <w:rPr>
          <w:b/>
        </w:rPr>
        <w:fldChar w:fldCharType="end"/>
      </w:r>
      <w:r w:rsidRPr="000E4537">
        <w:rPr>
          <w:b/>
        </w:rPr>
        <w:t>.</w:t>
      </w:r>
      <w:r>
        <w:t xml:space="preserve"> Single cell MIC in color-coding experiments. </w:t>
      </w:r>
      <w:r w:rsidRPr="000E4537">
        <w:t xml:space="preserve">As described in the main text we perform experiments for sample with encapsulation rate λ≈0.18 shown in Fig. 1 and experiments for different λ with color coding technique described in Fig. 2 and 3. Because the latter experiments also contains </w:t>
      </w:r>
      <w:proofErr w:type="gramStart"/>
      <w:r w:rsidRPr="000E4537">
        <w:t>7</w:t>
      </w:r>
      <w:proofErr w:type="gramEnd"/>
      <w:r w:rsidRPr="000E4537">
        <w:t xml:space="preserve"> samples with small encapsulation ratios, λ≤0.25 which are appropriate for determination of single cell MICs, we use those experiments to determine probability distribution of individual MICs presented below.</w:t>
      </w:r>
      <w:r>
        <w:t xml:space="preserve"> </w:t>
      </w:r>
      <w:r>
        <w:rPr>
          <w:rFonts w:eastAsiaTheme="minorEastAsia"/>
        </w:rPr>
        <w:t xml:space="preserve">A) Viability fraction averaged over 7 experiments with encapsulation rates, </w:t>
      </w:r>
      <m:oMath>
        <m:r>
          <w:rPr>
            <w:rFonts w:ascii="Cambria Math" w:eastAsiaTheme="minorEastAsia" w:hAnsi="Cambria Math"/>
          </w:rPr>
          <m:t>λ=0.002, 0.004, 0.01, 0.022, 0.05, 0.011, 0.25.</m:t>
        </m:r>
      </m:oMath>
      <w:r>
        <w:rPr>
          <w:rFonts w:eastAsiaTheme="minorEastAsia"/>
        </w:rPr>
        <w:t xml:space="preserve"> Fit by Gompertz function with </w:t>
      </w:r>
      <w:proofErr w:type="gramStart"/>
      <w:r>
        <w:rPr>
          <w:rFonts w:eastAsiaTheme="minorEastAsia"/>
        </w:rPr>
        <w:t xml:space="preserve">parameters </w:t>
      </w:r>
      <w:proofErr w:type="gramEnd"/>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 xml:space="preserve">=0.84μg/ml, </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2</m:t>
            </m:r>
          </m:sub>
        </m:sSub>
        <m:r>
          <w:rPr>
            <w:rFonts w:ascii="Cambria Math" w:eastAsiaTheme="minorEastAsia" w:hAnsi="Cambria Math"/>
          </w:rPr>
          <m:t>=3.34</m:t>
        </m:r>
      </m:oMath>
      <w:r>
        <w:rPr>
          <w:rFonts w:eastAsiaTheme="minorEastAsia"/>
        </w:rPr>
        <w:t xml:space="preserve">. </w:t>
      </w:r>
      <w:proofErr w:type="gramStart"/>
      <w:r>
        <w:rPr>
          <w:rFonts w:eastAsiaTheme="minorEastAsia"/>
        </w:rPr>
        <w:t xml:space="preserve">B) Probability distribution obtained from the data in panel A determined by numerical derivative, as described in </w:t>
      </w:r>
      <w:r w:rsidR="00245817">
        <w:rPr>
          <w:rFonts w:eastAsiaTheme="minorEastAsia"/>
        </w:rPr>
        <w:t xml:space="preserve">Methods, </w:t>
      </w:r>
      <w:r w:rsidR="00245817" w:rsidRPr="00245817">
        <w:rPr>
          <w:rFonts w:eastAsiaTheme="minorEastAsia"/>
        </w:rPr>
        <w:t>MIC and MIA calculation</w:t>
      </w:r>
      <w:r w:rsidR="00245817">
        <w:rPr>
          <w:rFonts w:eastAsiaTheme="minorEastAsia"/>
        </w:rPr>
        <w:t xml:space="preserve"> part in main text,</w:t>
      </w:r>
      <w:r>
        <w:rPr>
          <w:rFonts w:eastAsiaTheme="minorEastAsia"/>
        </w:rPr>
        <w:t xml:space="preserve"> and from the fit presented in panel A. C) Comparison of probability distributions of individual MICs from panel B (red dashed line) and from experiments presented in Fig. 1 in the main text (black solid line).</w:t>
      </w:r>
      <w:proofErr w:type="gramEnd"/>
      <w:r>
        <w:rPr>
          <w:rFonts w:eastAsiaTheme="minorEastAsia"/>
        </w:rPr>
        <w:t xml:space="preserve"> D) Same as C, but rescaled by their average single cell MICs defined </w:t>
      </w:r>
      <w:proofErr w:type="gramStart"/>
      <w:r>
        <w:rPr>
          <w:rFonts w:eastAsiaTheme="minorEastAsia"/>
        </w:rPr>
        <w:t xml:space="preserve">by </w:t>
      </w:r>
      <w:proofErr w:type="gramEnd"/>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av</m:t>
            </m:r>
          </m:sub>
        </m:sSub>
        <m:r>
          <w:rPr>
            <w:rFonts w:ascii="Cambria Math" w:eastAsiaTheme="minorEastAsia" w:hAnsi="Cambria Math"/>
          </w:rPr>
          <m:t>≡</m:t>
        </m:r>
        <m:nary>
          <m:naryPr>
            <m:limLoc m:val="subSup"/>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m:t>
            </m:r>
          </m:sup>
          <m:e>
            <m:r>
              <w:rPr>
                <w:rFonts w:ascii="Cambria Math" w:eastAsiaTheme="minorEastAsia" w:hAnsi="Cambria Math"/>
              </w:rPr>
              <m:t>dc cp(c)</m:t>
            </m:r>
          </m:e>
        </m:nary>
      </m:oMath>
      <w:r>
        <w:rPr>
          <w:rFonts w:eastAsiaTheme="minorEastAsia"/>
        </w:rPr>
        <w:t xml:space="preserve">. Average single cell MIC for experiments in Fig 1, main text, is given </w:t>
      </w:r>
      <w:proofErr w:type="gramStart"/>
      <w:r>
        <w:rPr>
          <w:rFonts w:eastAsiaTheme="minorEastAsia"/>
        </w:rPr>
        <w:t xml:space="preserve">by </w:t>
      </w:r>
      <w:proofErr w:type="gramEnd"/>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av</m:t>
            </m:r>
          </m:sub>
        </m:sSub>
        <m:r>
          <w:rPr>
            <w:rFonts w:ascii="Cambria Math" w:eastAsiaTheme="minorEastAsia" w:hAnsi="Cambria Math"/>
          </w:rPr>
          <m:t>=0.29μg/ml</m:t>
        </m:r>
      </m:oMath>
      <w:r>
        <w:rPr>
          <w:rFonts w:eastAsiaTheme="minorEastAsia"/>
        </w:rPr>
        <w:t xml:space="preserve">, whereas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av</m:t>
            </m:r>
          </m:sub>
        </m:sSub>
        <m:r>
          <w:rPr>
            <w:rFonts w:ascii="Cambria Math" w:eastAsiaTheme="minorEastAsia" w:hAnsi="Cambria Math"/>
          </w:rPr>
          <m:t>=0.65μg/ml</m:t>
        </m:r>
      </m:oMath>
      <w:r>
        <w:rPr>
          <w:rFonts w:eastAsiaTheme="minorEastAsia"/>
        </w:rPr>
        <w:t xml:space="preserve"> for the data presented in panel A.</w:t>
      </w:r>
    </w:p>
    <w:p w14:paraId="6C0C6CFC" w14:textId="77777777" w:rsidR="000E4537" w:rsidRDefault="000E4537">
      <w:pPr>
        <w:rPr>
          <w:rFonts w:ascii="Times New Roman" w:eastAsiaTheme="minorEastAsia" w:hAnsi="Times New Roman" w:cs="Times New Roman"/>
          <w:iCs/>
          <w:color w:val="000000" w:themeColor="text1"/>
          <w:szCs w:val="18"/>
        </w:rPr>
      </w:pPr>
      <w:r>
        <w:rPr>
          <w:rFonts w:eastAsiaTheme="minorEastAsia"/>
        </w:rPr>
        <w:br w:type="page"/>
      </w:r>
    </w:p>
    <w:p w14:paraId="32BC84EE" w14:textId="77777777" w:rsidR="000E4537" w:rsidRDefault="000E4537" w:rsidP="000E4537">
      <w:pPr>
        <w:keepNext/>
      </w:pPr>
      <w:r>
        <w:rPr>
          <w:noProof/>
        </w:rPr>
        <w:lastRenderedPageBreak/>
        <w:drawing>
          <wp:inline distT="0" distB="0" distL="0" distR="0" wp14:anchorId="20221DF4" wp14:editId="72FD552E">
            <wp:extent cx="2834640" cy="1920240"/>
            <wp:effectExtent l="0" t="0" r="3810" b="3810"/>
            <wp:docPr id="14" name="Picture 14" descr="viability_E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ability_Eu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34640" cy="1920240"/>
                    </a:xfrm>
                    <a:prstGeom prst="rect">
                      <a:avLst/>
                    </a:prstGeom>
                    <a:noFill/>
                    <a:ln>
                      <a:noFill/>
                    </a:ln>
                  </pic:spPr>
                </pic:pic>
              </a:graphicData>
            </a:graphic>
          </wp:inline>
        </w:drawing>
      </w:r>
      <w:r>
        <w:rPr>
          <w:noProof/>
        </w:rPr>
        <w:drawing>
          <wp:inline distT="0" distB="0" distL="0" distR="0" wp14:anchorId="57E3CDA4" wp14:editId="0912B620">
            <wp:extent cx="2834640" cy="1920240"/>
            <wp:effectExtent l="0" t="0" r="3810" b="3810"/>
            <wp:docPr id="13" name="Picture 13" descr="prob_distr_Eun_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b_distr_Eun_20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34640" cy="1920240"/>
                    </a:xfrm>
                    <a:prstGeom prst="rect">
                      <a:avLst/>
                    </a:prstGeom>
                    <a:noFill/>
                    <a:ln>
                      <a:noFill/>
                    </a:ln>
                  </pic:spPr>
                </pic:pic>
              </a:graphicData>
            </a:graphic>
          </wp:inline>
        </w:drawing>
      </w:r>
    </w:p>
    <w:p w14:paraId="5954E8AA" w14:textId="27B9084E" w:rsidR="000E4537" w:rsidRDefault="000E4537" w:rsidP="000E4537">
      <w:pPr>
        <w:pStyle w:val="SIcaption"/>
      </w:pPr>
      <w:r w:rsidRPr="000E4537">
        <w:rPr>
          <w:b/>
        </w:rPr>
        <w:t xml:space="preserve">Fig. S </w:t>
      </w:r>
      <w:r w:rsidRPr="000E4537">
        <w:rPr>
          <w:b/>
        </w:rPr>
        <w:fldChar w:fldCharType="begin"/>
      </w:r>
      <w:r w:rsidRPr="000E4537">
        <w:rPr>
          <w:b/>
        </w:rPr>
        <w:instrText xml:space="preserve"> SEQ Fig._S \* ARABIC </w:instrText>
      </w:r>
      <w:r w:rsidRPr="000E4537">
        <w:rPr>
          <w:b/>
        </w:rPr>
        <w:fldChar w:fldCharType="separate"/>
      </w:r>
      <w:r w:rsidR="003E237F">
        <w:rPr>
          <w:b/>
          <w:noProof/>
        </w:rPr>
        <w:t>7</w:t>
      </w:r>
      <w:r w:rsidRPr="000E4537">
        <w:rPr>
          <w:b/>
        </w:rPr>
        <w:fldChar w:fldCharType="end"/>
      </w:r>
      <w:r w:rsidRPr="000E4537">
        <w:rPr>
          <w:b/>
        </w:rPr>
        <w:t>.</w:t>
      </w:r>
      <w:r>
        <w:t xml:space="preserve"> </w:t>
      </w:r>
      <w:proofErr w:type="spellStart"/>
      <w:r w:rsidRPr="000E4537">
        <w:t>Eun</w:t>
      </w:r>
      <w:proofErr w:type="spellEnd"/>
      <w:r w:rsidRPr="000E4537">
        <w:t xml:space="preserve"> et al</w:t>
      </w:r>
      <w:proofErr w:type="gramStart"/>
      <w:r w:rsidRPr="000E4537">
        <w:t>.(</w:t>
      </w:r>
      <w:proofErr w:type="gramEnd"/>
      <w:r w:rsidRPr="000E4537">
        <w:t xml:space="preserve">7) determined fraction of positive droplets for encapsulation rate, λ=0.1. Their data presented in Fig. 3(7) allow </w:t>
      </w:r>
      <w:proofErr w:type="gramStart"/>
      <w:r w:rsidRPr="000E4537">
        <w:t>to determine</w:t>
      </w:r>
      <w:proofErr w:type="gramEnd"/>
      <w:r w:rsidRPr="000E4537">
        <w:t xml:space="preserve"> normalized fraction of positive droplets and probability distribution with the method described in </w:t>
      </w:r>
      <w:r w:rsidR="0075147C">
        <w:t>this paper</w:t>
      </w:r>
      <w:r w:rsidRPr="000E4537">
        <w:t>.</w:t>
      </w:r>
    </w:p>
    <w:p w14:paraId="202C2B88" w14:textId="77777777" w:rsidR="000E4537" w:rsidRDefault="000E4537">
      <w:pPr>
        <w:rPr>
          <w:rFonts w:ascii="Times New Roman" w:hAnsi="Times New Roman" w:cs="Times New Roman"/>
          <w:iCs/>
          <w:color w:val="000000" w:themeColor="text1"/>
          <w:szCs w:val="18"/>
        </w:rPr>
      </w:pPr>
      <w:r>
        <w:br w:type="page"/>
      </w:r>
    </w:p>
    <w:p w14:paraId="5C8576F9" w14:textId="77777777" w:rsidR="00731006" w:rsidRDefault="000E4537" w:rsidP="00731006">
      <w:pPr>
        <w:pStyle w:val="SIcaption"/>
        <w:keepNext/>
      </w:pPr>
      <w:r w:rsidRPr="000E4537">
        <w:rPr>
          <w:noProof/>
        </w:rPr>
        <w:lastRenderedPageBreak/>
        <w:drawing>
          <wp:inline distT="0" distB="0" distL="0" distR="0" wp14:anchorId="02FC042D" wp14:editId="1EB2E8A7">
            <wp:extent cx="5760720" cy="687641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6876415"/>
                    </a:xfrm>
                    <a:prstGeom prst="rect">
                      <a:avLst/>
                    </a:prstGeom>
                  </pic:spPr>
                </pic:pic>
              </a:graphicData>
            </a:graphic>
          </wp:inline>
        </w:drawing>
      </w:r>
    </w:p>
    <w:p w14:paraId="2884E100" w14:textId="133984AD" w:rsidR="00132EBB" w:rsidRDefault="00731006" w:rsidP="00731006">
      <w:pPr>
        <w:pStyle w:val="SIcaption"/>
      </w:pPr>
      <w:r w:rsidRPr="00731006">
        <w:rPr>
          <w:b/>
        </w:rPr>
        <w:t xml:space="preserve">Fig. S </w:t>
      </w:r>
      <w:r w:rsidRPr="00731006">
        <w:rPr>
          <w:b/>
        </w:rPr>
        <w:fldChar w:fldCharType="begin"/>
      </w:r>
      <w:r w:rsidRPr="00731006">
        <w:rPr>
          <w:b/>
        </w:rPr>
        <w:instrText xml:space="preserve"> SEQ Fig._S \* ARABIC </w:instrText>
      </w:r>
      <w:r w:rsidRPr="00731006">
        <w:rPr>
          <w:b/>
        </w:rPr>
        <w:fldChar w:fldCharType="separate"/>
      </w:r>
      <w:r w:rsidR="003E237F">
        <w:rPr>
          <w:b/>
          <w:noProof/>
        </w:rPr>
        <w:t>8</w:t>
      </w:r>
      <w:r w:rsidRPr="00731006">
        <w:rPr>
          <w:b/>
        </w:rPr>
        <w:fldChar w:fldCharType="end"/>
      </w:r>
      <w:r w:rsidRPr="00731006">
        <w:rPr>
          <w:b/>
        </w:rPr>
        <w:t>.</w:t>
      </w:r>
      <w:r>
        <w:t xml:space="preserve"> Bacteria clumping analysis. </w:t>
      </w:r>
      <w:proofErr w:type="gramStart"/>
      <w:r>
        <w:t>A)Example</w:t>
      </w:r>
      <w:proofErr w:type="gramEnd"/>
      <w:r>
        <w:t xml:space="preserve"> of droplet fluorescence signal track in confocal microscope. B) </w:t>
      </w:r>
      <w:r w:rsidRPr="00731006">
        <w:t>We observed clumping of bacteria manifested as clusters of high-intensity pixels in conf</w:t>
      </w:r>
      <w:r>
        <w:t>ocal line-scan stack (</w:t>
      </w:r>
      <w:r w:rsidRPr="00731006">
        <w:rPr>
          <w:b/>
          <w:color w:val="FF0000"/>
        </w:rPr>
        <w:t>red arrow</w:t>
      </w:r>
      <w:r>
        <w:t>)</w:t>
      </w:r>
      <w:r w:rsidRPr="00731006">
        <w:t xml:space="preserve">. First, we noticed clumping in droplets of control “virtual array” without the addition of antibiotics. To quantify the clumping events in our experiments we measured </w:t>
      </w:r>
      <w:proofErr w:type="spellStart"/>
      <w:r w:rsidRPr="00731006">
        <w:t>i</w:t>
      </w:r>
      <w:proofErr w:type="spellEnd"/>
      <w:r w:rsidRPr="00731006">
        <w:t>) the existence of such high-intensity pixels in each droplet and ii) the relative size of each cluster if such event occurred in droplet.</w:t>
      </w:r>
      <w:r>
        <w:t xml:space="preserve"> C) </w:t>
      </w:r>
      <w:r w:rsidRPr="00731006">
        <w:t>Clumping events were analyzed using object count function in Nikon NIS softwa</w:t>
      </w:r>
      <w:r>
        <w:t>re with following settings</w:t>
      </w:r>
      <w:r w:rsidRPr="00731006">
        <w:t xml:space="preserve">. Thresholds: low (3000, threshold for high-intensity pixel) and high (4095, maximum signal), Smooth: OFF, Clean: OFF, Fill holes: ON, </w:t>
      </w:r>
      <w:proofErr w:type="gramStart"/>
      <w:r w:rsidRPr="00731006">
        <w:t>Separate:</w:t>
      </w:r>
      <w:proofErr w:type="gramEnd"/>
      <w:r w:rsidRPr="00731006">
        <w:t xml:space="preserve"> OFF. This measurement gives also shows the area of each clump (Ac)</w:t>
      </w:r>
      <w:r>
        <w:t xml:space="preserve">. D) </w:t>
      </w:r>
      <w:r w:rsidRPr="00731006">
        <w:t xml:space="preserve">Relative size of clumps (S) </w:t>
      </w:r>
      <w:proofErr w:type="gramStart"/>
      <w:r w:rsidRPr="00731006">
        <w:t>was measured</w:t>
      </w:r>
      <w:proofErr w:type="gramEnd"/>
      <w:r w:rsidRPr="00731006">
        <w:t xml:space="preserve"> as area of clump (Ac) / area of droplet (Ad). Droplet sizes (Ad) </w:t>
      </w:r>
      <w:proofErr w:type="gramStart"/>
      <w:r w:rsidRPr="00731006">
        <w:t>were measured</w:t>
      </w:r>
      <w:proofErr w:type="gramEnd"/>
      <w:r w:rsidRPr="00731006">
        <w:t xml:space="preserve"> using binary functi</w:t>
      </w:r>
      <w:r>
        <w:t>on with following settings</w:t>
      </w:r>
      <w:r w:rsidRPr="00731006">
        <w:t xml:space="preserve">. Thresholds: low (100, minimum signal) and high (4095, maximum signal), </w:t>
      </w:r>
      <w:proofErr w:type="gramStart"/>
      <w:r w:rsidRPr="00731006">
        <w:t>Smooth</w:t>
      </w:r>
      <w:proofErr w:type="gramEnd"/>
      <w:r w:rsidRPr="00731006">
        <w:t xml:space="preserve">: </w:t>
      </w:r>
      <w:r w:rsidRPr="00731006">
        <w:lastRenderedPageBreak/>
        <w:t>4x, Clean: 2x, Fill holes: ON, Separate: OFF.</w:t>
      </w:r>
      <w:r>
        <w:t xml:space="preserve"> We decided to measure clump size as relative to droplet size because the flow speed of droplets during imaging can fluctuate as the population of droplets pushed through the chip   decreases. Such flow fluctuation may cause small changes in the apparent droplet cross-section area in the image. Clumping is not caused by debris or dust in the growth </w:t>
      </w:r>
      <w:proofErr w:type="gramStart"/>
      <w:r>
        <w:t>media</w:t>
      </w:r>
      <w:proofErr w:type="gramEnd"/>
      <w:r>
        <w:t xml:space="preserve"> as there were no clumping events detected at the beginning of experiment at 0h before the incubation. E) In case of clumping, the droplet </w:t>
      </w:r>
      <w:proofErr w:type="gramStart"/>
      <w:r>
        <w:t>is usually dominated</w:t>
      </w:r>
      <w:proofErr w:type="gramEnd"/>
      <w:r>
        <w:t xml:space="preserve"> by a single dominant clump. We observed that with ~80% of the clumping events the size of the biggest clump (A</w:t>
      </w:r>
      <w:r>
        <w:rPr>
          <w:vertAlign w:val="subscript"/>
        </w:rPr>
        <w:t>c</w:t>
      </w:r>
      <w:r>
        <w:t>) was more than half of the total area of measured clumps (</w:t>
      </w:r>
      <w:proofErr w:type="spellStart"/>
      <w:r>
        <w:t>A</w:t>
      </w:r>
      <w:r>
        <w:rPr>
          <w:vertAlign w:val="subscript"/>
        </w:rPr>
        <w:t>sum</w:t>
      </w:r>
      <w:proofErr w:type="spellEnd"/>
      <w:r>
        <w:t>). The dominance of a single clump was similarly near 80% in all bacteria inoculum densities (</w:t>
      </w:r>
      <w:r w:rsidRPr="007C6AFA">
        <w:rPr>
          <w:b/>
          <w:color w:val="FF0000"/>
        </w:rPr>
        <w:t>red dots</w:t>
      </w:r>
      <w:r>
        <w:t xml:space="preserve"> on the graph). </w:t>
      </w:r>
      <w:r w:rsidRPr="007C6AFA">
        <w:rPr>
          <w:b/>
          <w:color w:val="0000FF"/>
        </w:rPr>
        <w:t>Blue dot</w:t>
      </w:r>
      <w:r>
        <w:t xml:space="preserve"> shows the average of red dots with respective standard deviation as error bars. F) </w:t>
      </w:r>
      <w:r w:rsidRPr="00901054">
        <w:t>The clumping was extremely intensive in certain fraction of droplets an</w:t>
      </w:r>
      <w:r>
        <w:t xml:space="preserve">d this fraction </w:t>
      </w:r>
      <w:proofErr w:type="gramStart"/>
      <w:r>
        <w:t>is shown</w:t>
      </w:r>
      <w:proofErr w:type="gramEnd"/>
      <w:r>
        <w:t xml:space="preserve"> on the figure</w:t>
      </w:r>
      <w:r w:rsidRPr="00901054">
        <w:t xml:space="preserve"> as top 90 decile of clump sizes in droplets. In our following </w:t>
      </w:r>
      <w:proofErr w:type="gramStart"/>
      <w:r w:rsidRPr="00901054">
        <w:t>analysis</w:t>
      </w:r>
      <w:proofErr w:type="gramEnd"/>
      <w:r w:rsidRPr="00901054">
        <w:t xml:space="preserve"> we use the 90th decile value (clump size ~1.06%) as a threshold for </w:t>
      </w:r>
      <w:r>
        <w:t>“</w:t>
      </w:r>
      <w:r w:rsidRPr="00901054">
        <w:t>intensive clumping</w:t>
      </w:r>
      <w:r>
        <w:t>”</w:t>
      </w:r>
      <w:r w:rsidRPr="00901054">
        <w:t>.</w:t>
      </w:r>
      <w:r w:rsidRPr="00731006">
        <w:t xml:space="preserve"> </w:t>
      </w:r>
      <w:r>
        <w:t xml:space="preserve">The same analysis criteria </w:t>
      </w:r>
      <w:proofErr w:type="gramStart"/>
      <w:r>
        <w:t>were then used</w:t>
      </w:r>
      <w:proofErr w:type="gramEnd"/>
      <w:r>
        <w:t xml:space="preserve"> to measure clumping in virtual array experiments with different antibiotic concentrations.</w:t>
      </w:r>
    </w:p>
    <w:p w14:paraId="2CE034D0" w14:textId="77777777" w:rsidR="00132EBB" w:rsidRDefault="00132EBB">
      <w:pPr>
        <w:rPr>
          <w:rFonts w:ascii="Times New Roman" w:hAnsi="Times New Roman" w:cs="Times New Roman"/>
          <w:iCs/>
          <w:color w:val="000000" w:themeColor="text1"/>
          <w:szCs w:val="18"/>
        </w:rPr>
      </w:pPr>
      <w:r>
        <w:br w:type="page"/>
      </w:r>
    </w:p>
    <w:p w14:paraId="1334E770" w14:textId="77777777" w:rsidR="00132EBB" w:rsidRDefault="00132EBB" w:rsidP="00132EBB">
      <w:pPr>
        <w:pStyle w:val="SIcaption"/>
        <w:keepNext/>
      </w:pPr>
      <w:r w:rsidRPr="00F10F71">
        <w:rPr>
          <w:noProof/>
        </w:rPr>
        <w:lastRenderedPageBreak/>
        <w:drawing>
          <wp:inline distT="0" distB="0" distL="0" distR="0" wp14:anchorId="3102EF00" wp14:editId="25B08508">
            <wp:extent cx="5760720" cy="1802687"/>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1802687"/>
                    </a:xfrm>
                    <a:prstGeom prst="rect">
                      <a:avLst/>
                    </a:prstGeom>
                    <a:noFill/>
                    <a:ln>
                      <a:noFill/>
                    </a:ln>
                  </pic:spPr>
                </pic:pic>
              </a:graphicData>
            </a:graphic>
          </wp:inline>
        </w:drawing>
      </w:r>
    </w:p>
    <w:p w14:paraId="3CED29C0" w14:textId="2D0AE5C2" w:rsidR="000E4537" w:rsidRDefault="00132EBB" w:rsidP="00132EBB">
      <w:pPr>
        <w:pStyle w:val="SIcaption"/>
      </w:pPr>
      <w:r w:rsidRPr="00132EBB">
        <w:rPr>
          <w:b/>
        </w:rPr>
        <w:t xml:space="preserve">Table S </w:t>
      </w:r>
      <w:r w:rsidRPr="00132EBB">
        <w:rPr>
          <w:b/>
        </w:rPr>
        <w:fldChar w:fldCharType="begin"/>
      </w:r>
      <w:r w:rsidRPr="00132EBB">
        <w:rPr>
          <w:b/>
        </w:rPr>
        <w:instrText xml:space="preserve"> SEQ Table_S \* ARABIC </w:instrText>
      </w:r>
      <w:r w:rsidRPr="00132EBB">
        <w:rPr>
          <w:b/>
        </w:rPr>
        <w:fldChar w:fldCharType="separate"/>
      </w:r>
      <w:r w:rsidR="003E237F">
        <w:rPr>
          <w:b/>
          <w:noProof/>
        </w:rPr>
        <w:t>3</w:t>
      </w:r>
      <w:r w:rsidRPr="00132EBB">
        <w:rPr>
          <w:b/>
        </w:rPr>
        <w:fldChar w:fldCharType="end"/>
      </w:r>
      <w:r w:rsidRPr="00132EBB">
        <w:rPr>
          <w:b/>
        </w:rPr>
        <w:t>.</w:t>
      </w:r>
      <w:r>
        <w:t xml:space="preserve"> Table showing the data about the percentage of droplets where bacteria demonstrated intensive clumping.</w:t>
      </w:r>
    </w:p>
    <w:p w14:paraId="2CEEC690" w14:textId="77777777" w:rsidR="00132EBB" w:rsidRDefault="00132EBB" w:rsidP="00132EBB">
      <w:pPr>
        <w:pStyle w:val="SIcaption"/>
        <w:keepNext/>
      </w:pPr>
      <w:r w:rsidRPr="00F10F71">
        <w:rPr>
          <w:noProof/>
        </w:rPr>
        <w:drawing>
          <wp:inline distT="0" distB="0" distL="0" distR="0" wp14:anchorId="50A7632B" wp14:editId="14FE6146">
            <wp:extent cx="5760720" cy="1802687"/>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1802687"/>
                    </a:xfrm>
                    <a:prstGeom prst="rect">
                      <a:avLst/>
                    </a:prstGeom>
                    <a:noFill/>
                    <a:ln>
                      <a:noFill/>
                    </a:ln>
                  </pic:spPr>
                </pic:pic>
              </a:graphicData>
            </a:graphic>
          </wp:inline>
        </w:drawing>
      </w:r>
    </w:p>
    <w:p w14:paraId="3CEECCBA" w14:textId="50C01CAC" w:rsidR="00132EBB" w:rsidRDefault="00132EBB" w:rsidP="00132EBB">
      <w:pPr>
        <w:pStyle w:val="SIcaption"/>
      </w:pPr>
      <w:r w:rsidRPr="00132EBB">
        <w:rPr>
          <w:b/>
        </w:rPr>
        <w:t xml:space="preserve">Table S </w:t>
      </w:r>
      <w:r w:rsidRPr="00132EBB">
        <w:rPr>
          <w:b/>
        </w:rPr>
        <w:fldChar w:fldCharType="begin"/>
      </w:r>
      <w:r w:rsidRPr="00132EBB">
        <w:rPr>
          <w:b/>
        </w:rPr>
        <w:instrText xml:space="preserve"> SEQ Table_S \* ARABIC </w:instrText>
      </w:r>
      <w:r w:rsidRPr="00132EBB">
        <w:rPr>
          <w:b/>
        </w:rPr>
        <w:fldChar w:fldCharType="separate"/>
      </w:r>
      <w:r w:rsidR="003E237F">
        <w:rPr>
          <w:b/>
          <w:noProof/>
        </w:rPr>
        <w:t>4</w:t>
      </w:r>
      <w:r w:rsidRPr="00132EBB">
        <w:rPr>
          <w:b/>
        </w:rPr>
        <w:fldChar w:fldCharType="end"/>
      </w:r>
      <w:r w:rsidRPr="00132EBB">
        <w:rPr>
          <w:b/>
        </w:rPr>
        <w:t>.</w:t>
      </w:r>
      <w:r>
        <w:t xml:space="preserve"> Table showing the average relative size of clumps in droplets, calculated as the percentage of droplet area. Relative size of clumps (S) </w:t>
      </w:r>
      <w:proofErr w:type="gramStart"/>
      <w:r>
        <w:t>was measured</w:t>
      </w:r>
      <w:proofErr w:type="gramEnd"/>
      <w:r>
        <w:t xml:space="preserve"> as area of clump (A</w:t>
      </w:r>
      <w:r w:rsidRPr="001E1474">
        <w:rPr>
          <w:vertAlign w:val="subscript"/>
        </w:rPr>
        <w:t>c</w:t>
      </w:r>
      <w:r w:rsidRPr="001E1474">
        <w:t>)</w:t>
      </w:r>
      <w:r>
        <w:t xml:space="preserve"> / area of droplet (A</w:t>
      </w:r>
      <w:r w:rsidRPr="001E1474">
        <w:rPr>
          <w:vertAlign w:val="subscript"/>
        </w:rPr>
        <w:t>d</w:t>
      </w:r>
      <w:r>
        <w:t>).</w:t>
      </w:r>
    </w:p>
    <w:p w14:paraId="24BB91F6" w14:textId="2B6656B6" w:rsidR="0090558B" w:rsidRPr="0090558B" w:rsidRDefault="0090558B" w:rsidP="00132EBB">
      <w:pPr>
        <w:pStyle w:val="SIcaption"/>
        <w:rPr>
          <w:b/>
        </w:rPr>
      </w:pPr>
      <w:r w:rsidRPr="0090558B">
        <w:rPr>
          <w:b/>
        </w:rPr>
        <w:t>References</w:t>
      </w:r>
    </w:p>
    <w:p w14:paraId="4648D2CA" w14:textId="77777777" w:rsidR="0090558B" w:rsidRPr="0090558B" w:rsidRDefault="0090558B" w:rsidP="0090558B">
      <w:pPr>
        <w:pStyle w:val="SIcaption"/>
        <w:rPr>
          <w:rFonts w:eastAsiaTheme="minorEastAsia"/>
        </w:rPr>
      </w:pPr>
      <w:r w:rsidRPr="0090558B">
        <w:rPr>
          <w:rFonts w:eastAsiaTheme="minorEastAsia"/>
        </w:rPr>
        <w:t xml:space="preserve">1. </w:t>
      </w:r>
      <w:r w:rsidRPr="0090558B">
        <w:rPr>
          <w:rFonts w:eastAsiaTheme="minorEastAsia"/>
        </w:rPr>
        <w:tab/>
        <w:t xml:space="preserve">Li W, et al. (2008) Simultaneous generation of droplets with different dimensions in </w:t>
      </w:r>
      <w:proofErr w:type="gramStart"/>
      <w:r w:rsidRPr="0090558B">
        <w:rPr>
          <w:rFonts w:eastAsiaTheme="minorEastAsia"/>
        </w:rPr>
        <w:t>parallel integrated</w:t>
      </w:r>
      <w:proofErr w:type="gramEnd"/>
      <w:r w:rsidRPr="0090558B">
        <w:rPr>
          <w:rFonts w:eastAsiaTheme="minorEastAsia"/>
        </w:rPr>
        <w:t xml:space="preserve"> microfluidic droplet generators. Soft Matter 4(2):258.</w:t>
      </w:r>
    </w:p>
    <w:p w14:paraId="72CB65B3" w14:textId="77777777" w:rsidR="0090558B" w:rsidRPr="0090558B" w:rsidRDefault="0090558B" w:rsidP="0090558B">
      <w:pPr>
        <w:pStyle w:val="SIcaption"/>
        <w:rPr>
          <w:rFonts w:eastAsiaTheme="minorEastAsia"/>
        </w:rPr>
      </w:pPr>
      <w:r w:rsidRPr="0090558B">
        <w:rPr>
          <w:rFonts w:eastAsiaTheme="minorEastAsia"/>
        </w:rPr>
        <w:t xml:space="preserve">2. </w:t>
      </w:r>
      <w:r w:rsidRPr="0090558B">
        <w:rPr>
          <w:rFonts w:eastAsiaTheme="minorEastAsia"/>
        </w:rPr>
        <w:tab/>
        <w:t xml:space="preserve">Kaminski TS, </w:t>
      </w:r>
      <w:proofErr w:type="spellStart"/>
      <w:r w:rsidRPr="0090558B">
        <w:rPr>
          <w:rFonts w:eastAsiaTheme="minorEastAsia"/>
        </w:rPr>
        <w:t>Jakiela</w:t>
      </w:r>
      <w:proofErr w:type="spellEnd"/>
      <w:r w:rsidRPr="0090558B">
        <w:rPr>
          <w:rFonts w:eastAsiaTheme="minorEastAsia"/>
        </w:rPr>
        <w:t xml:space="preserve"> S, </w:t>
      </w:r>
      <w:proofErr w:type="spellStart"/>
      <w:r w:rsidRPr="0090558B">
        <w:rPr>
          <w:rFonts w:eastAsiaTheme="minorEastAsia"/>
        </w:rPr>
        <w:t>Czekalska</w:t>
      </w:r>
      <w:proofErr w:type="spellEnd"/>
      <w:r w:rsidRPr="0090558B">
        <w:rPr>
          <w:rFonts w:eastAsiaTheme="minorEastAsia"/>
        </w:rPr>
        <w:t xml:space="preserve"> MA, </w:t>
      </w:r>
      <w:proofErr w:type="spellStart"/>
      <w:r w:rsidRPr="0090558B">
        <w:rPr>
          <w:rFonts w:eastAsiaTheme="minorEastAsia"/>
        </w:rPr>
        <w:t>Postek</w:t>
      </w:r>
      <w:proofErr w:type="spellEnd"/>
      <w:r w:rsidRPr="0090558B">
        <w:rPr>
          <w:rFonts w:eastAsiaTheme="minorEastAsia"/>
        </w:rPr>
        <w:t xml:space="preserve"> W, </w:t>
      </w:r>
      <w:proofErr w:type="spellStart"/>
      <w:r w:rsidRPr="0090558B">
        <w:rPr>
          <w:rFonts w:eastAsiaTheme="minorEastAsia"/>
        </w:rPr>
        <w:t>Garstecki</w:t>
      </w:r>
      <w:proofErr w:type="spellEnd"/>
      <w:r w:rsidRPr="0090558B">
        <w:rPr>
          <w:rFonts w:eastAsiaTheme="minorEastAsia"/>
        </w:rPr>
        <w:t xml:space="preserve"> P (2012) Automated generation of libraries of </w:t>
      </w:r>
      <w:proofErr w:type="spellStart"/>
      <w:r w:rsidRPr="0090558B">
        <w:rPr>
          <w:rFonts w:eastAsiaTheme="minorEastAsia"/>
        </w:rPr>
        <w:t>nL</w:t>
      </w:r>
      <w:proofErr w:type="spellEnd"/>
      <w:r w:rsidRPr="0090558B">
        <w:rPr>
          <w:rFonts w:eastAsiaTheme="minorEastAsia"/>
        </w:rPr>
        <w:t xml:space="preserve"> droplets. Lab Chip 12:3995–4002.</w:t>
      </w:r>
    </w:p>
    <w:p w14:paraId="00096776" w14:textId="77777777" w:rsidR="0090558B" w:rsidRPr="0090558B" w:rsidRDefault="0090558B" w:rsidP="0090558B">
      <w:pPr>
        <w:pStyle w:val="SIcaption"/>
        <w:rPr>
          <w:rFonts w:eastAsiaTheme="minorEastAsia"/>
        </w:rPr>
      </w:pPr>
      <w:r w:rsidRPr="0090558B">
        <w:rPr>
          <w:rFonts w:eastAsiaTheme="minorEastAsia"/>
        </w:rPr>
        <w:t xml:space="preserve">3. </w:t>
      </w:r>
      <w:r w:rsidRPr="0090558B">
        <w:rPr>
          <w:rFonts w:eastAsiaTheme="minorEastAsia"/>
        </w:rPr>
        <w:tab/>
      </w:r>
      <w:proofErr w:type="spellStart"/>
      <w:r w:rsidRPr="0090558B">
        <w:rPr>
          <w:rFonts w:eastAsiaTheme="minorEastAsia"/>
        </w:rPr>
        <w:t>Nie</w:t>
      </w:r>
      <w:proofErr w:type="spellEnd"/>
      <w:r w:rsidRPr="0090558B">
        <w:rPr>
          <w:rFonts w:eastAsiaTheme="minorEastAsia"/>
        </w:rPr>
        <w:t xml:space="preserve"> Z, et al. (2008) Emulsification in a microfluidic flow-focusing device: Effect of the viscosities of the liquids. </w:t>
      </w:r>
      <w:proofErr w:type="spellStart"/>
      <w:r w:rsidRPr="0090558B">
        <w:rPr>
          <w:rFonts w:eastAsiaTheme="minorEastAsia"/>
        </w:rPr>
        <w:t>Microfluid</w:t>
      </w:r>
      <w:proofErr w:type="spellEnd"/>
      <w:r w:rsidRPr="0090558B">
        <w:rPr>
          <w:rFonts w:eastAsiaTheme="minorEastAsia"/>
        </w:rPr>
        <w:t xml:space="preserve"> </w:t>
      </w:r>
      <w:proofErr w:type="spellStart"/>
      <w:r w:rsidRPr="0090558B">
        <w:rPr>
          <w:rFonts w:eastAsiaTheme="minorEastAsia"/>
        </w:rPr>
        <w:t>Nanofluidics</w:t>
      </w:r>
      <w:proofErr w:type="spellEnd"/>
      <w:r w:rsidRPr="0090558B">
        <w:rPr>
          <w:rFonts w:eastAsiaTheme="minorEastAsia"/>
        </w:rPr>
        <w:t xml:space="preserve"> 5:585–594.</w:t>
      </w:r>
    </w:p>
    <w:p w14:paraId="03D2CED8" w14:textId="77777777" w:rsidR="0090558B" w:rsidRPr="0090558B" w:rsidRDefault="0090558B" w:rsidP="0090558B">
      <w:pPr>
        <w:pStyle w:val="SIcaption"/>
        <w:rPr>
          <w:rFonts w:eastAsiaTheme="minorEastAsia"/>
        </w:rPr>
      </w:pPr>
      <w:r w:rsidRPr="0090558B">
        <w:rPr>
          <w:rFonts w:eastAsiaTheme="minorEastAsia"/>
        </w:rPr>
        <w:t xml:space="preserve">4. </w:t>
      </w:r>
      <w:r w:rsidRPr="0090558B">
        <w:rPr>
          <w:rFonts w:eastAsiaTheme="minorEastAsia"/>
        </w:rPr>
        <w:tab/>
        <w:t>Scheler O, et al. (2017) Optimized droplet digital CFU assay (</w:t>
      </w:r>
      <w:proofErr w:type="spellStart"/>
      <w:r w:rsidRPr="0090558B">
        <w:rPr>
          <w:rFonts w:eastAsiaTheme="minorEastAsia"/>
        </w:rPr>
        <w:t>ddCFU</w:t>
      </w:r>
      <w:proofErr w:type="spellEnd"/>
      <w:r w:rsidRPr="0090558B">
        <w:rPr>
          <w:rFonts w:eastAsiaTheme="minorEastAsia"/>
        </w:rPr>
        <w:t xml:space="preserve">) provides precise quantification of bacteria over dynamic range of </w:t>
      </w:r>
      <w:proofErr w:type="gramStart"/>
      <w:r w:rsidRPr="0090558B">
        <w:rPr>
          <w:rFonts w:eastAsiaTheme="minorEastAsia"/>
        </w:rPr>
        <w:t>6</w:t>
      </w:r>
      <w:proofErr w:type="gramEnd"/>
      <w:r w:rsidRPr="0090558B">
        <w:rPr>
          <w:rFonts w:eastAsiaTheme="minorEastAsia"/>
        </w:rPr>
        <w:t xml:space="preserve"> logs and beyond. Lab Chip 17:1980–87.</w:t>
      </w:r>
    </w:p>
    <w:p w14:paraId="4955F80E" w14:textId="77777777" w:rsidR="0090558B" w:rsidRPr="0090558B" w:rsidRDefault="0090558B" w:rsidP="0090558B">
      <w:pPr>
        <w:pStyle w:val="SIcaption"/>
        <w:rPr>
          <w:rFonts w:eastAsiaTheme="minorEastAsia"/>
        </w:rPr>
      </w:pPr>
      <w:r w:rsidRPr="0090558B">
        <w:rPr>
          <w:rFonts w:eastAsiaTheme="minorEastAsia"/>
        </w:rPr>
        <w:t xml:space="preserve">5. </w:t>
      </w:r>
      <w:r w:rsidRPr="0090558B">
        <w:rPr>
          <w:rFonts w:eastAsiaTheme="minorEastAsia"/>
        </w:rPr>
        <w:tab/>
      </w:r>
      <w:proofErr w:type="spellStart"/>
      <w:r w:rsidRPr="0090558B">
        <w:rPr>
          <w:rFonts w:eastAsiaTheme="minorEastAsia"/>
        </w:rPr>
        <w:t>Debski</w:t>
      </w:r>
      <w:proofErr w:type="spellEnd"/>
      <w:r w:rsidRPr="0090558B">
        <w:rPr>
          <w:rFonts w:eastAsiaTheme="minorEastAsia"/>
        </w:rPr>
        <w:t xml:space="preserve"> PR, </w:t>
      </w:r>
      <w:proofErr w:type="spellStart"/>
      <w:r w:rsidRPr="0090558B">
        <w:rPr>
          <w:rFonts w:eastAsiaTheme="minorEastAsia"/>
        </w:rPr>
        <w:t>Garstecki</w:t>
      </w:r>
      <w:proofErr w:type="spellEnd"/>
      <w:r w:rsidRPr="0090558B">
        <w:rPr>
          <w:rFonts w:eastAsiaTheme="minorEastAsia"/>
        </w:rPr>
        <w:t xml:space="preserve"> P (2016) Designing and interpretation of digital assays: Concentration of target in the sample and in the source of sample. </w:t>
      </w:r>
      <w:proofErr w:type="spellStart"/>
      <w:r w:rsidRPr="0090558B">
        <w:rPr>
          <w:rFonts w:eastAsiaTheme="minorEastAsia"/>
        </w:rPr>
        <w:t>Biomol</w:t>
      </w:r>
      <w:proofErr w:type="spellEnd"/>
      <w:r w:rsidRPr="0090558B">
        <w:rPr>
          <w:rFonts w:eastAsiaTheme="minorEastAsia"/>
        </w:rPr>
        <w:t xml:space="preserve"> Detect </w:t>
      </w:r>
      <w:proofErr w:type="spellStart"/>
      <w:r w:rsidRPr="0090558B">
        <w:rPr>
          <w:rFonts w:eastAsiaTheme="minorEastAsia"/>
        </w:rPr>
        <w:t>Quantif</w:t>
      </w:r>
      <w:proofErr w:type="spellEnd"/>
      <w:r w:rsidRPr="0090558B">
        <w:rPr>
          <w:rFonts w:eastAsiaTheme="minorEastAsia"/>
        </w:rPr>
        <w:t xml:space="preserve"> 10:24–30.</w:t>
      </w:r>
    </w:p>
    <w:p w14:paraId="021A1271" w14:textId="77777777" w:rsidR="0090558B" w:rsidRPr="0090558B" w:rsidRDefault="0090558B" w:rsidP="0090558B">
      <w:pPr>
        <w:pStyle w:val="SIcaption"/>
        <w:rPr>
          <w:rFonts w:eastAsiaTheme="minorEastAsia"/>
        </w:rPr>
      </w:pPr>
      <w:r w:rsidRPr="0090558B">
        <w:rPr>
          <w:rFonts w:eastAsiaTheme="minorEastAsia"/>
        </w:rPr>
        <w:t xml:space="preserve">6. </w:t>
      </w:r>
      <w:r w:rsidRPr="0090558B">
        <w:rPr>
          <w:rFonts w:eastAsiaTheme="minorEastAsia"/>
        </w:rPr>
        <w:tab/>
      </w:r>
      <w:proofErr w:type="spellStart"/>
      <w:r w:rsidRPr="0090558B">
        <w:rPr>
          <w:rFonts w:eastAsiaTheme="minorEastAsia"/>
        </w:rPr>
        <w:t>Lyu</w:t>
      </w:r>
      <w:proofErr w:type="spellEnd"/>
      <w:r w:rsidRPr="0090558B">
        <w:rPr>
          <w:rFonts w:eastAsiaTheme="minorEastAsia"/>
        </w:rPr>
        <w:t xml:space="preserve"> F, et al. (2018) Phenotyping antibiotic resistance with single-cell resolution for the detection of heteroresistance. Sensors Actuators, B </w:t>
      </w:r>
      <w:proofErr w:type="spellStart"/>
      <w:r w:rsidRPr="0090558B">
        <w:rPr>
          <w:rFonts w:eastAsiaTheme="minorEastAsia"/>
        </w:rPr>
        <w:t>Chem</w:t>
      </w:r>
      <w:proofErr w:type="spellEnd"/>
      <w:r w:rsidRPr="0090558B">
        <w:rPr>
          <w:rFonts w:eastAsiaTheme="minorEastAsia"/>
        </w:rPr>
        <w:t xml:space="preserve"> 270(February):396–404.</w:t>
      </w:r>
    </w:p>
    <w:p w14:paraId="3D4222C9" w14:textId="77777777" w:rsidR="0090558B" w:rsidRPr="0090558B" w:rsidRDefault="0090558B" w:rsidP="0090558B">
      <w:pPr>
        <w:pStyle w:val="SIcaption"/>
        <w:rPr>
          <w:rFonts w:eastAsiaTheme="minorEastAsia"/>
        </w:rPr>
      </w:pPr>
      <w:r w:rsidRPr="0090558B">
        <w:rPr>
          <w:rFonts w:eastAsiaTheme="minorEastAsia"/>
        </w:rPr>
        <w:t xml:space="preserve">7. </w:t>
      </w:r>
      <w:r w:rsidRPr="0090558B">
        <w:rPr>
          <w:rFonts w:eastAsiaTheme="minorEastAsia"/>
        </w:rPr>
        <w:tab/>
        <w:t xml:space="preserve">Taylor J (1997) Introduction to error analysis: The study of </w:t>
      </w:r>
      <w:proofErr w:type="spellStart"/>
      <w:r w:rsidRPr="0090558B">
        <w:rPr>
          <w:rFonts w:eastAsiaTheme="minorEastAsia"/>
        </w:rPr>
        <w:t>uncerntainties</w:t>
      </w:r>
      <w:proofErr w:type="spellEnd"/>
      <w:r w:rsidRPr="0090558B">
        <w:rPr>
          <w:rFonts w:eastAsiaTheme="minorEastAsia"/>
        </w:rPr>
        <w:t xml:space="preserve"> in physical measurements.</w:t>
      </w:r>
    </w:p>
    <w:p w14:paraId="18CB7C80" w14:textId="77777777" w:rsidR="000E4537" w:rsidRDefault="000E4537" w:rsidP="000E4537">
      <w:pPr>
        <w:pStyle w:val="SIcaption"/>
        <w:rPr>
          <w:rFonts w:eastAsiaTheme="minorEastAsia"/>
        </w:rPr>
      </w:pPr>
    </w:p>
    <w:p w14:paraId="204CC5AD" w14:textId="77777777" w:rsidR="000E4537" w:rsidRDefault="000E4537">
      <w:pPr>
        <w:rPr>
          <w:rFonts w:ascii="Times New Roman" w:eastAsiaTheme="minorEastAsia" w:hAnsi="Times New Roman" w:cs="Times New Roman"/>
          <w:iCs/>
          <w:color w:val="000000" w:themeColor="text1"/>
          <w:szCs w:val="18"/>
        </w:rPr>
      </w:pPr>
      <w:r>
        <w:rPr>
          <w:rFonts w:eastAsiaTheme="minorEastAsia"/>
        </w:rPr>
        <w:br w:type="page"/>
      </w:r>
    </w:p>
    <w:p w14:paraId="4B020BA4" w14:textId="77777777" w:rsidR="000E4537" w:rsidRPr="00177D91" w:rsidRDefault="000E4537" w:rsidP="000E4537">
      <w:pPr>
        <w:pStyle w:val="SIcaption"/>
        <w:rPr>
          <w:rFonts w:ascii="Cambria Math" w:eastAsiaTheme="minorEastAsia" w:hAnsi="Cambria Math"/>
          <w:oMath/>
        </w:rPr>
      </w:pPr>
    </w:p>
    <w:p w14:paraId="2EE1B4B3" w14:textId="3DFC3274" w:rsidR="00D454CD" w:rsidRDefault="00D454CD" w:rsidP="000E4537">
      <w:pPr>
        <w:pStyle w:val="SIcaption"/>
      </w:pPr>
    </w:p>
    <w:p w14:paraId="0A3D9BBE" w14:textId="385BC835" w:rsidR="00D454CD" w:rsidRDefault="00D454CD" w:rsidP="00D454CD">
      <w:pPr>
        <w:jc w:val="both"/>
      </w:pPr>
    </w:p>
    <w:p w14:paraId="0466A557" w14:textId="026E3E20" w:rsidR="00D454CD" w:rsidRDefault="00D454CD" w:rsidP="00D454CD">
      <w:pPr>
        <w:pStyle w:val="SIcaption"/>
        <w:rPr>
          <w:rFonts w:eastAsiaTheme="minorEastAsia"/>
        </w:rPr>
      </w:pPr>
    </w:p>
    <w:p w14:paraId="21729855" w14:textId="77777777" w:rsidR="00B50EDC" w:rsidRPr="00B50EDC" w:rsidRDefault="00B50EDC" w:rsidP="00D454CD">
      <w:pPr>
        <w:pStyle w:val="SIcaption"/>
      </w:pPr>
    </w:p>
    <w:sectPr w:rsidR="00B50EDC" w:rsidRPr="00B50EDC">
      <w:footerReference w:type="default" r:id="rId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2E84F1" w14:textId="77777777" w:rsidR="001F2059" w:rsidRDefault="001F2059" w:rsidP="0060449D">
      <w:pPr>
        <w:spacing w:after="0" w:line="240" w:lineRule="auto"/>
      </w:pPr>
      <w:r>
        <w:separator/>
      </w:r>
    </w:p>
  </w:endnote>
  <w:endnote w:type="continuationSeparator" w:id="0">
    <w:p w14:paraId="551278C0" w14:textId="77777777" w:rsidR="001F2059" w:rsidRDefault="001F2059" w:rsidP="00604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6968527"/>
      <w:docPartObj>
        <w:docPartGallery w:val="Page Numbers (Bottom of Page)"/>
        <w:docPartUnique/>
      </w:docPartObj>
    </w:sdtPr>
    <w:sdtEndPr/>
    <w:sdtContent>
      <w:p w14:paraId="4BE42F12" w14:textId="1CA23D3B" w:rsidR="00842F80" w:rsidRDefault="00842F80">
        <w:pPr>
          <w:pStyle w:val="Footer"/>
          <w:jc w:val="right"/>
        </w:pPr>
        <w:r>
          <w:fldChar w:fldCharType="begin"/>
        </w:r>
        <w:r>
          <w:instrText>PAGE   \* MERGEFORMAT</w:instrText>
        </w:r>
        <w:r>
          <w:fldChar w:fldCharType="separate"/>
        </w:r>
        <w:r w:rsidR="007C09A6" w:rsidRPr="007C09A6">
          <w:rPr>
            <w:noProof/>
            <w:lang w:val="pl-PL"/>
          </w:rPr>
          <w:t>16</w:t>
        </w:r>
        <w:r>
          <w:fldChar w:fldCharType="end"/>
        </w:r>
      </w:p>
    </w:sdtContent>
  </w:sdt>
  <w:p w14:paraId="63826D37" w14:textId="77777777" w:rsidR="00842F80" w:rsidRDefault="00842F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250C5" w14:textId="77777777" w:rsidR="001F2059" w:rsidRDefault="001F2059" w:rsidP="0060449D">
      <w:pPr>
        <w:spacing w:after="0" w:line="240" w:lineRule="auto"/>
      </w:pPr>
      <w:r>
        <w:separator/>
      </w:r>
    </w:p>
  </w:footnote>
  <w:footnote w:type="continuationSeparator" w:id="0">
    <w:p w14:paraId="3751D137" w14:textId="77777777" w:rsidR="001F2059" w:rsidRDefault="001F2059" w:rsidP="006044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F60E3E"/>
    <w:multiLevelType w:val="hybridMultilevel"/>
    <w:tmpl w:val="9626B510"/>
    <w:lvl w:ilvl="0" w:tplc="DA3259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4303BA"/>
    <w:multiLevelType w:val="hybridMultilevel"/>
    <w:tmpl w:val="32E86010"/>
    <w:lvl w:ilvl="0" w:tplc="0425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ADB1702"/>
    <w:multiLevelType w:val="hybridMultilevel"/>
    <w:tmpl w:val="BF303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B516A3"/>
    <w:multiLevelType w:val="hybridMultilevel"/>
    <w:tmpl w:val="FA74C704"/>
    <w:lvl w:ilvl="0" w:tplc="67E2CB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626061"/>
    <w:multiLevelType w:val="hybridMultilevel"/>
    <w:tmpl w:val="D6949276"/>
    <w:lvl w:ilvl="0" w:tplc="731A23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B9E"/>
    <w:rsid w:val="0000608C"/>
    <w:rsid w:val="000068FD"/>
    <w:rsid w:val="00012F9B"/>
    <w:rsid w:val="00021405"/>
    <w:rsid w:val="000245CA"/>
    <w:rsid w:val="000313E2"/>
    <w:rsid w:val="0003662D"/>
    <w:rsid w:val="00036C29"/>
    <w:rsid w:val="00040529"/>
    <w:rsid w:val="00042880"/>
    <w:rsid w:val="000458CC"/>
    <w:rsid w:val="00045A3D"/>
    <w:rsid w:val="00053911"/>
    <w:rsid w:val="00065AB5"/>
    <w:rsid w:val="00067B34"/>
    <w:rsid w:val="00070937"/>
    <w:rsid w:val="0007313B"/>
    <w:rsid w:val="00082277"/>
    <w:rsid w:val="00087211"/>
    <w:rsid w:val="00087D7C"/>
    <w:rsid w:val="000A3D69"/>
    <w:rsid w:val="000B3F20"/>
    <w:rsid w:val="000B7F56"/>
    <w:rsid w:val="000C38A2"/>
    <w:rsid w:val="000C460B"/>
    <w:rsid w:val="000C7E21"/>
    <w:rsid w:val="000D237C"/>
    <w:rsid w:val="000E0475"/>
    <w:rsid w:val="000E32C2"/>
    <w:rsid w:val="000E4537"/>
    <w:rsid w:val="000E7CBA"/>
    <w:rsid w:val="000F3369"/>
    <w:rsid w:val="00113715"/>
    <w:rsid w:val="00114E7B"/>
    <w:rsid w:val="001168D3"/>
    <w:rsid w:val="00122A05"/>
    <w:rsid w:val="00132EBB"/>
    <w:rsid w:val="00145D21"/>
    <w:rsid w:val="00150255"/>
    <w:rsid w:val="00153CB3"/>
    <w:rsid w:val="001651DD"/>
    <w:rsid w:val="00185E86"/>
    <w:rsid w:val="00191399"/>
    <w:rsid w:val="001A3EDC"/>
    <w:rsid w:val="001D464D"/>
    <w:rsid w:val="001D6BE1"/>
    <w:rsid w:val="001E13E1"/>
    <w:rsid w:val="001E23FF"/>
    <w:rsid w:val="001F2059"/>
    <w:rsid w:val="00205403"/>
    <w:rsid w:val="0020699E"/>
    <w:rsid w:val="00213917"/>
    <w:rsid w:val="00216E95"/>
    <w:rsid w:val="00221ECA"/>
    <w:rsid w:val="002270EC"/>
    <w:rsid w:val="002325EB"/>
    <w:rsid w:val="002331F3"/>
    <w:rsid w:val="0024280E"/>
    <w:rsid w:val="00244F05"/>
    <w:rsid w:val="00245817"/>
    <w:rsid w:val="00253DDB"/>
    <w:rsid w:val="002643F6"/>
    <w:rsid w:val="00285F77"/>
    <w:rsid w:val="0029041B"/>
    <w:rsid w:val="00290831"/>
    <w:rsid w:val="00294F04"/>
    <w:rsid w:val="002B023B"/>
    <w:rsid w:val="002C00CA"/>
    <w:rsid w:val="002C0131"/>
    <w:rsid w:val="002C19EE"/>
    <w:rsid w:val="002D1667"/>
    <w:rsid w:val="002E152B"/>
    <w:rsid w:val="002E58EA"/>
    <w:rsid w:val="002F082C"/>
    <w:rsid w:val="002F6EF8"/>
    <w:rsid w:val="003145B4"/>
    <w:rsid w:val="00330CF6"/>
    <w:rsid w:val="003438CE"/>
    <w:rsid w:val="00344AA1"/>
    <w:rsid w:val="00344E86"/>
    <w:rsid w:val="00346F9B"/>
    <w:rsid w:val="003510F3"/>
    <w:rsid w:val="003628B5"/>
    <w:rsid w:val="003654A8"/>
    <w:rsid w:val="0037403F"/>
    <w:rsid w:val="00375FBD"/>
    <w:rsid w:val="00396CC6"/>
    <w:rsid w:val="003A5CD7"/>
    <w:rsid w:val="003B062A"/>
    <w:rsid w:val="003C0E97"/>
    <w:rsid w:val="003D0EAA"/>
    <w:rsid w:val="003D3C9D"/>
    <w:rsid w:val="003E237F"/>
    <w:rsid w:val="004119F2"/>
    <w:rsid w:val="0042717D"/>
    <w:rsid w:val="00434192"/>
    <w:rsid w:val="00443ABB"/>
    <w:rsid w:val="00450DCA"/>
    <w:rsid w:val="00451C5A"/>
    <w:rsid w:val="004676E1"/>
    <w:rsid w:val="00467774"/>
    <w:rsid w:val="00475845"/>
    <w:rsid w:val="00475E05"/>
    <w:rsid w:val="00480A5F"/>
    <w:rsid w:val="00480CC1"/>
    <w:rsid w:val="00483714"/>
    <w:rsid w:val="004838AB"/>
    <w:rsid w:val="0048488F"/>
    <w:rsid w:val="0048709B"/>
    <w:rsid w:val="0049214E"/>
    <w:rsid w:val="004A3C1A"/>
    <w:rsid w:val="004B07CD"/>
    <w:rsid w:val="004C6E4F"/>
    <w:rsid w:val="004D3A80"/>
    <w:rsid w:val="004E0A69"/>
    <w:rsid w:val="005063F6"/>
    <w:rsid w:val="0051283E"/>
    <w:rsid w:val="00513AB1"/>
    <w:rsid w:val="00520011"/>
    <w:rsid w:val="00533FFA"/>
    <w:rsid w:val="0055342A"/>
    <w:rsid w:val="00564BB4"/>
    <w:rsid w:val="005656B6"/>
    <w:rsid w:val="005807F1"/>
    <w:rsid w:val="00587D2A"/>
    <w:rsid w:val="00596A70"/>
    <w:rsid w:val="00597FF7"/>
    <w:rsid w:val="005A196C"/>
    <w:rsid w:val="005A4354"/>
    <w:rsid w:val="005B1E9A"/>
    <w:rsid w:val="005C0496"/>
    <w:rsid w:val="005C5D2C"/>
    <w:rsid w:val="005F3EC6"/>
    <w:rsid w:val="005F671D"/>
    <w:rsid w:val="006014A3"/>
    <w:rsid w:val="0060449D"/>
    <w:rsid w:val="006108CE"/>
    <w:rsid w:val="00624A9B"/>
    <w:rsid w:val="0063797D"/>
    <w:rsid w:val="006526FF"/>
    <w:rsid w:val="00664525"/>
    <w:rsid w:val="00666426"/>
    <w:rsid w:val="0067304C"/>
    <w:rsid w:val="006731AC"/>
    <w:rsid w:val="00682C3E"/>
    <w:rsid w:val="0068704C"/>
    <w:rsid w:val="0069573D"/>
    <w:rsid w:val="006A40A6"/>
    <w:rsid w:val="006B44D1"/>
    <w:rsid w:val="006B51F4"/>
    <w:rsid w:val="006C3114"/>
    <w:rsid w:val="006C4DF0"/>
    <w:rsid w:val="006C602D"/>
    <w:rsid w:val="006D40EC"/>
    <w:rsid w:val="006E3D6D"/>
    <w:rsid w:val="006E45F5"/>
    <w:rsid w:val="006F6E5C"/>
    <w:rsid w:val="00716B03"/>
    <w:rsid w:val="007250FC"/>
    <w:rsid w:val="00731006"/>
    <w:rsid w:val="00736F71"/>
    <w:rsid w:val="007425C5"/>
    <w:rsid w:val="0075147C"/>
    <w:rsid w:val="00751DD2"/>
    <w:rsid w:val="00762949"/>
    <w:rsid w:val="00790337"/>
    <w:rsid w:val="00795EE8"/>
    <w:rsid w:val="007A0046"/>
    <w:rsid w:val="007A7696"/>
    <w:rsid w:val="007C0684"/>
    <w:rsid w:val="007C09A6"/>
    <w:rsid w:val="007D0F1C"/>
    <w:rsid w:val="007D5531"/>
    <w:rsid w:val="007E0B82"/>
    <w:rsid w:val="007E752A"/>
    <w:rsid w:val="007E7B4B"/>
    <w:rsid w:val="007F3EFE"/>
    <w:rsid w:val="008047BC"/>
    <w:rsid w:val="00815DCC"/>
    <w:rsid w:val="0081733A"/>
    <w:rsid w:val="00821400"/>
    <w:rsid w:val="008224D8"/>
    <w:rsid w:val="008258BF"/>
    <w:rsid w:val="00842F80"/>
    <w:rsid w:val="00852827"/>
    <w:rsid w:val="00852EC6"/>
    <w:rsid w:val="00862D4D"/>
    <w:rsid w:val="008661D0"/>
    <w:rsid w:val="00882AE0"/>
    <w:rsid w:val="008845C6"/>
    <w:rsid w:val="00886F82"/>
    <w:rsid w:val="008A6406"/>
    <w:rsid w:val="008B49C9"/>
    <w:rsid w:val="008B5EBA"/>
    <w:rsid w:val="008C1AB7"/>
    <w:rsid w:val="008C2AE7"/>
    <w:rsid w:val="008C75BB"/>
    <w:rsid w:val="008C7722"/>
    <w:rsid w:val="008F35A7"/>
    <w:rsid w:val="008F50F7"/>
    <w:rsid w:val="008F7D84"/>
    <w:rsid w:val="00902FCC"/>
    <w:rsid w:val="0090558B"/>
    <w:rsid w:val="00912239"/>
    <w:rsid w:val="009236E8"/>
    <w:rsid w:val="009275B4"/>
    <w:rsid w:val="00927D71"/>
    <w:rsid w:val="00945F59"/>
    <w:rsid w:val="00950B63"/>
    <w:rsid w:val="00953329"/>
    <w:rsid w:val="009543A3"/>
    <w:rsid w:val="00967E1C"/>
    <w:rsid w:val="00975F51"/>
    <w:rsid w:val="009800D1"/>
    <w:rsid w:val="00984F87"/>
    <w:rsid w:val="009948D8"/>
    <w:rsid w:val="009A59C3"/>
    <w:rsid w:val="009B5AD7"/>
    <w:rsid w:val="009D3DA1"/>
    <w:rsid w:val="009D7E8D"/>
    <w:rsid w:val="009E16EC"/>
    <w:rsid w:val="009F2863"/>
    <w:rsid w:val="00A06A76"/>
    <w:rsid w:val="00A1583C"/>
    <w:rsid w:val="00A15EAF"/>
    <w:rsid w:val="00A20DC7"/>
    <w:rsid w:val="00A23710"/>
    <w:rsid w:val="00A314EC"/>
    <w:rsid w:val="00A4001A"/>
    <w:rsid w:val="00A40240"/>
    <w:rsid w:val="00A652FC"/>
    <w:rsid w:val="00A732D1"/>
    <w:rsid w:val="00A73F3B"/>
    <w:rsid w:val="00A74B9E"/>
    <w:rsid w:val="00A8302B"/>
    <w:rsid w:val="00A8424E"/>
    <w:rsid w:val="00A92008"/>
    <w:rsid w:val="00AA41BE"/>
    <w:rsid w:val="00AB22D9"/>
    <w:rsid w:val="00AC25A9"/>
    <w:rsid w:val="00AC4271"/>
    <w:rsid w:val="00AD1C21"/>
    <w:rsid w:val="00AE0B5D"/>
    <w:rsid w:val="00AE193D"/>
    <w:rsid w:val="00AE1D79"/>
    <w:rsid w:val="00AE46F0"/>
    <w:rsid w:val="00B0569A"/>
    <w:rsid w:val="00B15FA9"/>
    <w:rsid w:val="00B2180B"/>
    <w:rsid w:val="00B220CF"/>
    <w:rsid w:val="00B26B00"/>
    <w:rsid w:val="00B26BE0"/>
    <w:rsid w:val="00B30C6F"/>
    <w:rsid w:val="00B31555"/>
    <w:rsid w:val="00B46CDE"/>
    <w:rsid w:val="00B50EDC"/>
    <w:rsid w:val="00B51634"/>
    <w:rsid w:val="00B51C71"/>
    <w:rsid w:val="00B777F8"/>
    <w:rsid w:val="00B92C03"/>
    <w:rsid w:val="00BA41DA"/>
    <w:rsid w:val="00BA66A0"/>
    <w:rsid w:val="00BB2B17"/>
    <w:rsid w:val="00BB30AC"/>
    <w:rsid w:val="00BC2FFB"/>
    <w:rsid w:val="00BD0E95"/>
    <w:rsid w:val="00BD2B47"/>
    <w:rsid w:val="00BD5EC7"/>
    <w:rsid w:val="00BD66E4"/>
    <w:rsid w:val="00BD7A90"/>
    <w:rsid w:val="00BD7D0C"/>
    <w:rsid w:val="00BE749D"/>
    <w:rsid w:val="00C01D38"/>
    <w:rsid w:val="00C07EFE"/>
    <w:rsid w:val="00C11190"/>
    <w:rsid w:val="00C15CA8"/>
    <w:rsid w:val="00C23152"/>
    <w:rsid w:val="00C30A37"/>
    <w:rsid w:val="00C423DE"/>
    <w:rsid w:val="00C42D16"/>
    <w:rsid w:val="00C44904"/>
    <w:rsid w:val="00C45967"/>
    <w:rsid w:val="00C46091"/>
    <w:rsid w:val="00C53175"/>
    <w:rsid w:val="00C57597"/>
    <w:rsid w:val="00C60D8B"/>
    <w:rsid w:val="00C650AC"/>
    <w:rsid w:val="00C656AE"/>
    <w:rsid w:val="00C716AC"/>
    <w:rsid w:val="00C725BE"/>
    <w:rsid w:val="00C73A73"/>
    <w:rsid w:val="00C8728B"/>
    <w:rsid w:val="00CA5A81"/>
    <w:rsid w:val="00CB0EE4"/>
    <w:rsid w:val="00CB364C"/>
    <w:rsid w:val="00CC2342"/>
    <w:rsid w:val="00CC2DD1"/>
    <w:rsid w:val="00CC5A9B"/>
    <w:rsid w:val="00CC62E2"/>
    <w:rsid w:val="00CD54B0"/>
    <w:rsid w:val="00CE2B9C"/>
    <w:rsid w:val="00CE364C"/>
    <w:rsid w:val="00CE4523"/>
    <w:rsid w:val="00D016BB"/>
    <w:rsid w:val="00D11425"/>
    <w:rsid w:val="00D1243A"/>
    <w:rsid w:val="00D1598C"/>
    <w:rsid w:val="00D17B2A"/>
    <w:rsid w:val="00D36793"/>
    <w:rsid w:val="00D454CD"/>
    <w:rsid w:val="00D5470B"/>
    <w:rsid w:val="00D5596A"/>
    <w:rsid w:val="00D55B98"/>
    <w:rsid w:val="00D6581E"/>
    <w:rsid w:val="00D71B37"/>
    <w:rsid w:val="00D830AB"/>
    <w:rsid w:val="00D908F3"/>
    <w:rsid w:val="00DB0018"/>
    <w:rsid w:val="00DB4315"/>
    <w:rsid w:val="00DC5B6E"/>
    <w:rsid w:val="00DE0949"/>
    <w:rsid w:val="00DE0A4F"/>
    <w:rsid w:val="00DE6A03"/>
    <w:rsid w:val="00DF31AE"/>
    <w:rsid w:val="00E137C4"/>
    <w:rsid w:val="00E21B2F"/>
    <w:rsid w:val="00E24759"/>
    <w:rsid w:val="00E51D53"/>
    <w:rsid w:val="00E702CA"/>
    <w:rsid w:val="00E70F69"/>
    <w:rsid w:val="00E753CD"/>
    <w:rsid w:val="00E94997"/>
    <w:rsid w:val="00EB7F7A"/>
    <w:rsid w:val="00EC556E"/>
    <w:rsid w:val="00EC73FD"/>
    <w:rsid w:val="00EC784A"/>
    <w:rsid w:val="00ED725C"/>
    <w:rsid w:val="00EE0BCD"/>
    <w:rsid w:val="00EE309F"/>
    <w:rsid w:val="00EF0813"/>
    <w:rsid w:val="00EF6A04"/>
    <w:rsid w:val="00F05DDC"/>
    <w:rsid w:val="00F07BB7"/>
    <w:rsid w:val="00F1181F"/>
    <w:rsid w:val="00F133D5"/>
    <w:rsid w:val="00F23E77"/>
    <w:rsid w:val="00F2711A"/>
    <w:rsid w:val="00F278BF"/>
    <w:rsid w:val="00F30722"/>
    <w:rsid w:val="00F37EC7"/>
    <w:rsid w:val="00F42605"/>
    <w:rsid w:val="00F5609E"/>
    <w:rsid w:val="00F6145C"/>
    <w:rsid w:val="00F741AA"/>
    <w:rsid w:val="00F74DB9"/>
    <w:rsid w:val="00F82D23"/>
    <w:rsid w:val="00F900E3"/>
    <w:rsid w:val="00F957BD"/>
    <w:rsid w:val="00FA3142"/>
    <w:rsid w:val="00FA44CF"/>
    <w:rsid w:val="00FB7D83"/>
    <w:rsid w:val="00FC4AEF"/>
    <w:rsid w:val="00FD4041"/>
    <w:rsid w:val="00FE279A"/>
    <w:rsid w:val="00FF2567"/>
    <w:rsid w:val="00FF29F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AD0D"/>
  <w15:chartTrackingRefBased/>
  <w15:docId w15:val="{BD1C4CB9-06EA-42C7-90CD-13BDAB967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SI"/>
    <w:basedOn w:val="Normal"/>
    <w:link w:val="ListParagraphChar"/>
    <w:uiPriority w:val="34"/>
    <w:qFormat/>
    <w:rsid w:val="00BA41DA"/>
    <w:pPr>
      <w:ind w:left="720"/>
      <w:contextualSpacing/>
    </w:pPr>
  </w:style>
  <w:style w:type="character" w:styleId="CommentReference">
    <w:name w:val="annotation reference"/>
    <w:basedOn w:val="DefaultParagraphFont"/>
    <w:uiPriority w:val="99"/>
    <w:semiHidden/>
    <w:unhideWhenUsed/>
    <w:rsid w:val="009B5AD7"/>
    <w:rPr>
      <w:sz w:val="16"/>
      <w:szCs w:val="16"/>
    </w:rPr>
  </w:style>
  <w:style w:type="paragraph" w:styleId="CommentText">
    <w:name w:val="annotation text"/>
    <w:basedOn w:val="Normal"/>
    <w:link w:val="CommentTextChar"/>
    <w:uiPriority w:val="99"/>
    <w:semiHidden/>
    <w:unhideWhenUsed/>
    <w:rsid w:val="009B5AD7"/>
    <w:pPr>
      <w:spacing w:line="240" w:lineRule="auto"/>
    </w:pPr>
    <w:rPr>
      <w:sz w:val="20"/>
      <w:szCs w:val="20"/>
    </w:rPr>
  </w:style>
  <w:style w:type="character" w:customStyle="1" w:styleId="CommentTextChar">
    <w:name w:val="Comment Text Char"/>
    <w:basedOn w:val="DefaultParagraphFont"/>
    <w:link w:val="CommentText"/>
    <w:uiPriority w:val="99"/>
    <w:semiHidden/>
    <w:rsid w:val="009B5AD7"/>
    <w:rPr>
      <w:sz w:val="20"/>
      <w:szCs w:val="20"/>
      <w:lang w:val="en-US"/>
    </w:rPr>
  </w:style>
  <w:style w:type="paragraph" w:styleId="CommentSubject">
    <w:name w:val="annotation subject"/>
    <w:basedOn w:val="CommentText"/>
    <w:next w:val="CommentText"/>
    <w:link w:val="CommentSubjectChar"/>
    <w:uiPriority w:val="99"/>
    <w:semiHidden/>
    <w:unhideWhenUsed/>
    <w:rsid w:val="009B5AD7"/>
    <w:rPr>
      <w:b/>
      <w:bCs/>
    </w:rPr>
  </w:style>
  <w:style w:type="character" w:customStyle="1" w:styleId="CommentSubjectChar">
    <w:name w:val="Comment Subject Char"/>
    <w:basedOn w:val="CommentTextChar"/>
    <w:link w:val="CommentSubject"/>
    <w:uiPriority w:val="99"/>
    <w:semiHidden/>
    <w:rsid w:val="009B5AD7"/>
    <w:rPr>
      <w:b/>
      <w:bCs/>
      <w:sz w:val="20"/>
      <w:szCs w:val="20"/>
      <w:lang w:val="en-US"/>
    </w:rPr>
  </w:style>
  <w:style w:type="paragraph" w:styleId="BalloonText">
    <w:name w:val="Balloon Text"/>
    <w:basedOn w:val="Normal"/>
    <w:link w:val="BalloonTextChar"/>
    <w:uiPriority w:val="99"/>
    <w:semiHidden/>
    <w:unhideWhenUsed/>
    <w:rsid w:val="009B5A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5AD7"/>
    <w:rPr>
      <w:rFonts w:ascii="Segoe UI" w:hAnsi="Segoe UI" w:cs="Segoe UI"/>
      <w:sz w:val="18"/>
      <w:szCs w:val="18"/>
      <w:lang w:val="en-US"/>
    </w:rPr>
  </w:style>
  <w:style w:type="character" w:styleId="PlaceholderText">
    <w:name w:val="Placeholder Text"/>
    <w:basedOn w:val="DefaultParagraphFont"/>
    <w:uiPriority w:val="99"/>
    <w:semiHidden/>
    <w:rsid w:val="00451C5A"/>
    <w:rPr>
      <w:color w:val="808080"/>
    </w:rPr>
  </w:style>
  <w:style w:type="character" w:styleId="Hyperlink">
    <w:name w:val="Hyperlink"/>
    <w:basedOn w:val="DefaultParagraphFont"/>
    <w:uiPriority w:val="99"/>
    <w:unhideWhenUsed/>
    <w:rsid w:val="009E16EC"/>
    <w:rPr>
      <w:color w:val="0563C1" w:themeColor="hyperlink"/>
      <w:u w:val="single"/>
    </w:rPr>
  </w:style>
  <w:style w:type="character" w:customStyle="1" w:styleId="ListParagraphChar">
    <w:name w:val="List Paragraph Char"/>
    <w:aliases w:val="List Paragraph SI Char"/>
    <w:basedOn w:val="DefaultParagraphFont"/>
    <w:link w:val="ListParagraph"/>
    <w:uiPriority w:val="34"/>
    <w:rsid w:val="003438CE"/>
    <w:rPr>
      <w:lang w:val="en-US"/>
    </w:rPr>
  </w:style>
  <w:style w:type="paragraph" w:styleId="Header">
    <w:name w:val="header"/>
    <w:basedOn w:val="Normal"/>
    <w:link w:val="HeaderChar"/>
    <w:uiPriority w:val="99"/>
    <w:unhideWhenUsed/>
    <w:rsid w:val="0060449D"/>
    <w:pPr>
      <w:tabs>
        <w:tab w:val="center" w:pos="4703"/>
        <w:tab w:val="right" w:pos="9406"/>
      </w:tabs>
      <w:spacing w:after="0" w:line="240" w:lineRule="auto"/>
    </w:pPr>
  </w:style>
  <w:style w:type="character" w:customStyle="1" w:styleId="HeaderChar">
    <w:name w:val="Header Char"/>
    <w:basedOn w:val="DefaultParagraphFont"/>
    <w:link w:val="Header"/>
    <w:uiPriority w:val="99"/>
    <w:rsid w:val="0060449D"/>
    <w:rPr>
      <w:lang w:val="en-US"/>
    </w:rPr>
  </w:style>
  <w:style w:type="paragraph" w:styleId="Footer">
    <w:name w:val="footer"/>
    <w:basedOn w:val="Normal"/>
    <w:link w:val="FooterChar"/>
    <w:uiPriority w:val="99"/>
    <w:unhideWhenUsed/>
    <w:rsid w:val="0060449D"/>
    <w:pPr>
      <w:tabs>
        <w:tab w:val="center" w:pos="4703"/>
        <w:tab w:val="right" w:pos="9406"/>
      </w:tabs>
      <w:spacing w:after="0" w:line="240" w:lineRule="auto"/>
    </w:pPr>
  </w:style>
  <w:style w:type="character" w:customStyle="1" w:styleId="FooterChar">
    <w:name w:val="Footer Char"/>
    <w:basedOn w:val="DefaultParagraphFont"/>
    <w:link w:val="Footer"/>
    <w:uiPriority w:val="99"/>
    <w:rsid w:val="0060449D"/>
    <w:rPr>
      <w:lang w:val="en-US"/>
    </w:rPr>
  </w:style>
  <w:style w:type="paragraph" w:styleId="Caption">
    <w:name w:val="caption"/>
    <w:basedOn w:val="Normal"/>
    <w:next w:val="Normal"/>
    <w:uiPriority w:val="35"/>
    <w:unhideWhenUsed/>
    <w:qFormat/>
    <w:rsid w:val="000B7F56"/>
    <w:pPr>
      <w:spacing w:after="200" w:line="240" w:lineRule="auto"/>
    </w:pPr>
    <w:rPr>
      <w:i/>
      <w:iCs/>
      <w:color w:val="44546A" w:themeColor="text2"/>
      <w:sz w:val="18"/>
      <w:szCs w:val="18"/>
    </w:rPr>
  </w:style>
  <w:style w:type="paragraph" w:customStyle="1" w:styleId="SIheading">
    <w:name w:val="SI heading"/>
    <w:basedOn w:val="Normal"/>
    <w:qFormat/>
    <w:rsid w:val="00B50EDC"/>
    <w:pPr>
      <w:spacing w:after="120" w:line="240" w:lineRule="auto"/>
    </w:pPr>
    <w:rPr>
      <w:rFonts w:ascii="Times New Roman" w:eastAsia="Times New Roman" w:hAnsi="Times New Roman" w:cs="Times New Roman"/>
      <w:b/>
      <w:sz w:val="24"/>
      <w:szCs w:val="20"/>
    </w:rPr>
  </w:style>
  <w:style w:type="paragraph" w:customStyle="1" w:styleId="SIcaption">
    <w:name w:val="SI caption"/>
    <w:basedOn w:val="Caption"/>
    <w:qFormat/>
    <w:rsid w:val="008F35A7"/>
    <w:pPr>
      <w:jc w:val="both"/>
    </w:pPr>
    <w:rPr>
      <w:rFonts w:ascii="Times New Roman" w:hAnsi="Times New Roman" w:cs="Times New Roman"/>
      <w:i w:val="0"/>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21" Type="http://schemas.openxmlformats.org/officeDocument/2006/relationships/image" Target="media/image14.png"/><Relationship Id="rId34" Type="http://schemas.openxmlformats.org/officeDocument/2006/relationships/image" Target="media/image27.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242A1-9952-4439-B56C-793A8B83E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3432</Words>
  <Characters>19567</Characters>
  <Application>Microsoft Office Word</Application>
  <DocSecurity>0</DocSecurity>
  <Lines>163</Lines>
  <Paragraphs>45</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Tallinn University of Technology</Company>
  <LinksUpToDate>false</LinksUpToDate>
  <CharactersWithSpaces>22954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 Scheler</dc:creator>
  <cp:keywords/>
  <dc:description/>
  <cp:lastModifiedBy>Ott Scheler</cp:lastModifiedBy>
  <cp:revision>6</cp:revision>
  <cp:lastPrinted>2019-05-24T06:10:00Z</cp:lastPrinted>
  <dcterms:created xsi:type="dcterms:W3CDTF">2019-09-06T08:07:00Z</dcterms:created>
  <dcterms:modified xsi:type="dcterms:W3CDTF">2020-01-14T12:22:00Z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024cad5a-ca44-3102-b97d-fa03ffb53bd5</vt:lpwstr>
  </property>
  <property fmtid="{D5CDD505-2E9C-101B-9397-08002B2CF9AE}" pid="4" name="Mendeley Citation Style_1">
    <vt:lpwstr>http://www.zotero.org/styles/pnas</vt:lpwstr>
  </property>
  <property fmtid="{D5CDD505-2E9C-101B-9397-08002B2CF9AE}" pid="5" name="Mendeley Recent Style Id 0_1">
    <vt:lpwstr>http://www.zotero.org/styles/acs-applied-materials-and-interfaces</vt:lpwstr>
  </property>
  <property fmtid="{D5CDD505-2E9C-101B-9397-08002B2CF9AE}" pid="6" name="Mendeley Recent Style Name 0_1">
    <vt:lpwstr>ACS Applied Materials &amp; Interfaces</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http://www.zotero.org/styles/biotechnology-and-bioengineering</vt:lpwstr>
  </property>
  <property fmtid="{D5CDD505-2E9C-101B-9397-08002B2CF9AE}" pid="14" name="Mendeley Recent Style Name 4_1">
    <vt:lpwstr>Biotechnology and Bioengineering</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http://www.zotero.org/styles/nature-communications</vt:lpwstr>
  </property>
  <property fmtid="{D5CDD505-2E9C-101B-9397-08002B2CF9AE}" pid="22" name="Mendeley Recent Style Name 8_1">
    <vt:lpwstr>Nature Communications</vt:lpwstr>
  </property>
  <property fmtid="{D5CDD505-2E9C-101B-9397-08002B2CF9AE}" pid="23" name="Mendeley Recent Style Id 9_1">
    <vt:lpwstr>http://www.zotero.org/styles/pnas</vt:lpwstr>
  </property>
  <property fmtid="{D5CDD505-2E9C-101B-9397-08002B2CF9AE}" pid="24" name="Mendeley Recent Style Name 9_1">
    <vt:lpwstr>Proceedings of the National Academy of Sciences of the United States of America</vt:lpwstr>
  </property>
</Properties>
</file>